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ACA1" w14:textId="06A03720" w:rsidR="007C01F5" w:rsidRPr="003E027B" w:rsidRDefault="007C01F5" w:rsidP="007C01F5">
      <w:pPr>
        <w:jc w:val="center"/>
      </w:pPr>
      <w:r w:rsidRPr="003E027B">
        <w:t>WILLMS &amp; SHIER ENVIRONMENTAL LAW MOOT COURT COMPETITION</w:t>
      </w:r>
      <w:r w:rsidR="00803711">
        <w:t xml:space="preserve"> </w:t>
      </w:r>
      <w:r w:rsidR="00915A04">
        <w:t>202</w:t>
      </w:r>
      <w:r w:rsidR="00B72782">
        <w:t>6</w:t>
      </w:r>
    </w:p>
    <w:p w14:paraId="73FC59A0" w14:textId="77777777" w:rsidR="007C01F5" w:rsidRDefault="007C01F5" w:rsidP="007C01F5"/>
    <w:p w14:paraId="330757B8" w14:textId="77777777" w:rsidR="007C01F5" w:rsidRPr="003E027B" w:rsidRDefault="007C01F5" w:rsidP="007C01F5"/>
    <w:p w14:paraId="3BBD0CC7" w14:textId="2C2F5A5E" w:rsidR="007C01F5" w:rsidRPr="003E027B" w:rsidRDefault="007C01F5" w:rsidP="007C01F5">
      <w:pPr>
        <w:jc w:val="right"/>
      </w:pPr>
      <w:r w:rsidRPr="003E027B">
        <w:t>S.</w:t>
      </w:r>
      <w:r w:rsidR="00FC1F68">
        <w:t>E.</w:t>
      </w:r>
      <w:r w:rsidRPr="003E027B">
        <w:t>M.C.C. File Number</w:t>
      </w:r>
      <w:r w:rsidR="00292738">
        <w:t>:</w:t>
      </w:r>
      <w:r w:rsidR="00803711">
        <w:t xml:space="preserve"> 0</w:t>
      </w:r>
      <w:r w:rsidR="00915A04">
        <w:t>2</w:t>
      </w:r>
      <w:r w:rsidR="00803711">
        <w:t>-</w:t>
      </w:r>
      <w:r w:rsidR="007541A0">
        <w:t>14</w:t>
      </w:r>
      <w:r w:rsidR="00803711">
        <w:t>-</w:t>
      </w:r>
      <w:r w:rsidR="00915A04">
        <w:t>202</w:t>
      </w:r>
      <w:r w:rsidR="007541A0">
        <w:t>6</w:t>
      </w:r>
    </w:p>
    <w:p w14:paraId="5EA00D73" w14:textId="77777777" w:rsidR="007C01F5" w:rsidRPr="003E027B" w:rsidRDefault="007C01F5" w:rsidP="007C01F5"/>
    <w:p w14:paraId="3D30E8D7"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186167CF" w14:textId="77777777" w:rsidR="007C01F5" w:rsidRPr="003E027B" w:rsidRDefault="007C01F5" w:rsidP="007C01F5">
      <w:pPr>
        <w:jc w:val="center"/>
      </w:pPr>
    </w:p>
    <w:p w14:paraId="6BD832A9" w14:textId="5A4B33D9" w:rsidR="007C01F5" w:rsidRPr="00665D50" w:rsidRDefault="007C01F5" w:rsidP="007C01F5">
      <w:pPr>
        <w:jc w:val="center"/>
        <w:rPr>
          <w:b/>
        </w:rPr>
      </w:pPr>
      <w:r w:rsidRPr="00665D50">
        <w:rPr>
          <w:b/>
        </w:rPr>
        <w:t>(</w:t>
      </w:r>
      <w:r w:rsidR="00915A04" w:rsidRPr="00665D50">
        <w:rPr>
          <w:b/>
        </w:rPr>
        <w:t xml:space="preserve">ON APPEAL FROM THE </w:t>
      </w:r>
      <w:r w:rsidR="007541A0">
        <w:rPr>
          <w:b/>
        </w:rPr>
        <w:t>ONTARIO</w:t>
      </w:r>
      <w:r w:rsidR="00915A04">
        <w:rPr>
          <w:b/>
        </w:rPr>
        <w:t xml:space="preserve"> COURT OF </w:t>
      </w:r>
      <w:r w:rsidR="00B72782">
        <w:rPr>
          <w:b/>
        </w:rPr>
        <w:t>JUSTICE</w:t>
      </w:r>
      <w:r w:rsidRPr="00665D50">
        <w:rPr>
          <w:b/>
        </w:rPr>
        <w:t>)</w:t>
      </w:r>
    </w:p>
    <w:p w14:paraId="601C5BA7" w14:textId="77777777" w:rsidR="007C01F5" w:rsidRPr="003E027B" w:rsidRDefault="007C01F5" w:rsidP="007C01F5"/>
    <w:p w14:paraId="3AF502FD" w14:textId="77777777" w:rsidR="007C01F5" w:rsidRPr="003E027B" w:rsidRDefault="007C01F5" w:rsidP="007C01F5">
      <w:r w:rsidRPr="003E027B">
        <w:t>B E T W E E N:</w:t>
      </w:r>
    </w:p>
    <w:p w14:paraId="64807E46" w14:textId="77777777" w:rsidR="007C01F5" w:rsidRPr="003E027B" w:rsidRDefault="007C01F5" w:rsidP="007C01F5"/>
    <w:p w14:paraId="7EF550F7" w14:textId="51D5AB01" w:rsidR="00DB21A8" w:rsidRPr="003E027B" w:rsidRDefault="00E91273" w:rsidP="00DB21A8">
      <w:pPr>
        <w:jc w:val="center"/>
        <w:rPr>
          <w:b/>
        </w:rPr>
      </w:pPr>
      <w:r>
        <w:rPr>
          <w:b/>
        </w:rPr>
        <w:t>HIS MAJESTY THE KING</w:t>
      </w:r>
    </w:p>
    <w:p w14:paraId="31BAEDDC" w14:textId="77777777" w:rsidR="007C01F5" w:rsidRDefault="007C01F5" w:rsidP="00EF6D27">
      <w:pPr>
        <w:jc w:val="center"/>
      </w:pPr>
    </w:p>
    <w:p w14:paraId="6B43E1C4" w14:textId="3F8537BD" w:rsidR="007C01F5" w:rsidRPr="003E027B" w:rsidRDefault="007C01F5" w:rsidP="007C01F5">
      <w:pPr>
        <w:jc w:val="right"/>
      </w:pPr>
      <w:r w:rsidRPr="003E027B">
        <w:t>APPELLANT</w:t>
      </w:r>
    </w:p>
    <w:p w14:paraId="77F5343F" w14:textId="77777777" w:rsidR="007C01F5" w:rsidRPr="003E027B" w:rsidRDefault="007C01F5" w:rsidP="007C01F5">
      <w:pPr>
        <w:jc w:val="right"/>
      </w:pPr>
    </w:p>
    <w:p w14:paraId="14E250D2" w14:textId="77777777" w:rsidR="007C01F5" w:rsidRPr="003E027B" w:rsidRDefault="007C01F5" w:rsidP="007C01F5">
      <w:pPr>
        <w:jc w:val="center"/>
      </w:pPr>
      <w:r w:rsidRPr="003E027B">
        <w:t>- and -</w:t>
      </w:r>
    </w:p>
    <w:p w14:paraId="49434C8C" w14:textId="77777777" w:rsidR="007C01F5" w:rsidRPr="003E027B" w:rsidRDefault="007C01F5" w:rsidP="007C01F5"/>
    <w:p w14:paraId="35DC82E8" w14:textId="77777777" w:rsidR="007C01F5" w:rsidRPr="003E027B" w:rsidRDefault="007C01F5" w:rsidP="007C01F5"/>
    <w:p w14:paraId="551DAC6D" w14:textId="74F372C9" w:rsidR="00555F8D" w:rsidRPr="00E91273" w:rsidRDefault="008C00C1" w:rsidP="009F693C">
      <w:pPr>
        <w:jc w:val="center"/>
        <w:rPr>
          <w:b/>
          <w:caps/>
        </w:rPr>
      </w:pPr>
      <w:r w:rsidRPr="00E91273">
        <w:rPr>
          <w:b/>
          <w:caps/>
        </w:rPr>
        <w:t>Consolidated Homes Ltd.</w:t>
      </w:r>
    </w:p>
    <w:p w14:paraId="7BA28D25" w14:textId="77777777" w:rsidR="008C00C1" w:rsidRDefault="008C00C1" w:rsidP="00216A01">
      <w:pPr>
        <w:jc w:val="right"/>
      </w:pPr>
    </w:p>
    <w:p w14:paraId="2080B3DA" w14:textId="72E4F87C" w:rsidR="00216A01" w:rsidRPr="00D7293C" w:rsidRDefault="00216A01" w:rsidP="00216A01">
      <w:pPr>
        <w:jc w:val="right"/>
      </w:pPr>
      <w:r w:rsidRPr="00D7293C">
        <w:t>RESPONDENT</w:t>
      </w:r>
    </w:p>
    <w:p w14:paraId="62EF40FC" w14:textId="77777777" w:rsidR="007C01F5" w:rsidRPr="003E027B" w:rsidRDefault="007C01F5" w:rsidP="007C01F5"/>
    <w:p w14:paraId="0F9CDF43" w14:textId="77777777" w:rsidR="007C01F5" w:rsidRDefault="007C01F5" w:rsidP="007C01F5"/>
    <w:p w14:paraId="102DCD68" w14:textId="17FFAB20" w:rsidR="007C01F5" w:rsidRPr="003E027B" w:rsidRDefault="00762C62" w:rsidP="007C01F5">
      <w:r>
        <w:rPr>
          <w:noProof/>
          <w:lang w:eastAsia="it-IT"/>
        </w:rPr>
        <mc:AlternateContent>
          <mc:Choice Requires="wps">
            <w:drawing>
              <wp:anchor distT="0" distB="0" distL="114300" distR="114300" simplePos="0" relativeHeight="251658240" behindDoc="0" locked="0" layoutInCell="1" allowOverlap="1" wp14:anchorId="3F8BBF2C" wp14:editId="05E4BBED">
                <wp:simplePos x="0" y="0"/>
                <wp:positionH relativeFrom="margin">
                  <wp:align>left</wp:align>
                </wp:positionH>
                <wp:positionV relativeFrom="line">
                  <wp:align>bottom</wp:align>
                </wp:positionV>
                <wp:extent cx="5943600" cy="0"/>
                <wp:effectExtent l="0" t="12700" r="0" b="0"/>
                <wp:wrapNone/>
                <wp:docPr id="19965025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4F23680">
              <v:shapetype id="_x0000_t32" coordsize="21600,21600" o:oned="t" filled="f" o:spt="32" path="m,l21600,21600e" w14:anchorId="65B7345C">
                <v:path fillok="f" arrowok="t" o:connecttype="none"/>
                <o:lock v:ext="edit" shapetype="t"/>
              </v:shapetype>
              <v:shape id="AutoShape 3" style="position:absolute;margin-left:0;margin-top:0;width:468pt;height:0;z-index:251658240;visibility:visible;mso-wrap-style:square;mso-width-percent:1000;mso-height-percent:0;mso-wrap-distance-left:9pt;mso-wrap-distance-top:0;mso-wrap-distance-right:9pt;mso-wrap-distance-bottom:0;mso-position-horizontal:left;mso-position-horizontal-relative:margin;mso-position-vertical:bottom;mso-position-vertical-relative:line;mso-width-percent:1000;mso-height-percent:0;mso-width-relative:margin;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">
                <o:lock v:ext="edit" shapetype="f"/>
                <w10:wrap anchorx="margin" anchory="line"/>
              </v:shape>
            </w:pict>
          </mc:Fallback>
        </mc:AlternateContent>
      </w:r>
    </w:p>
    <w:p w14:paraId="482DCDDF" w14:textId="77777777" w:rsidR="007C01F5" w:rsidRDefault="007C01F5" w:rsidP="007C01F5">
      <w:pPr>
        <w:jc w:val="center"/>
        <w:rPr>
          <w:b/>
        </w:rPr>
      </w:pPr>
      <w:r w:rsidRPr="007C01F5">
        <w:rPr>
          <w:b/>
        </w:rPr>
        <w:t xml:space="preserve">FACTUM OF THE </w:t>
      </w:r>
      <w:r w:rsidR="00EE2290">
        <w:rPr>
          <w:b/>
        </w:rPr>
        <w:t>RESPONDENT</w:t>
      </w:r>
    </w:p>
    <w:p w14:paraId="480CE9BF" w14:textId="0A7C88A3" w:rsidR="00FC4847" w:rsidRDefault="00E91273" w:rsidP="007C01F5">
      <w:pPr>
        <w:jc w:val="center"/>
      </w:pPr>
      <w:r w:rsidRPr="00E91273">
        <w:rPr>
          <w:b/>
          <w:caps/>
        </w:rPr>
        <w:t>Consolidated Homes</w:t>
      </w:r>
      <w:r w:rsidRPr="00E91273">
        <w:rPr>
          <w:b/>
        </w:rPr>
        <w:t xml:space="preserve"> </w:t>
      </w:r>
      <w:r w:rsidR="00DB21A8" w:rsidRPr="00DB21A8">
        <w:rPr>
          <w:b/>
        </w:rPr>
        <w:t>LTD.</w:t>
      </w:r>
    </w:p>
    <w:p w14:paraId="32702652" w14:textId="77777777" w:rsidR="007C01F5" w:rsidRPr="003E027B" w:rsidRDefault="007C01F5" w:rsidP="007C01F5">
      <w:pPr>
        <w:jc w:val="center"/>
      </w:pPr>
      <w:r w:rsidRPr="003E027B">
        <w:t>Pursuant to Rule 12 of the</w:t>
      </w:r>
    </w:p>
    <w:p w14:paraId="137ADAC7" w14:textId="1CA48ABF" w:rsidR="007C01F5" w:rsidRDefault="007C01F5" w:rsidP="007C01F5">
      <w:pPr>
        <w:jc w:val="center"/>
      </w:pPr>
      <w:r w:rsidRPr="003E027B">
        <w:t>Willms &amp; Shier Environmental Law Moot Official</w:t>
      </w:r>
      <w:r w:rsidR="00803711">
        <w:t xml:space="preserve"> Competition Rules </w:t>
      </w:r>
      <w:r w:rsidR="00915A04">
        <w:t>202</w:t>
      </w:r>
      <w:r w:rsidR="00FF7162">
        <w:t>6</w:t>
      </w:r>
    </w:p>
    <w:p w14:paraId="6B27C69A" w14:textId="77777777" w:rsidR="007C01F5" w:rsidRPr="003E027B" w:rsidRDefault="007C01F5" w:rsidP="007C01F5">
      <w:pPr>
        <w:jc w:val="center"/>
      </w:pPr>
    </w:p>
    <w:p w14:paraId="6FFAF8A1" w14:textId="4654AD50" w:rsidR="007C01F5" w:rsidRPr="003E027B" w:rsidRDefault="00762C62" w:rsidP="007C01F5">
      <w:r>
        <w:rPr>
          <w:noProof/>
          <w:lang w:eastAsia="it-IT"/>
        </w:rPr>
        <mc:AlternateContent>
          <mc:Choice Requires="wps">
            <w:drawing>
              <wp:anchor distT="0" distB="0" distL="114300" distR="114300" simplePos="0" relativeHeight="251658241" behindDoc="0" locked="0" layoutInCell="1" allowOverlap="1" wp14:anchorId="3B9D9CB4" wp14:editId="330A3629">
                <wp:simplePos x="0" y="0"/>
                <wp:positionH relativeFrom="margin">
                  <wp:align>left</wp:align>
                </wp:positionH>
                <wp:positionV relativeFrom="line">
                  <wp:align>top</wp:align>
                </wp:positionV>
                <wp:extent cx="5943600" cy="0"/>
                <wp:effectExtent l="0" t="12700" r="0" b="0"/>
                <wp:wrapNone/>
                <wp:docPr id="2187565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D297DEF">
              <v:shape id="AutoShape 2" style="position:absolute;margin-left:0;margin-top:0;width:468pt;height:0;z-index:251658241;visibility:visible;mso-wrap-style:square;mso-width-percent:1000;mso-height-percent:0;mso-wrap-distance-left:9pt;mso-wrap-distance-top:0;mso-wrap-distance-right:9pt;mso-wrap-distance-bottom:0;mso-position-horizontal:left;mso-position-horizontal-relative:margin;mso-position-vertical:top;mso-position-vertical-relative:line;mso-width-percent:1000;mso-height-percent:0;mso-width-relative:margin;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" w14:anchorId="2827F55E">
                <o:lock v:ext="edit" shapetype="f"/>
                <w10:wrap anchorx="margin" anchory="line"/>
              </v:shape>
            </w:pict>
          </mc:Fallback>
        </mc:AlternateContent>
      </w:r>
    </w:p>
    <w:p w14:paraId="0A212DE8" w14:textId="77777777" w:rsidR="007C01F5" w:rsidRPr="003E027B" w:rsidRDefault="007C01F5" w:rsidP="007C01F5"/>
    <w:p w14:paraId="35EAC2AC" w14:textId="1B3AD02F" w:rsidR="00665D50" w:rsidRDefault="007C01F5" w:rsidP="00665D50">
      <w:pPr>
        <w:jc w:val="right"/>
      </w:pPr>
      <w:r w:rsidRPr="00790A7B">
        <w:t>T</w:t>
      </w:r>
      <w:r w:rsidR="00812A9C">
        <w:t>EAM #</w:t>
      </w:r>
      <w:r w:rsidR="005B67F1">
        <w:fldChar w:fldCharType="begin">
          <w:ffData>
            <w:name w:val="Text2"/>
            <w:enabled/>
            <w:calcOnExit w:val="0"/>
            <w:statusText w:type="text" w:val="Enter team number"/>
            <w:textInput>
              <w:type w:val="number"/>
              <w:default w:val="2026-04"/>
              <w:maxLength w:val="9"/>
            </w:textInput>
          </w:ffData>
        </w:fldChar>
      </w:r>
      <w:bookmarkStart w:id="0" w:name="Text2"/>
      <w:r w:rsidR="005B67F1">
        <w:instrText xml:space="preserve"> FORMTEXT </w:instrText>
      </w:r>
      <w:r w:rsidR="005B67F1">
        <w:fldChar w:fldCharType="separate"/>
      </w:r>
      <w:r w:rsidR="005907C5">
        <w:rPr>
          <w:noProof/>
        </w:rPr>
        <w:t>2026-04</w:t>
      </w:r>
      <w:r w:rsidR="005B67F1">
        <w:fldChar w:fldCharType="end"/>
      </w:r>
      <w:bookmarkEnd w:id="0"/>
    </w:p>
    <w:p w14:paraId="0A3B0C77" w14:textId="77777777" w:rsidR="000E4220" w:rsidRDefault="000E4220" w:rsidP="00665D50">
      <w:pPr>
        <w:ind w:left="1440" w:hanging="1440"/>
        <w:rPr>
          <w:b/>
        </w:rPr>
        <w:sectPr w:rsidR="000E4220" w:rsidSect="00194038">
          <w:footerReference w:type="default" r:id="rId8"/>
          <w:pgSz w:w="12240" w:h="15840" w:code="1"/>
          <w:pgMar w:top="1440" w:right="1440" w:bottom="1440" w:left="1440" w:header="720" w:footer="720" w:gutter="0"/>
          <w:cols w:space="720"/>
          <w:titlePg/>
          <w:docGrid w:linePitch="360"/>
        </w:sectPr>
      </w:pPr>
    </w:p>
    <w:p w14:paraId="1659EBC1"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0B51BA">
        <w:rPr>
          <w:b/>
        </w:rPr>
        <w:br/>
      </w:r>
      <w:r w:rsidRPr="00665D50">
        <w:rPr>
          <w:b/>
        </w:rPr>
        <w:t>SUPREME ENVIRONMENTAL MOOT COURT OF CANADA</w:t>
      </w:r>
    </w:p>
    <w:p w14:paraId="12B5F946" w14:textId="77777777" w:rsidR="00665D50" w:rsidRPr="00665D50" w:rsidRDefault="00665D50" w:rsidP="00665D50">
      <w:pPr>
        <w:ind w:left="1440" w:hanging="1440"/>
        <w:rPr>
          <w:b/>
        </w:rPr>
      </w:pPr>
    </w:p>
    <w:p w14:paraId="6A28A1B5" w14:textId="77777777" w:rsidR="00665D50" w:rsidRDefault="00665D50" w:rsidP="00665D50">
      <w:pPr>
        <w:ind w:left="1440" w:hanging="1440"/>
        <w:rPr>
          <w:b/>
        </w:rPr>
      </w:pPr>
      <w:r w:rsidRPr="00665D50">
        <w:rPr>
          <w:b/>
        </w:rPr>
        <w:t xml:space="preserve">AND TO: </w:t>
      </w:r>
      <w:r>
        <w:rPr>
          <w:b/>
        </w:rPr>
        <w:tab/>
      </w:r>
      <w:r w:rsidRPr="00665D50">
        <w:rPr>
          <w:b/>
        </w:rPr>
        <w:t>ALL REGISTERED TEAMS</w:t>
      </w:r>
    </w:p>
    <w:p w14:paraId="33D08E32" w14:textId="77777777" w:rsidR="00896769" w:rsidRDefault="00896769" w:rsidP="00896769">
      <w:pPr>
        <w:sectPr w:rsidR="00896769" w:rsidSect="00194038">
          <w:pgSz w:w="12240" w:h="15840" w:code="1"/>
          <w:pgMar w:top="1440" w:right="1440" w:bottom="1440" w:left="1440" w:header="720" w:footer="720" w:gutter="0"/>
          <w:cols w:space="720"/>
          <w:titlePg/>
          <w:docGrid w:linePitch="360"/>
        </w:sectPr>
      </w:pPr>
    </w:p>
    <w:p w14:paraId="62EBEE27" w14:textId="77777777" w:rsidR="00A85602" w:rsidRDefault="00037BFB" w:rsidP="006E37DD">
      <w:pPr>
        <w:spacing w:line="360" w:lineRule="auto"/>
        <w:jc w:val="center"/>
        <w:rPr>
          <w:b/>
        </w:rPr>
      </w:pPr>
      <w:r w:rsidRPr="00037BFB">
        <w:rPr>
          <w:b/>
        </w:rPr>
        <w:lastRenderedPageBreak/>
        <w:t>TABLE OF CONTENTS</w:t>
      </w:r>
    </w:p>
    <w:p w14:paraId="101C2DC8" w14:textId="77777777" w:rsidR="00665D50" w:rsidRDefault="00665D50" w:rsidP="00793097">
      <w:pPr>
        <w:spacing w:line="360" w:lineRule="auto"/>
        <w:jc w:val="right"/>
      </w:pPr>
      <w:r>
        <w:rPr>
          <w:b/>
        </w:rPr>
        <w:t>Page No.</w:t>
      </w:r>
    </w:p>
    <w:p w14:paraId="393C5C88" w14:textId="412B0E76" w:rsidR="00793097" w:rsidRDefault="009F5FF0" w:rsidP="00793097">
      <w:pPr>
        <w:pStyle w:val="TOC1"/>
        <w:spacing w:line="360" w:lineRule="auto"/>
        <w:rPr>
          <w:rFonts w:asciiTheme="minorHAnsi" w:eastAsiaTheme="minorEastAsia" w:hAnsiTheme="minorHAnsi" w:cstheme="minorBidi"/>
          <w:noProof/>
          <w:kern w:val="2"/>
          <w14:ligatures w14:val="standardContextual"/>
        </w:rPr>
      </w:pPr>
      <w:r>
        <w:fldChar w:fldCharType="begin"/>
      </w:r>
      <w:r w:rsidR="00847C80">
        <w:instrText xml:space="preserve"> TOC \o "1-3" \u </w:instrText>
      </w:r>
      <w:r>
        <w:fldChar w:fldCharType="separate"/>
      </w:r>
      <w:r w:rsidR="00793097" w:rsidRPr="00DB3C7C">
        <w:rPr>
          <w:noProof/>
        </w:rPr>
        <w:t>PART I -- OVERVIEW AND STATEMENT OF FACTS</w:t>
      </w:r>
      <w:r w:rsidR="00793097">
        <w:rPr>
          <w:noProof/>
        </w:rPr>
        <w:tab/>
      </w:r>
      <w:r w:rsidR="00793097">
        <w:rPr>
          <w:noProof/>
        </w:rPr>
        <w:fldChar w:fldCharType="begin"/>
      </w:r>
      <w:r w:rsidR="00793097">
        <w:rPr>
          <w:noProof/>
        </w:rPr>
        <w:instrText xml:space="preserve"> PAGEREF _Toc220076096 \h </w:instrText>
      </w:r>
      <w:r w:rsidR="00793097">
        <w:rPr>
          <w:noProof/>
        </w:rPr>
      </w:r>
      <w:r w:rsidR="00793097">
        <w:rPr>
          <w:noProof/>
        </w:rPr>
        <w:fldChar w:fldCharType="separate"/>
      </w:r>
      <w:r w:rsidR="005907C5">
        <w:rPr>
          <w:noProof/>
        </w:rPr>
        <w:t>1</w:t>
      </w:r>
      <w:r w:rsidR="00793097">
        <w:rPr>
          <w:noProof/>
        </w:rPr>
        <w:fldChar w:fldCharType="end"/>
      </w:r>
    </w:p>
    <w:p w14:paraId="5BB699E8" w14:textId="65F79BE1" w:rsidR="00793097" w:rsidRDefault="00793097" w:rsidP="002E7E53">
      <w:pPr>
        <w:pStyle w:val="TOC2"/>
        <w:rPr>
          <w:rFonts w:asciiTheme="minorHAnsi" w:eastAsiaTheme="minorEastAsia" w:hAnsiTheme="minorHAnsi" w:cstheme="minorBidi"/>
          <w:noProof/>
          <w:kern w:val="2"/>
          <w14:ligatures w14:val="standardContextual"/>
        </w:rPr>
      </w:pPr>
      <w:r w:rsidRPr="00DB3C7C">
        <w:rPr>
          <w:noProof/>
        </w:rPr>
        <w:t>A.</w:t>
      </w:r>
      <w:r>
        <w:rPr>
          <w:rFonts w:asciiTheme="minorHAnsi" w:eastAsiaTheme="minorEastAsia" w:hAnsiTheme="minorHAnsi" w:cstheme="minorBidi"/>
          <w:noProof/>
          <w:kern w:val="2"/>
          <w14:ligatures w14:val="standardContextual"/>
        </w:rPr>
        <w:tab/>
      </w:r>
      <w:r w:rsidRPr="00DB3C7C">
        <w:rPr>
          <w:noProof/>
        </w:rPr>
        <w:t>Overview of the Respondent’s Position</w:t>
      </w:r>
      <w:r>
        <w:rPr>
          <w:noProof/>
        </w:rPr>
        <w:tab/>
      </w:r>
      <w:r>
        <w:rPr>
          <w:noProof/>
        </w:rPr>
        <w:fldChar w:fldCharType="begin"/>
      </w:r>
      <w:r>
        <w:rPr>
          <w:noProof/>
        </w:rPr>
        <w:instrText xml:space="preserve"> PAGEREF _Toc220076097 \h </w:instrText>
      </w:r>
      <w:r>
        <w:rPr>
          <w:noProof/>
        </w:rPr>
      </w:r>
      <w:r>
        <w:rPr>
          <w:noProof/>
        </w:rPr>
        <w:fldChar w:fldCharType="separate"/>
      </w:r>
      <w:r w:rsidR="005907C5">
        <w:rPr>
          <w:noProof/>
        </w:rPr>
        <w:t>1</w:t>
      </w:r>
      <w:r>
        <w:rPr>
          <w:noProof/>
        </w:rPr>
        <w:fldChar w:fldCharType="end"/>
      </w:r>
    </w:p>
    <w:p w14:paraId="073B4495" w14:textId="67097853" w:rsidR="00793097" w:rsidRDefault="00793097" w:rsidP="002E7E53">
      <w:pPr>
        <w:pStyle w:val="TOC2"/>
        <w:rPr>
          <w:rFonts w:asciiTheme="minorHAnsi" w:eastAsiaTheme="minorEastAsia" w:hAnsiTheme="minorHAnsi" w:cstheme="minorBidi"/>
          <w:noProof/>
          <w:kern w:val="2"/>
          <w14:ligatures w14:val="standardContextual"/>
        </w:rPr>
      </w:pPr>
      <w:r w:rsidRPr="00DB3C7C">
        <w:rPr>
          <w:noProof/>
        </w:rPr>
        <w:t>B.</w:t>
      </w:r>
      <w:r>
        <w:rPr>
          <w:rFonts w:asciiTheme="minorHAnsi" w:eastAsiaTheme="minorEastAsia" w:hAnsiTheme="minorHAnsi" w:cstheme="minorBidi"/>
          <w:noProof/>
          <w:kern w:val="2"/>
          <w14:ligatures w14:val="standardContextual"/>
        </w:rPr>
        <w:tab/>
      </w:r>
      <w:r w:rsidRPr="00DB3C7C">
        <w:rPr>
          <w:noProof/>
        </w:rPr>
        <w:t>Respondent’s Position with Respect to the Appellants’ Statement of the Facts</w:t>
      </w:r>
      <w:r>
        <w:rPr>
          <w:noProof/>
        </w:rPr>
        <w:tab/>
      </w:r>
      <w:r>
        <w:rPr>
          <w:noProof/>
        </w:rPr>
        <w:fldChar w:fldCharType="begin"/>
      </w:r>
      <w:r>
        <w:rPr>
          <w:noProof/>
        </w:rPr>
        <w:instrText xml:space="preserve"> PAGEREF _Toc220076098 \h </w:instrText>
      </w:r>
      <w:r>
        <w:rPr>
          <w:noProof/>
        </w:rPr>
      </w:r>
      <w:r>
        <w:rPr>
          <w:noProof/>
        </w:rPr>
        <w:fldChar w:fldCharType="separate"/>
      </w:r>
      <w:r w:rsidR="005907C5">
        <w:rPr>
          <w:noProof/>
        </w:rPr>
        <w:t>2</w:t>
      </w:r>
      <w:r>
        <w:rPr>
          <w:noProof/>
        </w:rPr>
        <w:fldChar w:fldCharType="end"/>
      </w:r>
    </w:p>
    <w:p w14:paraId="07C2BFCE" w14:textId="20B579A5" w:rsidR="00793097" w:rsidRDefault="00793097" w:rsidP="00793097">
      <w:pPr>
        <w:pStyle w:val="TOC3"/>
        <w:tabs>
          <w:tab w:val="left" w:pos="96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w:t>
      </w:r>
      <w:r>
        <w:rPr>
          <w:rFonts w:asciiTheme="minorHAnsi" w:eastAsiaTheme="minorEastAsia" w:hAnsiTheme="minorHAnsi" w:cstheme="minorBidi"/>
          <w:noProof/>
          <w:kern w:val="2"/>
          <w14:ligatures w14:val="standardContextual"/>
        </w:rPr>
        <w:tab/>
      </w:r>
      <w:r w:rsidRPr="00DB3C7C">
        <w:rPr>
          <w:noProof/>
        </w:rPr>
        <w:t>The Trial Decision</w:t>
      </w:r>
      <w:r>
        <w:rPr>
          <w:noProof/>
        </w:rPr>
        <w:tab/>
      </w:r>
      <w:r>
        <w:rPr>
          <w:noProof/>
        </w:rPr>
        <w:fldChar w:fldCharType="begin"/>
      </w:r>
      <w:r>
        <w:rPr>
          <w:noProof/>
        </w:rPr>
        <w:instrText xml:space="preserve"> PAGEREF _Toc220076099 \h </w:instrText>
      </w:r>
      <w:r>
        <w:rPr>
          <w:noProof/>
        </w:rPr>
      </w:r>
      <w:r>
        <w:rPr>
          <w:noProof/>
        </w:rPr>
        <w:fldChar w:fldCharType="separate"/>
      </w:r>
      <w:r w:rsidR="005907C5">
        <w:rPr>
          <w:noProof/>
        </w:rPr>
        <w:t>3</w:t>
      </w:r>
      <w:r>
        <w:rPr>
          <w:noProof/>
        </w:rPr>
        <w:fldChar w:fldCharType="end"/>
      </w:r>
    </w:p>
    <w:p w14:paraId="5544F3BD" w14:textId="7912CDBE"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(ii)</w:t>
      </w:r>
      <w:r>
        <w:rPr>
          <w:rFonts w:asciiTheme="minorHAnsi" w:eastAsiaTheme="minorEastAsia" w:hAnsiTheme="minorHAnsi" w:cstheme="minorBidi"/>
          <w:noProof/>
          <w:kern w:val="2"/>
          <w14:ligatures w14:val="standardContextual"/>
        </w:rPr>
        <w:tab/>
      </w:r>
      <w:r w:rsidRPr="00DB3C7C">
        <w:rPr>
          <w:noProof/>
        </w:rPr>
        <w:t>Appellants’ Misstatement of the Factual Record</w:t>
      </w:r>
      <w:r>
        <w:rPr>
          <w:noProof/>
        </w:rPr>
        <w:tab/>
      </w:r>
      <w:r>
        <w:rPr>
          <w:noProof/>
        </w:rPr>
        <w:fldChar w:fldCharType="begin"/>
      </w:r>
      <w:r>
        <w:rPr>
          <w:noProof/>
        </w:rPr>
        <w:instrText xml:space="preserve"> PAGEREF _Toc220076100 \h </w:instrText>
      </w:r>
      <w:r>
        <w:rPr>
          <w:noProof/>
        </w:rPr>
      </w:r>
      <w:r>
        <w:rPr>
          <w:noProof/>
        </w:rPr>
        <w:fldChar w:fldCharType="separate"/>
      </w:r>
      <w:r w:rsidR="005907C5">
        <w:rPr>
          <w:noProof/>
        </w:rPr>
        <w:t>4</w:t>
      </w:r>
      <w:r>
        <w:rPr>
          <w:noProof/>
        </w:rPr>
        <w:fldChar w:fldCharType="end"/>
      </w:r>
    </w:p>
    <w:p w14:paraId="51477273" w14:textId="03DF7C57"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(iii)</w:t>
      </w:r>
      <w:r>
        <w:rPr>
          <w:rFonts w:asciiTheme="minorHAnsi" w:eastAsiaTheme="minorEastAsia" w:hAnsiTheme="minorHAnsi" w:cstheme="minorBidi"/>
          <w:noProof/>
          <w:kern w:val="2"/>
          <w14:ligatures w14:val="standardContextual"/>
        </w:rPr>
        <w:tab/>
      </w:r>
      <w:r w:rsidRPr="00DB3C7C">
        <w:rPr>
          <w:noProof/>
        </w:rPr>
        <w:t>The Appeal to the OCJ</w:t>
      </w:r>
      <w:r>
        <w:rPr>
          <w:noProof/>
        </w:rPr>
        <w:tab/>
      </w:r>
      <w:r>
        <w:rPr>
          <w:noProof/>
        </w:rPr>
        <w:fldChar w:fldCharType="begin"/>
      </w:r>
      <w:r>
        <w:rPr>
          <w:noProof/>
        </w:rPr>
        <w:instrText xml:space="preserve"> PAGEREF _Toc220076101 \h </w:instrText>
      </w:r>
      <w:r>
        <w:rPr>
          <w:noProof/>
        </w:rPr>
      </w:r>
      <w:r>
        <w:rPr>
          <w:noProof/>
        </w:rPr>
        <w:fldChar w:fldCharType="separate"/>
      </w:r>
      <w:r w:rsidR="005907C5">
        <w:rPr>
          <w:noProof/>
        </w:rPr>
        <w:t>6</w:t>
      </w:r>
      <w:r>
        <w:rPr>
          <w:noProof/>
        </w:rPr>
        <w:fldChar w:fldCharType="end"/>
      </w:r>
    </w:p>
    <w:p w14:paraId="3CFE88FC" w14:textId="52D5184A" w:rsidR="00793097" w:rsidRDefault="00793097" w:rsidP="00793097">
      <w:pPr>
        <w:pStyle w:val="TOC1"/>
        <w:spacing w:line="360" w:lineRule="auto"/>
        <w:rPr>
          <w:rFonts w:asciiTheme="minorHAnsi" w:eastAsiaTheme="minorEastAsia" w:hAnsiTheme="minorHAnsi" w:cstheme="minorBidi"/>
          <w:noProof/>
          <w:kern w:val="2"/>
          <w14:ligatures w14:val="standardContextual"/>
        </w:rPr>
      </w:pPr>
      <w:r w:rsidRPr="00DB3C7C">
        <w:rPr>
          <w:noProof/>
        </w:rPr>
        <w:t>PART II -- THE RESPONDENT’S POSITION WITH RESPECT TO THE APPELLANTS’ QUESTIONS IN ISSUE</w:t>
      </w:r>
      <w:r>
        <w:rPr>
          <w:noProof/>
        </w:rPr>
        <w:tab/>
      </w:r>
      <w:r>
        <w:rPr>
          <w:noProof/>
        </w:rPr>
        <w:fldChar w:fldCharType="begin"/>
      </w:r>
      <w:r>
        <w:rPr>
          <w:noProof/>
        </w:rPr>
        <w:instrText xml:space="preserve"> PAGEREF _Toc220076102 \h </w:instrText>
      </w:r>
      <w:r>
        <w:rPr>
          <w:noProof/>
        </w:rPr>
      </w:r>
      <w:r>
        <w:rPr>
          <w:noProof/>
        </w:rPr>
        <w:fldChar w:fldCharType="separate"/>
      </w:r>
      <w:r w:rsidR="005907C5">
        <w:rPr>
          <w:noProof/>
        </w:rPr>
        <w:t>7</w:t>
      </w:r>
      <w:r>
        <w:rPr>
          <w:noProof/>
        </w:rPr>
        <w:fldChar w:fldCharType="end"/>
      </w:r>
    </w:p>
    <w:p w14:paraId="0BD9F1E8" w14:textId="484B474C" w:rsidR="00793097" w:rsidRDefault="00793097" w:rsidP="00793097">
      <w:pPr>
        <w:pStyle w:val="TOC1"/>
        <w:spacing w:line="360" w:lineRule="auto"/>
        <w:rPr>
          <w:rFonts w:asciiTheme="minorHAnsi" w:eastAsiaTheme="minorEastAsia" w:hAnsiTheme="minorHAnsi" w:cstheme="minorBidi"/>
          <w:noProof/>
          <w:kern w:val="2"/>
          <w14:ligatures w14:val="standardContextual"/>
        </w:rPr>
      </w:pPr>
      <w:r w:rsidRPr="00DB3C7C">
        <w:rPr>
          <w:noProof/>
        </w:rPr>
        <w:t>PART III -- ARGUMENT</w:t>
      </w:r>
      <w:r>
        <w:rPr>
          <w:noProof/>
        </w:rPr>
        <w:tab/>
      </w:r>
      <w:r>
        <w:rPr>
          <w:noProof/>
        </w:rPr>
        <w:fldChar w:fldCharType="begin"/>
      </w:r>
      <w:r>
        <w:rPr>
          <w:noProof/>
        </w:rPr>
        <w:instrText xml:space="preserve"> PAGEREF _Toc220076103 \h </w:instrText>
      </w:r>
      <w:r>
        <w:rPr>
          <w:noProof/>
        </w:rPr>
      </w:r>
      <w:r>
        <w:rPr>
          <w:noProof/>
        </w:rPr>
        <w:fldChar w:fldCharType="separate"/>
      </w:r>
      <w:r w:rsidR="005907C5">
        <w:rPr>
          <w:noProof/>
        </w:rPr>
        <w:t>8</w:t>
      </w:r>
      <w:r>
        <w:rPr>
          <w:noProof/>
        </w:rPr>
        <w:fldChar w:fldCharType="end"/>
      </w:r>
    </w:p>
    <w:p w14:paraId="43221A43" w14:textId="5A46A38B" w:rsidR="00793097" w:rsidRDefault="00793097" w:rsidP="002E7E53">
      <w:pPr>
        <w:pStyle w:val="TOC2"/>
        <w:rPr>
          <w:rFonts w:asciiTheme="minorHAnsi" w:eastAsiaTheme="minorEastAsia" w:hAnsiTheme="minorHAnsi" w:cstheme="minorBidi"/>
          <w:noProof/>
          <w:kern w:val="2"/>
          <w14:ligatures w14:val="standardContextual"/>
        </w:rPr>
      </w:pPr>
      <w:r w:rsidRPr="00DB3C7C">
        <w:rPr>
          <w:noProof/>
        </w:rPr>
        <w:t>A.</w:t>
      </w:r>
      <w:r>
        <w:rPr>
          <w:rFonts w:asciiTheme="minorHAnsi" w:eastAsiaTheme="minorEastAsia" w:hAnsiTheme="minorHAnsi" w:cstheme="minorBidi"/>
          <w:noProof/>
          <w:kern w:val="2"/>
          <w14:ligatures w14:val="standardContextual"/>
        </w:rPr>
        <w:tab/>
      </w:r>
      <w:r w:rsidRPr="00DB3C7C">
        <w:rPr>
          <w:noProof/>
        </w:rPr>
        <w:t>Standard of Review</w:t>
      </w:r>
      <w:r>
        <w:rPr>
          <w:noProof/>
        </w:rPr>
        <w:tab/>
      </w:r>
      <w:r>
        <w:rPr>
          <w:noProof/>
        </w:rPr>
        <w:fldChar w:fldCharType="begin"/>
      </w:r>
      <w:r>
        <w:rPr>
          <w:noProof/>
        </w:rPr>
        <w:instrText xml:space="preserve"> PAGEREF _Toc220076104 \h </w:instrText>
      </w:r>
      <w:r>
        <w:rPr>
          <w:noProof/>
        </w:rPr>
      </w:r>
      <w:r>
        <w:rPr>
          <w:noProof/>
        </w:rPr>
        <w:fldChar w:fldCharType="separate"/>
      </w:r>
      <w:r w:rsidR="005907C5">
        <w:rPr>
          <w:noProof/>
        </w:rPr>
        <w:t>8</w:t>
      </w:r>
      <w:r>
        <w:rPr>
          <w:noProof/>
        </w:rPr>
        <w:fldChar w:fldCharType="end"/>
      </w:r>
    </w:p>
    <w:p w14:paraId="0E565309" w14:textId="1EF917BF" w:rsidR="00793097" w:rsidRDefault="00793097" w:rsidP="002E7E53">
      <w:pPr>
        <w:pStyle w:val="TOC2"/>
        <w:rPr>
          <w:rFonts w:asciiTheme="minorHAnsi" w:eastAsiaTheme="minorEastAsia" w:hAnsiTheme="minorHAnsi" w:cstheme="minorBidi"/>
          <w:noProof/>
          <w:kern w:val="2"/>
          <w14:ligatures w14:val="standardContextual"/>
        </w:rPr>
      </w:pPr>
      <w:r w:rsidRPr="00DB3C7C">
        <w:rPr>
          <w:noProof/>
        </w:rPr>
        <w:t>B.</w:t>
      </w:r>
      <w:r>
        <w:rPr>
          <w:rFonts w:asciiTheme="minorHAnsi" w:eastAsiaTheme="minorEastAsia" w:hAnsiTheme="minorHAnsi" w:cstheme="minorBidi"/>
          <w:noProof/>
          <w:kern w:val="2"/>
          <w14:ligatures w14:val="standardContextual"/>
        </w:rPr>
        <w:tab/>
      </w:r>
      <w:r w:rsidRPr="00DB3C7C">
        <w:rPr>
          <w:noProof/>
        </w:rPr>
        <w:t>Issue 1: The OCJ was correct in finding that the Trial Justice should not have relied on evidence of Blanding’s turtle sightings away from the Site on various dates before and after the time of the offence</w:t>
      </w:r>
      <w:r>
        <w:rPr>
          <w:noProof/>
        </w:rPr>
        <w:tab/>
      </w:r>
      <w:r>
        <w:rPr>
          <w:noProof/>
        </w:rPr>
        <w:fldChar w:fldCharType="begin"/>
      </w:r>
      <w:r>
        <w:rPr>
          <w:noProof/>
        </w:rPr>
        <w:instrText xml:space="preserve"> PAGEREF _Toc220076105 \h </w:instrText>
      </w:r>
      <w:r>
        <w:rPr>
          <w:noProof/>
        </w:rPr>
      </w:r>
      <w:r>
        <w:rPr>
          <w:noProof/>
        </w:rPr>
        <w:fldChar w:fldCharType="separate"/>
      </w:r>
      <w:r w:rsidR="005907C5">
        <w:rPr>
          <w:noProof/>
        </w:rPr>
        <w:t>8</w:t>
      </w:r>
      <w:r>
        <w:rPr>
          <w:noProof/>
        </w:rPr>
        <w:fldChar w:fldCharType="end"/>
      </w:r>
    </w:p>
    <w:p w14:paraId="20BC39D1" w14:textId="7F96BEAA" w:rsidR="00793097" w:rsidRDefault="00793097" w:rsidP="00793097">
      <w:pPr>
        <w:pStyle w:val="TOC3"/>
        <w:tabs>
          <w:tab w:val="left" w:pos="96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w:t>
      </w:r>
      <w:r>
        <w:rPr>
          <w:rFonts w:asciiTheme="minorHAnsi" w:eastAsiaTheme="minorEastAsia" w:hAnsiTheme="minorHAnsi" w:cstheme="minorBidi"/>
          <w:noProof/>
          <w:kern w:val="2"/>
          <w14:ligatures w14:val="standardContextual"/>
        </w:rPr>
        <w:tab/>
      </w:r>
      <w:r w:rsidRPr="00DB3C7C">
        <w:rPr>
          <w:noProof/>
        </w:rPr>
        <w:t>It was an error of law for the Trial Justice to accept the Crown’s evidence</w:t>
      </w:r>
      <w:r>
        <w:rPr>
          <w:noProof/>
        </w:rPr>
        <w:tab/>
      </w:r>
      <w:r>
        <w:rPr>
          <w:noProof/>
        </w:rPr>
        <w:fldChar w:fldCharType="begin"/>
      </w:r>
      <w:r>
        <w:rPr>
          <w:noProof/>
        </w:rPr>
        <w:instrText xml:space="preserve"> PAGEREF _Toc220076106 \h </w:instrText>
      </w:r>
      <w:r>
        <w:rPr>
          <w:noProof/>
        </w:rPr>
      </w:r>
      <w:r>
        <w:rPr>
          <w:noProof/>
        </w:rPr>
        <w:fldChar w:fldCharType="separate"/>
      </w:r>
      <w:r w:rsidR="005907C5">
        <w:rPr>
          <w:noProof/>
        </w:rPr>
        <w:t>8</w:t>
      </w:r>
      <w:r>
        <w:rPr>
          <w:noProof/>
        </w:rPr>
        <w:fldChar w:fldCharType="end"/>
      </w:r>
    </w:p>
    <w:p w14:paraId="7002CD95" w14:textId="66F6BB38"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(ii)</w:t>
      </w:r>
      <w:r>
        <w:rPr>
          <w:rFonts w:asciiTheme="minorHAnsi" w:eastAsiaTheme="minorEastAsia" w:hAnsiTheme="minorHAnsi" w:cstheme="minorBidi"/>
          <w:noProof/>
          <w:kern w:val="2"/>
          <w14:ligatures w14:val="standardContextual"/>
        </w:rPr>
        <w:tab/>
      </w:r>
      <w:r w:rsidRPr="00DB3C7C">
        <w:rPr>
          <w:noProof/>
        </w:rPr>
        <w:t>The circumstantial evidence could not lead to an inference that the Site was Blanding’s turtle habitat</w:t>
      </w:r>
      <w:r>
        <w:rPr>
          <w:noProof/>
        </w:rPr>
        <w:tab/>
      </w:r>
      <w:r>
        <w:rPr>
          <w:noProof/>
        </w:rPr>
        <w:fldChar w:fldCharType="begin"/>
      </w:r>
      <w:r>
        <w:rPr>
          <w:noProof/>
        </w:rPr>
        <w:instrText xml:space="preserve"> PAGEREF _Toc220076107 \h </w:instrText>
      </w:r>
      <w:r>
        <w:rPr>
          <w:noProof/>
        </w:rPr>
      </w:r>
      <w:r>
        <w:rPr>
          <w:noProof/>
        </w:rPr>
        <w:fldChar w:fldCharType="separate"/>
      </w:r>
      <w:r w:rsidR="005907C5">
        <w:rPr>
          <w:noProof/>
        </w:rPr>
        <w:t>9</w:t>
      </w:r>
      <w:r>
        <w:rPr>
          <w:noProof/>
        </w:rPr>
        <w:fldChar w:fldCharType="end"/>
      </w:r>
    </w:p>
    <w:p w14:paraId="3695B1FC" w14:textId="2150AD03"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(iii)</w:t>
      </w:r>
      <w:r>
        <w:rPr>
          <w:rFonts w:asciiTheme="minorHAnsi" w:eastAsiaTheme="minorEastAsia" w:hAnsiTheme="minorHAnsi" w:cstheme="minorBidi"/>
          <w:noProof/>
          <w:kern w:val="2"/>
          <w14:ligatures w14:val="standardContextual"/>
        </w:rPr>
        <w:tab/>
      </w:r>
      <w:r w:rsidRPr="00DB3C7C">
        <w:rPr>
          <w:noProof/>
        </w:rPr>
        <w:t xml:space="preserve">The </w:t>
      </w:r>
      <w:r w:rsidRPr="00DB3C7C">
        <w:rPr>
          <w:noProof/>
          <w:lang w:val="en-US"/>
        </w:rPr>
        <w:t>Trial Justice failed to consider </w:t>
      </w:r>
      <w:r w:rsidRPr="00DB3C7C">
        <w:rPr>
          <w:i/>
          <w:iCs/>
          <w:noProof/>
          <w:lang w:val="en-US"/>
        </w:rPr>
        <w:t>ESA </w:t>
      </w:r>
      <w:r w:rsidRPr="00DB3C7C">
        <w:rPr>
          <w:noProof/>
          <w:lang w:val="en-US"/>
        </w:rPr>
        <w:t>s. 2(2) when weighing the circumstantial evidence</w:t>
      </w:r>
      <w:r>
        <w:rPr>
          <w:noProof/>
        </w:rPr>
        <w:tab/>
      </w:r>
      <w:r>
        <w:rPr>
          <w:noProof/>
        </w:rPr>
        <w:fldChar w:fldCharType="begin"/>
      </w:r>
      <w:r>
        <w:rPr>
          <w:noProof/>
        </w:rPr>
        <w:instrText xml:space="preserve"> PAGEREF _Toc220076108 \h </w:instrText>
      </w:r>
      <w:r>
        <w:rPr>
          <w:noProof/>
        </w:rPr>
      </w:r>
      <w:r>
        <w:rPr>
          <w:noProof/>
        </w:rPr>
        <w:fldChar w:fldCharType="separate"/>
      </w:r>
      <w:r w:rsidR="005907C5">
        <w:rPr>
          <w:noProof/>
        </w:rPr>
        <w:t>11</w:t>
      </w:r>
      <w:r>
        <w:rPr>
          <w:noProof/>
        </w:rPr>
        <w:fldChar w:fldCharType="end"/>
      </w:r>
    </w:p>
    <w:p w14:paraId="27D9D6C2" w14:textId="2E7B8564"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(iv)</w:t>
      </w:r>
      <w:r>
        <w:rPr>
          <w:rFonts w:asciiTheme="minorHAnsi" w:eastAsiaTheme="minorEastAsia" w:hAnsiTheme="minorHAnsi" w:cstheme="minorBidi"/>
          <w:noProof/>
          <w:kern w:val="2"/>
          <w14:ligatures w14:val="standardContextual"/>
        </w:rPr>
        <w:tab/>
      </w:r>
      <w:r w:rsidRPr="00DB3C7C">
        <w:rPr>
          <w:noProof/>
        </w:rPr>
        <w:t>The non-expert witnesses provided inconclusive evidence on which the Trial Justice relied</w:t>
      </w:r>
      <w:r>
        <w:rPr>
          <w:noProof/>
        </w:rPr>
        <w:tab/>
      </w:r>
      <w:r>
        <w:rPr>
          <w:noProof/>
        </w:rPr>
        <w:fldChar w:fldCharType="begin"/>
      </w:r>
      <w:r>
        <w:rPr>
          <w:noProof/>
        </w:rPr>
        <w:instrText xml:space="preserve"> PAGEREF _Toc220076109 \h </w:instrText>
      </w:r>
      <w:r>
        <w:rPr>
          <w:noProof/>
        </w:rPr>
      </w:r>
      <w:r>
        <w:rPr>
          <w:noProof/>
        </w:rPr>
        <w:fldChar w:fldCharType="separate"/>
      </w:r>
      <w:r w:rsidR="005907C5">
        <w:rPr>
          <w:noProof/>
        </w:rPr>
        <w:t>11</w:t>
      </w:r>
      <w:r>
        <w:rPr>
          <w:noProof/>
        </w:rPr>
        <w:fldChar w:fldCharType="end"/>
      </w:r>
    </w:p>
    <w:p w14:paraId="6B108B85" w14:textId="7F7FA10B"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(v)</w:t>
      </w:r>
      <w:r>
        <w:rPr>
          <w:rFonts w:asciiTheme="minorHAnsi" w:eastAsiaTheme="minorEastAsia" w:hAnsiTheme="minorHAnsi" w:cstheme="minorBidi"/>
          <w:noProof/>
          <w:kern w:val="2"/>
          <w14:ligatures w14:val="standardContextual"/>
        </w:rPr>
        <w:tab/>
      </w:r>
      <w:r w:rsidRPr="00DB3C7C">
        <w:rPr>
          <w:noProof/>
        </w:rPr>
        <w:t>The Trial Justice erred by attaching weight to hearsay evidence</w:t>
      </w:r>
      <w:r>
        <w:rPr>
          <w:noProof/>
        </w:rPr>
        <w:tab/>
      </w:r>
      <w:r>
        <w:rPr>
          <w:noProof/>
        </w:rPr>
        <w:fldChar w:fldCharType="begin"/>
      </w:r>
      <w:r>
        <w:rPr>
          <w:noProof/>
        </w:rPr>
        <w:instrText xml:space="preserve"> PAGEREF _Toc220076110 \h </w:instrText>
      </w:r>
      <w:r>
        <w:rPr>
          <w:noProof/>
        </w:rPr>
      </w:r>
      <w:r>
        <w:rPr>
          <w:noProof/>
        </w:rPr>
        <w:fldChar w:fldCharType="separate"/>
      </w:r>
      <w:r w:rsidR="005907C5">
        <w:rPr>
          <w:noProof/>
        </w:rPr>
        <w:t>12</w:t>
      </w:r>
      <w:r>
        <w:rPr>
          <w:noProof/>
        </w:rPr>
        <w:fldChar w:fldCharType="end"/>
      </w:r>
    </w:p>
    <w:p w14:paraId="74C54C3F" w14:textId="0D9C2A0B"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(vi)</w:t>
      </w:r>
      <w:r>
        <w:rPr>
          <w:rFonts w:asciiTheme="minorHAnsi" w:eastAsiaTheme="minorEastAsia" w:hAnsiTheme="minorHAnsi" w:cstheme="minorBidi"/>
          <w:noProof/>
          <w:kern w:val="2"/>
          <w14:ligatures w14:val="standardContextual"/>
        </w:rPr>
        <w:tab/>
      </w:r>
      <w:r w:rsidRPr="00DB3C7C">
        <w:rPr>
          <w:noProof/>
        </w:rPr>
        <w:t>The Crown’s expert witness could neither confirm nor prove that the Site was Blanding’s turtle habitat</w:t>
      </w:r>
      <w:r>
        <w:rPr>
          <w:noProof/>
        </w:rPr>
        <w:tab/>
      </w:r>
      <w:r>
        <w:rPr>
          <w:noProof/>
        </w:rPr>
        <w:fldChar w:fldCharType="begin"/>
      </w:r>
      <w:r>
        <w:rPr>
          <w:noProof/>
        </w:rPr>
        <w:instrText xml:space="preserve"> PAGEREF _Toc220076111 \h </w:instrText>
      </w:r>
      <w:r>
        <w:rPr>
          <w:noProof/>
        </w:rPr>
      </w:r>
      <w:r>
        <w:rPr>
          <w:noProof/>
        </w:rPr>
        <w:fldChar w:fldCharType="separate"/>
      </w:r>
      <w:r w:rsidR="005907C5">
        <w:rPr>
          <w:noProof/>
        </w:rPr>
        <w:t>13</w:t>
      </w:r>
      <w:r>
        <w:rPr>
          <w:noProof/>
        </w:rPr>
        <w:fldChar w:fldCharType="end"/>
      </w:r>
    </w:p>
    <w:p w14:paraId="500B127C" w14:textId="60D6E661" w:rsidR="00793097" w:rsidRDefault="00793097" w:rsidP="002E7E53">
      <w:pPr>
        <w:pStyle w:val="TOC2"/>
        <w:rPr>
          <w:rFonts w:asciiTheme="minorHAnsi" w:eastAsiaTheme="minorEastAsia" w:hAnsiTheme="minorHAnsi" w:cstheme="minorBidi"/>
          <w:noProof/>
          <w:kern w:val="2"/>
          <w14:ligatures w14:val="standardContextual"/>
        </w:rPr>
      </w:pPr>
      <w:r w:rsidRPr="00DB3C7C">
        <w:rPr>
          <w:noProof/>
        </w:rPr>
        <w:t>C.</w:t>
      </w:r>
      <w:r>
        <w:rPr>
          <w:rFonts w:asciiTheme="minorHAnsi" w:eastAsiaTheme="minorEastAsia" w:hAnsiTheme="minorHAnsi" w:cstheme="minorBidi"/>
          <w:noProof/>
          <w:kern w:val="2"/>
          <w14:ligatures w14:val="standardContextual"/>
        </w:rPr>
        <w:tab/>
      </w:r>
      <w:r w:rsidRPr="00DB3C7C">
        <w:rPr>
          <w:noProof/>
        </w:rPr>
        <w:t>Issue 3: The OCJ did not err in its interpretation of the statutory definition of “habitat”</w:t>
      </w:r>
      <w:r>
        <w:rPr>
          <w:noProof/>
        </w:rPr>
        <w:tab/>
      </w:r>
      <w:r>
        <w:rPr>
          <w:noProof/>
        </w:rPr>
        <w:fldChar w:fldCharType="begin"/>
      </w:r>
      <w:r>
        <w:rPr>
          <w:noProof/>
        </w:rPr>
        <w:instrText xml:space="preserve"> PAGEREF _Toc220076112 \h </w:instrText>
      </w:r>
      <w:r>
        <w:rPr>
          <w:noProof/>
        </w:rPr>
      </w:r>
      <w:r>
        <w:rPr>
          <w:noProof/>
        </w:rPr>
        <w:fldChar w:fldCharType="separate"/>
      </w:r>
      <w:r w:rsidR="005907C5">
        <w:rPr>
          <w:noProof/>
        </w:rPr>
        <w:t>13</w:t>
      </w:r>
      <w:r>
        <w:rPr>
          <w:noProof/>
        </w:rPr>
        <w:fldChar w:fldCharType="end"/>
      </w:r>
    </w:p>
    <w:p w14:paraId="53D0F3CA" w14:textId="4FD5B715" w:rsidR="00793097" w:rsidRDefault="00793097" w:rsidP="00793097">
      <w:pPr>
        <w:pStyle w:val="TOC3"/>
        <w:tabs>
          <w:tab w:val="left" w:pos="96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w:t>
      </w:r>
      <w:r>
        <w:rPr>
          <w:rFonts w:asciiTheme="minorHAnsi" w:eastAsiaTheme="minorEastAsia" w:hAnsiTheme="minorHAnsi" w:cstheme="minorBidi"/>
          <w:noProof/>
          <w:kern w:val="2"/>
          <w14:ligatures w14:val="standardContextual"/>
        </w:rPr>
        <w:tab/>
      </w:r>
      <w:r w:rsidRPr="00DB3C7C">
        <w:rPr>
          <w:noProof/>
        </w:rPr>
        <w:t>Indirect dependence requires proof of reliance rather than mere utility</w:t>
      </w:r>
      <w:r>
        <w:rPr>
          <w:noProof/>
        </w:rPr>
        <w:tab/>
      </w:r>
      <w:r>
        <w:rPr>
          <w:noProof/>
        </w:rPr>
        <w:fldChar w:fldCharType="begin"/>
      </w:r>
      <w:r>
        <w:rPr>
          <w:noProof/>
        </w:rPr>
        <w:instrText xml:space="preserve"> PAGEREF _Toc220076113 \h </w:instrText>
      </w:r>
      <w:r>
        <w:rPr>
          <w:noProof/>
        </w:rPr>
      </w:r>
      <w:r>
        <w:rPr>
          <w:noProof/>
        </w:rPr>
        <w:fldChar w:fldCharType="separate"/>
      </w:r>
      <w:r w:rsidR="005907C5">
        <w:rPr>
          <w:noProof/>
        </w:rPr>
        <w:t>14</w:t>
      </w:r>
      <w:r>
        <w:rPr>
          <w:noProof/>
        </w:rPr>
        <w:fldChar w:fldCharType="end"/>
      </w:r>
    </w:p>
    <w:p w14:paraId="122576EF" w14:textId="51622BBD"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(ii)</w:t>
      </w:r>
      <w:r>
        <w:rPr>
          <w:rFonts w:asciiTheme="minorHAnsi" w:eastAsiaTheme="minorEastAsia" w:hAnsiTheme="minorHAnsi" w:cstheme="minorBidi"/>
          <w:noProof/>
          <w:kern w:val="2"/>
          <w14:ligatures w14:val="standardContextual"/>
        </w:rPr>
        <w:tab/>
      </w:r>
      <w:r w:rsidRPr="00DB3C7C">
        <w:rPr>
          <w:noProof/>
        </w:rPr>
        <w:t>The OCJ did not reject “indirect habitat” as a legal concept</w:t>
      </w:r>
      <w:r>
        <w:rPr>
          <w:noProof/>
        </w:rPr>
        <w:tab/>
      </w:r>
      <w:r>
        <w:rPr>
          <w:noProof/>
        </w:rPr>
        <w:fldChar w:fldCharType="begin"/>
      </w:r>
      <w:r>
        <w:rPr>
          <w:noProof/>
        </w:rPr>
        <w:instrText xml:space="preserve"> PAGEREF _Toc220076114 \h </w:instrText>
      </w:r>
      <w:r>
        <w:rPr>
          <w:noProof/>
        </w:rPr>
      </w:r>
      <w:r>
        <w:rPr>
          <w:noProof/>
        </w:rPr>
        <w:fldChar w:fldCharType="separate"/>
      </w:r>
      <w:r w:rsidR="005907C5">
        <w:rPr>
          <w:noProof/>
        </w:rPr>
        <w:t>15</w:t>
      </w:r>
      <w:r>
        <w:rPr>
          <w:noProof/>
        </w:rPr>
        <w:fldChar w:fldCharType="end"/>
      </w:r>
    </w:p>
    <w:p w14:paraId="42506D8A" w14:textId="0919AE91" w:rsidR="00793097" w:rsidRDefault="00793097" w:rsidP="00793097">
      <w:pPr>
        <w:pStyle w:val="TOC3"/>
        <w:tabs>
          <w:tab w:val="left" w:pos="1200"/>
          <w:tab w:val="right" w:leader="dot" w:pos="9350"/>
        </w:tabs>
        <w:spacing w:line="360" w:lineRule="auto"/>
        <w:rPr>
          <w:rFonts w:asciiTheme="minorHAnsi" w:eastAsiaTheme="minorEastAsia" w:hAnsiTheme="minorHAnsi" w:cstheme="minorBidi"/>
          <w:noProof/>
          <w:kern w:val="2"/>
          <w14:ligatures w14:val="standardContextual"/>
        </w:rPr>
      </w:pPr>
      <w:r w:rsidRPr="00DB3C7C">
        <w:rPr>
          <w:noProof/>
        </w:rPr>
        <w:t>(iii)</w:t>
      </w:r>
      <w:r>
        <w:rPr>
          <w:rFonts w:asciiTheme="minorHAnsi" w:eastAsiaTheme="minorEastAsia" w:hAnsiTheme="minorHAnsi" w:cstheme="minorBidi"/>
          <w:noProof/>
          <w:kern w:val="2"/>
          <w14:ligatures w14:val="standardContextual"/>
        </w:rPr>
        <w:tab/>
      </w:r>
      <w:r w:rsidRPr="00DB3C7C">
        <w:rPr>
          <w:noProof/>
        </w:rPr>
        <w:t>A broad and purposive interpretation does not bridge evidentiary gaps</w:t>
      </w:r>
      <w:r>
        <w:rPr>
          <w:noProof/>
        </w:rPr>
        <w:tab/>
      </w:r>
      <w:r>
        <w:rPr>
          <w:noProof/>
        </w:rPr>
        <w:fldChar w:fldCharType="begin"/>
      </w:r>
      <w:r>
        <w:rPr>
          <w:noProof/>
        </w:rPr>
        <w:instrText xml:space="preserve"> PAGEREF _Toc220076115 \h </w:instrText>
      </w:r>
      <w:r>
        <w:rPr>
          <w:noProof/>
        </w:rPr>
      </w:r>
      <w:r>
        <w:rPr>
          <w:noProof/>
        </w:rPr>
        <w:fldChar w:fldCharType="separate"/>
      </w:r>
      <w:r w:rsidR="005907C5">
        <w:rPr>
          <w:noProof/>
        </w:rPr>
        <w:t>17</w:t>
      </w:r>
      <w:r>
        <w:rPr>
          <w:noProof/>
        </w:rPr>
        <w:fldChar w:fldCharType="end"/>
      </w:r>
    </w:p>
    <w:p w14:paraId="2287223F" w14:textId="7E37ECF8" w:rsidR="00793097" w:rsidRDefault="00793097" w:rsidP="002E7E53">
      <w:pPr>
        <w:pStyle w:val="TOC2"/>
        <w:rPr>
          <w:rFonts w:asciiTheme="minorHAnsi" w:eastAsiaTheme="minorEastAsia" w:hAnsiTheme="minorHAnsi" w:cstheme="minorBidi"/>
          <w:noProof/>
          <w:kern w:val="2"/>
          <w14:ligatures w14:val="standardContextual"/>
        </w:rPr>
      </w:pPr>
      <w:r w:rsidRPr="00DB3C7C">
        <w:rPr>
          <w:noProof/>
        </w:rPr>
        <w:lastRenderedPageBreak/>
        <w:t>D.</w:t>
      </w:r>
      <w:r>
        <w:rPr>
          <w:rFonts w:asciiTheme="minorHAnsi" w:eastAsiaTheme="minorEastAsia" w:hAnsiTheme="minorHAnsi" w:cstheme="minorBidi"/>
          <w:noProof/>
          <w:kern w:val="2"/>
          <w14:ligatures w14:val="standardContextual"/>
        </w:rPr>
        <w:tab/>
      </w:r>
      <w:r w:rsidRPr="00DB3C7C">
        <w:rPr>
          <w:noProof/>
        </w:rPr>
        <w:t xml:space="preserve">Issue 2: </w:t>
      </w:r>
      <w:r w:rsidRPr="00DB3C7C">
        <w:rPr>
          <w:noProof/>
          <w:lang w:val="en-GB"/>
        </w:rPr>
        <w:t>The General Habitat Description </w:t>
      </w:r>
      <w:r w:rsidRPr="00DB3C7C">
        <w:rPr>
          <w:noProof/>
        </w:rPr>
        <w:t>is neither a legal document nor legal instrument and does not conclusively prove that Blanding’s turtles used the Site at the time of CHL’s alleged offence</w:t>
      </w:r>
      <w:r>
        <w:rPr>
          <w:noProof/>
        </w:rPr>
        <w:tab/>
      </w:r>
      <w:r>
        <w:rPr>
          <w:noProof/>
        </w:rPr>
        <w:fldChar w:fldCharType="begin"/>
      </w:r>
      <w:r>
        <w:rPr>
          <w:noProof/>
        </w:rPr>
        <w:instrText xml:space="preserve"> PAGEREF _Toc220076116 \h </w:instrText>
      </w:r>
      <w:r>
        <w:rPr>
          <w:noProof/>
        </w:rPr>
      </w:r>
      <w:r>
        <w:rPr>
          <w:noProof/>
        </w:rPr>
        <w:fldChar w:fldCharType="separate"/>
      </w:r>
      <w:r w:rsidR="005907C5">
        <w:rPr>
          <w:noProof/>
        </w:rPr>
        <w:t>18</w:t>
      </w:r>
      <w:r>
        <w:rPr>
          <w:noProof/>
        </w:rPr>
        <w:fldChar w:fldCharType="end"/>
      </w:r>
    </w:p>
    <w:p w14:paraId="35399FEE" w14:textId="632540A3" w:rsidR="00793097" w:rsidRDefault="00793097" w:rsidP="002E7E53">
      <w:pPr>
        <w:pStyle w:val="TOC2"/>
        <w:rPr>
          <w:rFonts w:asciiTheme="minorHAnsi" w:eastAsiaTheme="minorEastAsia" w:hAnsiTheme="minorHAnsi" w:cstheme="minorBidi"/>
          <w:noProof/>
          <w:kern w:val="2"/>
          <w14:ligatures w14:val="standardContextual"/>
        </w:rPr>
      </w:pPr>
      <w:r w:rsidRPr="00DB3C7C">
        <w:rPr>
          <w:noProof/>
        </w:rPr>
        <w:t>E.</w:t>
      </w:r>
      <w:r>
        <w:rPr>
          <w:rFonts w:asciiTheme="minorHAnsi" w:eastAsiaTheme="minorEastAsia" w:hAnsiTheme="minorHAnsi" w:cstheme="minorBidi"/>
          <w:noProof/>
          <w:kern w:val="2"/>
          <w14:ligatures w14:val="standardContextual"/>
        </w:rPr>
        <w:tab/>
      </w:r>
      <w:r w:rsidRPr="00DB3C7C">
        <w:rPr>
          <w:noProof/>
        </w:rPr>
        <w:t>Issue 4: CHL would not have been convicted at trial if the new definition of “habitat” was in force when it was charged and tried</w:t>
      </w:r>
      <w:r>
        <w:rPr>
          <w:noProof/>
        </w:rPr>
        <w:tab/>
      </w:r>
      <w:r>
        <w:rPr>
          <w:noProof/>
        </w:rPr>
        <w:fldChar w:fldCharType="begin"/>
      </w:r>
      <w:r>
        <w:rPr>
          <w:noProof/>
        </w:rPr>
        <w:instrText xml:space="preserve"> PAGEREF _Toc220076117 \h </w:instrText>
      </w:r>
      <w:r>
        <w:rPr>
          <w:noProof/>
        </w:rPr>
      </w:r>
      <w:r>
        <w:rPr>
          <w:noProof/>
        </w:rPr>
        <w:fldChar w:fldCharType="separate"/>
      </w:r>
      <w:r w:rsidR="005907C5">
        <w:rPr>
          <w:noProof/>
        </w:rPr>
        <w:t>20</w:t>
      </w:r>
      <w:r>
        <w:rPr>
          <w:noProof/>
        </w:rPr>
        <w:fldChar w:fldCharType="end"/>
      </w:r>
    </w:p>
    <w:p w14:paraId="7EB94D84" w14:textId="1AC7FD0F" w:rsidR="00793097" w:rsidRDefault="00793097" w:rsidP="00793097">
      <w:pPr>
        <w:pStyle w:val="TOC1"/>
        <w:spacing w:line="360" w:lineRule="auto"/>
        <w:rPr>
          <w:rFonts w:asciiTheme="minorHAnsi" w:eastAsiaTheme="minorEastAsia" w:hAnsiTheme="minorHAnsi" w:cstheme="minorBidi"/>
          <w:noProof/>
          <w:kern w:val="2"/>
          <w14:ligatures w14:val="standardContextual"/>
        </w:rPr>
      </w:pPr>
      <w:r w:rsidRPr="00DB3C7C">
        <w:rPr>
          <w:noProof/>
        </w:rPr>
        <w:t>PART IV -- SUBMISSIONS IN SUPPORT OF COSTS</w:t>
      </w:r>
      <w:r>
        <w:rPr>
          <w:noProof/>
        </w:rPr>
        <w:tab/>
      </w:r>
      <w:r>
        <w:rPr>
          <w:noProof/>
        </w:rPr>
        <w:fldChar w:fldCharType="begin"/>
      </w:r>
      <w:r>
        <w:rPr>
          <w:noProof/>
        </w:rPr>
        <w:instrText xml:space="preserve"> PAGEREF _Toc220076118 \h </w:instrText>
      </w:r>
      <w:r>
        <w:rPr>
          <w:noProof/>
        </w:rPr>
      </w:r>
      <w:r>
        <w:rPr>
          <w:noProof/>
        </w:rPr>
        <w:fldChar w:fldCharType="separate"/>
      </w:r>
      <w:r w:rsidR="005907C5">
        <w:rPr>
          <w:noProof/>
        </w:rPr>
        <w:t>24</w:t>
      </w:r>
      <w:r>
        <w:rPr>
          <w:noProof/>
        </w:rPr>
        <w:fldChar w:fldCharType="end"/>
      </w:r>
    </w:p>
    <w:p w14:paraId="25DFBBEA" w14:textId="1A0DA59B" w:rsidR="00793097" w:rsidRDefault="00793097" w:rsidP="00793097">
      <w:pPr>
        <w:pStyle w:val="TOC1"/>
        <w:spacing w:line="360" w:lineRule="auto"/>
        <w:rPr>
          <w:rFonts w:asciiTheme="minorHAnsi" w:eastAsiaTheme="minorEastAsia" w:hAnsiTheme="minorHAnsi" w:cstheme="minorBidi"/>
          <w:noProof/>
          <w:kern w:val="2"/>
          <w14:ligatures w14:val="standardContextual"/>
        </w:rPr>
      </w:pPr>
      <w:r w:rsidRPr="00DB3C7C">
        <w:rPr>
          <w:noProof/>
        </w:rPr>
        <w:t>PART V -- ORDER SOUGHT</w:t>
      </w:r>
      <w:r>
        <w:rPr>
          <w:noProof/>
        </w:rPr>
        <w:tab/>
      </w:r>
      <w:r>
        <w:rPr>
          <w:noProof/>
        </w:rPr>
        <w:fldChar w:fldCharType="begin"/>
      </w:r>
      <w:r>
        <w:rPr>
          <w:noProof/>
        </w:rPr>
        <w:instrText xml:space="preserve"> PAGEREF _Toc220076119 \h </w:instrText>
      </w:r>
      <w:r>
        <w:rPr>
          <w:noProof/>
        </w:rPr>
      </w:r>
      <w:r>
        <w:rPr>
          <w:noProof/>
        </w:rPr>
        <w:fldChar w:fldCharType="separate"/>
      </w:r>
      <w:r w:rsidR="005907C5">
        <w:rPr>
          <w:noProof/>
        </w:rPr>
        <w:t>25</w:t>
      </w:r>
      <w:r>
        <w:rPr>
          <w:noProof/>
        </w:rPr>
        <w:fldChar w:fldCharType="end"/>
      </w:r>
    </w:p>
    <w:p w14:paraId="1338B655" w14:textId="6F803018" w:rsidR="00793097" w:rsidRDefault="00793097" w:rsidP="00793097">
      <w:pPr>
        <w:pStyle w:val="TOC1"/>
        <w:spacing w:line="360" w:lineRule="auto"/>
        <w:rPr>
          <w:rFonts w:asciiTheme="minorHAnsi" w:eastAsiaTheme="minorEastAsia" w:hAnsiTheme="minorHAnsi" w:cstheme="minorBidi"/>
          <w:noProof/>
          <w:kern w:val="2"/>
          <w14:ligatures w14:val="standardContextual"/>
        </w:rPr>
      </w:pPr>
      <w:r w:rsidRPr="00DB3C7C">
        <w:rPr>
          <w:noProof/>
        </w:rPr>
        <w:t>PART VI -- TABLE OF AUTHORITIES</w:t>
      </w:r>
      <w:r>
        <w:rPr>
          <w:noProof/>
        </w:rPr>
        <w:tab/>
      </w:r>
      <w:r>
        <w:rPr>
          <w:noProof/>
        </w:rPr>
        <w:fldChar w:fldCharType="begin"/>
      </w:r>
      <w:r>
        <w:rPr>
          <w:noProof/>
        </w:rPr>
        <w:instrText xml:space="preserve"> PAGEREF _Toc220076120 \h </w:instrText>
      </w:r>
      <w:r>
        <w:rPr>
          <w:noProof/>
        </w:rPr>
      </w:r>
      <w:r>
        <w:rPr>
          <w:noProof/>
        </w:rPr>
        <w:fldChar w:fldCharType="separate"/>
      </w:r>
      <w:r w:rsidR="005907C5">
        <w:rPr>
          <w:noProof/>
        </w:rPr>
        <w:t>26</w:t>
      </w:r>
      <w:r>
        <w:rPr>
          <w:noProof/>
        </w:rPr>
        <w:fldChar w:fldCharType="end"/>
      </w:r>
    </w:p>
    <w:p w14:paraId="01B7A8CF" w14:textId="630B97DD" w:rsidR="00793097" w:rsidRDefault="00793097" w:rsidP="00793097">
      <w:pPr>
        <w:pStyle w:val="TOC1"/>
        <w:spacing w:line="360" w:lineRule="auto"/>
        <w:rPr>
          <w:rFonts w:asciiTheme="minorHAnsi" w:eastAsiaTheme="minorEastAsia" w:hAnsiTheme="minorHAnsi" w:cstheme="minorBidi"/>
          <w:noProof/>
          <w:kern w:val="2"/>
          <w14:ligatures w14:val="standardContextual"/>
        </w:rPr>
      </w:pPr>
      <w:r w:rsidRPr="00DB3C7C">
        <w:rPr>
          <w:noProof/>
        </w:rPr>
        <w:t>PART VII -- LEGISLATION AT ISSUE</w:t>
      </w:r>
      <w:r>
        <w:rPr>
          <w:noProof/>
        </w:rPr>
        <w:tab/>
      </w:r>
      <w:r>
        <w:rPr>
          <w:noProof/>
        </w:rPr>
        <w:fldChar w:fldCharType="begin"/>
      </w:r>
      <w:r>
        <w:rPr>
          <w:noProof/>
        </w:rPr>
        <w:instrText xml:space="preserve"> PAGEREF _Toc220076121 \h </w:instrText>
      </w:r>
      <w:r>
        <w:rPr>
          <w:noProof/>
        </w:rPr>
      </w:r>
      <w:r>
        <w:rPr>
          <w:noProof/>
        </w:rPr>
        <w:fldChar w:fldCharType="separate"/>
      </w:r>
      <w:r w:rsidR="005907C5">
        <w:rPr>
          <w:noProof/>
        </w:rPr>
        <w:t>29</w:t>
      </w:r>
      <w:r>
        <w:rPr>
          <w:noProof/>
        </w:rPr>
        <w:fldChar w:fldCharType="end"/>
      </w:r>
    </w:p>
    <w:p w14:paraId="22FAF62E" w14:textId="7DD3BD13" w:rsidR="00037BFB" w:rsidRDefault="009F5FF0" w:rsidP="00793097">
      <w:pPr>
        <w:spacing w:line="360" w:lineRule="auto"/>
      </w:pPr>
      <w:r>
        <w:fldChar w:fldCharType="end"/>
      </w:r>
    </w:p>
    <w:p w14:paraId="10C312AA" w14:textId="77777777" w:rsidR="00037BFB" w:rsidRDefault="00037BFB" w:rsidP="00CE4218">
      <w:pPr>
        <w:spacing w:line="360" w:lineRule="auto"/>
        <w:sectPr w:rsidR="00037BFB" w:rsidSect="007C43C1">
          <w:pgSz w:w="12240" w:h="15840" w:code="1"/>
          <w:pgMar w:top="1440" w:right="1440" w:bottom="1440" w:left="1440" w:header="720" w:footer="720" w:gutter="0"/>
          <w:pgNumType w:fmt="lowerRoman" w:start="1"/>
          <w:cols w:space="720"/>
          <w:docGrid w:linePitch="360"/>
        </w:sectPr>
      </w:pPr>
    </w:p>
    <w:p w14:paraId="26AFAFF8" w14:textId="77777777" w:rsidR="00DD6E8C" w:rsidRDefault="00DD6E8C" w:rsidP="00C61AF7">
      <w:pPr>
        <w:pStyle w:val="Heading1"/>
        <w:spacing w:line="360" w:lineRule="auto"/>
        <w:rPr>
          <w:rFonts w:ascii="Times New Roman" w:hAnsi="Times New Roman"/>
          <w:sz w:val="24"/>
          <w:szCs w:val="24"/>
        </w:rPr>
      </w:pPr>
      <w:bookmarkStart w:id="1" w:name="_Toc271703729"/>
      <w:bookmarkStart w:id="2" w:name="_Toc220076096"/>
      <w:r w:rsidRPr="00D678D8">
        <w:rPr>
          <w:rFonts w:ascii="Times New Roman" w:hAnsi="Times New Roman"/>
          <w:sz w:val="24"/>
          <w:szCs w:val="24"/>
        </w:rPr>
        <w:lastRenderedPageBreak/>
        <w:t>OVERVIEW AND STATEMENT OF FACTS</w:t>
      </w:r>
      <w:bookmarkEnd w:id="1"/>
      <w:bookmarkEnd w:id="2"/>
    </w:p>
    <w:p w14:paraId="0C239DD0" w14:textId="77777777" w:rsidR="006E05E5" w:rsidRPr="006E05E5" w:rsidRDefault="006E05E5" w:rsidP="00C61AF7">
      <w:pPr>
        <w:spacing w:line="360" w:lineRule="auto"/>
      </w:pPr>
    </w:p>
    <w:p w14:paraId="754C4C1A" w14:textId="77777777" w:rsidR="00DD6E8C" w:rsidRDefault="00D678D8" w:rsidP="00C61AF7">
      <w:pPr>
        <w:pStyle w:val="Heading2"/>
        <w:tabs>
          <w:tab w:val="num" w:pos="720"/>
        </w:tabs>
        <w:spacing w:before="0" w:after="0" w:line="360" w:lineRule="auto"/>
        <w:rPr>
          <w:rFonts w:ascii="Times New Roman" w:hAnsi="Times New Roman"/>
          <w:i w:val="0"/>
          <w:sz w:val="24"/>
          <w:szCs w:val="24"/>
        </w:rPr>
      </w:pPr>
      <w:bookmarkStart w:id="3" w:name="_Toc271703730"/>
      <w:bookmarkStart w:id="4" w:name="_Toc220076097"/>
      <w:r w:rsidRPr="00D678D8">
        <w:rPr>
          <w:rFonts w:ascii="Times New Roman" w:hAnsi="Times New Roman"/>
          <w:i w:val="0"/>
          <w:sz w:val="24"/>
          <w:szCs w:val="24"/>
        </w:rPr>
        <w:t xml:space="preserve">Overview of the </w:t>
      </w:r>
      <w:r w:rsidR="00EE2290">
        <w:rPr>
          <w:rFonts w:ascii="Times New Roman" w:hAnsi="Times New Roman"/>
          <w:i w:val="0"/>
          <w:sz w:val="24"/>
          <w:szCs w:val="24"/>
        </w:rPr>
        <w:t>Respondent</w:t>
      </w:r>
      <w:r w:rsidRPr="00D678D8">
        <w:rPr>
          <w:rFonts w:ascii="Times New Roman" w:hAnsi="Times New Roman"/>
          <w:i w:val="0"/>
          <w:sz w:val="24"/>
          <w:szCs w:val="24"/>
        </w:rPr>
        <w:t>’s Position</w:t>
      </w:r>
      <w:bookmarkEnd w:id="3"/>
      <w:bookmarkEnd w:id="4"/>
      <w:r w:rsidR="00DD6E8C" w:rsidRPr="00D678D8">
        <w:rPr>
          <w:rFonts w:ascii="Times New Roman" w:hAnsi="Times New Roman"/>
          <w:i w:val="0"/>
          <w:sz w:val="24"/>
          <w:szCs w:val="24"/>
        </w:rPr>
        <w:t xml:space="preserve"> </w:t>
      </w:r>
    </w:p>
    <w:p w14:paraId="722B827C" w14:textId="77777777" w:rsidR="006E05E5" w:rsidRPr="006E05E5" w:rsidRDefault="006E05E5" w:rsidP="00C61AF7">
      <w:pPr>
        <w:spacing w:line="360" w:lineRule="auto"/>
      </w:pPr>
    </w:p>
    <w:p w14:paraId="31CA32C5" w14:textId="77777777" w:rsidR="00CD4560" w:rsidRDefault="00CD4560" w:rsidP="00C61AF7">
      <w:pPr>
        <w:pStyle w:val="WSParaNum"/>
        <w:spacing w:before="0" w:after="0"/>
      </w:pPr>
      <w:r>
        <w:t xml:space="preserve">This </w:t>
      </w:r>
      <w:r w:rsidRPr="00DB02D4">
        <w:rPr>
          <w:lang w:val="en-US"/>
        </w:rPr>
        <w:t>appeal concerns a fundamental challenge of environmental law: balancing the need to uphold fairness and the rule of law while advancing the protection of species at risk in Ontario.</w:t>
      </w:r>
      <w:r w:rsidRPr="00DB02D4">
        <w:t> </w:t>
      </w:r>
    </w:p>
    <w:p w14:paraId="649A5566" w14:textId="77777777" w:rsidR="006E05E5" w:rsidRPr="00D678D8" w:rsidRDefault="006E05E5" w:rsidP="006E05E5">
      <w:pPr>
        <w:pStyle w:val="WSParaNum"/>
        <w:numPr>
          <w:ilvl w:val="0"/>
          <w:numId w:val="0"/>
        </w:numPr>
        <w:spacing w:before="0" w:after="0"/>
      </w:pPr>
    </w:p>
    <w:p w14:paraId="346D733C" w14:textId="5CB20E14" w:rsidR="00842269" w:rsidRPr="006E05E5" w:rsidRDefault="00CD4560" w:rsidP="00FE2D7A">
      <w:pPr>
        <w:pStyle w:val="WSParaNum"/>
        <w:spacing w:before="0" w:after="0"/>
        <w:rPr>
          <w:rStyle w:val="eop"/>
        </w:rPr>
      </w:pPr>
      <w:r>
        <w:t xml:space="preserve">The </w:t>
      </w:r>
      <w:r w:rsidRPr="01A20A40">
        <w:rPr>
          <w:rStyle w:val="normaltextrun"/>
          <w:color w:val="000000" w:themeColor="text1"/>
          <w:lang w:val="en-US"/>
        </w:rPr>
        <w:t>appeal turns on the correct application of the </w:t>
      </w:r>
      <w:r w:rsidRPr="01A20A40">
        <w:rPr>
          <w:rStyle w:val="normaltextrun"/>
          <w:i/>
          <w:iCs/>
          <w:color w:val="000000" w:themeColor="text1"/>
        </w:rPr>
        <w:t>Endangered Species Act, 2007</w:t>
      </w:r>
      <w:r w:rsidRPr="01A20A40">
        <w:rPr>
          <w:rStyle w:val="normaltextrun"/>
          <w:color w:val="000000" w:themeColor="text1"/>
        </w:rPr>
        <w:t>, S.O. 2007, c. 6 (“</w:t>
      </w:r>
      <w:r w:rsidRPr="01A20A40">
        <w:rPr>
          <w:rStyle w:val="normaltextrun"/>
          <w:i/>
          <w:iCs/>
          <w:color w:val="000000" w:themeColor="text1"/>
        </w:rPr>
        <w:t>ESA</w:t>
      </w:r>
      <w:r w:rsidRPr="01A20A40">
        <w:rPr>
          <w:rStyle w:val="normaltextrun"/>
          <w:color w:val="000000" w:themeColor="text1"/>
        </w:rPr>
        <w:t>”)</w:t>
      </w:r>
      <w:r w:rsidRPr="01A20A40">
        <w:rPr>
          <w:rStyle w:val="normaltextrun"/>
          <w:i/>
          <w:iCs/>
          <w:color w:val="000000" w:themeColor="text1"/>
          <w:lang w:val="en-US"/>
        </w:rPr>
        <w:t> </w:t>
      </w:r>
      <w:r w:rsidRPr="01A20A40">
        <w:rPr>
          <w:rStyle w:val="normaltextrun"/>
          <w:color w:val="000000" w:themeColor="text1"/>
          <w:lang w:val="en-US"/>
        </w:rPr>
        <w:t>and the relationship between its purpos</w:t>
      </w:r>
      <w:r w:rsidR="422CC4C2" w:rsidRPr="01A20A40">
        <w:rPr>
          <w:rStyle w:val="normaltextrun"/>
          <w:color w:val="000000" w:themeColor="text1"/>
          <w:lang w:val="en-US"/>
        </w:rPr>
        <w:t xml:space="preserve">e </w:t>
      </w:r>
      <w:r w:rsidRPr="01A20A40">
        <w:rPr>
          <w:rStyle w:val="normaltextrun"/>
          <w:color w:val="000000" w:themeColor="text1"/>
          <w:lang w:val="en-US"/>
        </w:rPr>
        <w:t>and the evidentiary threshold </w:t>
      </w:r>
      <w:r w:rsidRPr="3B15F2B5">
        <w:rPr>
          <w:rStyle w:val="normaltextrun"/>
          <w:color w:val="000000" w:themeColor="text1"/>
          <w:lang w:val="en-US"/>
        </w:rPr>
        <w:t>required to determine liability. </w:t>
      </w:r>
      <w:r w:rsidR="00842269" w:rsidRPr="01A20A40">
        <w:rPr>
          <w:rStyle w:val="eop"/>
        </w:rPr>
        <w:t>Permitting the</w:t>
      </w:r>
      <w:r w:rsidR="00842269" w:rsidRPr="00842269">
        <w:rPr>
          <w:rStyle w:val="eop"/>
        </w:rPr>
        <w:t xml:space="preserve"> Crown’s </w:t>
      </w:r>
      <w:r w:rsidR="00842269" w:rsidRPr="01A20A40">
        <w:rPr>
          <w:rStyle w:val="eop"/>
        </w:rPr>
        <w:t>prosecution to proceed on</w:t>
      </w:r>
      <w:r w:rsidR="00842269" w:rsidRPr="00842269">
        <w:rPr>
          <w:rStyle w:val="eop"/>
        </w:rPr>
        <w:t xml:space="preserve"> insufficient evidence would erode the rule of law,</w:t>
      </w:r>
      <w:r w:rsidR="00FA2EE4">
        <w:rPr>
          <w:rStyle w:val="eop"/>
        </w:rPr>
        <w:t xml:space="preserve"> </w:t>
      </w:r>
      <w:r w:rsidR="00842269" w:rsidRPr="00842269">
        <w:rPr>
          <w:rStyle w:val="eop"/>
        </w:rPr>
        <w:t xml:space="preserve">opening the floodgates of indeterminate liability for environmental offences </w:t>
      </w:r>
      <w:r w:rsidR="3A5354DB" w:rsidRPr="0F655F09">
        <w:rPr>
          <w:rStyle w:val="eop"/>
        </w:rPr>
        <w:t xml:space="preserve">in the </w:t>
      </w:r>
      <w:r w:rsidR="3A5354DB" w:rsidRPr="4E77D061">
        <w:rPr>
          <w:rStyle w:val="eop"/>
        </w:rPr>
        <w:t>species at risk context</w:t>
      </w:r>
      <w:r w:rsidR="00842269" w:rsidRPr="308C6813">
        <w:rPr>
          <w:rStyle w:val="eop"/>
        </w:rPr>
        <w:t xml:space="preserve"> </w:t>
      </w:r>
      <w:r w:rsidR="0088484B">
        <w:rPr>
          <w:rStyle w:val="eop"/>
        </w:rPr>
        <w:t xml:space="preserve">at the expense of </w:t>
      </w:r>
      <w:r w:rsidR="00FC277C">
        <w:rPr>
          <w:rStyle w:val="eop"/>
        </w:rPr>
        <w:t xml:space="preserve">the </w:t>
      </w:r>
      <w:r w:rsidR="003B448F" w:rsidRPr="003B448F">
        <w:rPr>
          <w:rStyle w:val="eop"/>
          <w:i/>
          <w:iCs/>
        </w:rPr>
        <w:t>ESA</w:t>
      </w:r>
      <w:r w:rsidR="003B448F">
        <w:rPr>
          <w:rStyle w:val="eop"/>
        </w:rPr>
        <w:t>’s statutorily mandated</w:t>
      </w:r>
      <w:r w:rsidR="00FC277C">
        <w:rPr>
          <w:rStyle w:val="eop"/>
        </w:rPr>
        <w:t xml:space="preserve"> </w:t>
      </w:r>
      <w:r w:rsidR="0088484B">
        <w:rPr>
          <w:rStyle w:val="eop"/>
        </w:rPr>
        <w:t xml:space="preserve">social and economic considerations. </w:t>
      </w:r>
    </w:p>
    <w:p w14:paraId="7B3E8FE7" w14:textId="77777777" w:rsidR="006E05E5" w:rsidRPr="0062195B" w:rsidRDefault="006E05E5" w:rsidP="006E05E5">
      <w:pPr>
        <w:pStyle w:val="WSParaNum"/>
        <w:numPr>
          <w:ilvl w:val="0"/>
          <w:numId w:val="0"/>
        </w:numPr>
        <w:spacing w:before="0" w:after="0"/>
        <w:rPr>
          <w:rStyle w:val="eop"/>
        </w:rPr>
      </w:pPr>
    </w:p>
    <w:p w14:paraId="6CF352BB" w14:textId="77777777" w:rsidR="00CD4560" w:rsidRPr="006E05E5" w:rsidRDefault="00CD4560" w:rsidP="00CD4560">
      <w:pPr>
        <w:pStyle w:val="WSParaNum"/>
        <w:spacing w:before="0" w:after="0"/>
        <w:rPr>
          <w:rStyle w:val="eop"/>
        </w:rPr>
      </w:pPr>
      <w:r>
        <w:rPr>
          <w:rStyle w:val="eop"/>
          <w:color w:val="000000"/>
          <w:shd w:val="clear" w:color="auto" w:fill="FFFFFF"/>
        </w:rPr>
        <w:t>The Ontario Court of Justice (“OCJ”) correctly overturned Consolidated Homes Limited’s (“CHL”) conviction at trial. There are four issues in the present appeal to the Supreme Environmental Moot Court of Canada (“SEMCC”).</w:t>
      </w:r>
    </w:p>
    <w:p w14:paraId="31074581" w14:textId="77777777" w:rsidR="006E05E5" w:rsidRPr="006937CF" w:rsidRDefault="006E05E5" w:rsidP="006E05E5">
      <w:pPr>
        <w:pStyle w:val="WSParaNum"/>
        <w:numPr>
          <w:ilvl w:val="0"/>
          <w:numId w:val="0"/>
        </w:numPr>
        <w:spacing w:before="0" w:after="0"/>
        <w:rPr>
          <w:rStyle w:val="eop"/>
        </w:rPr>
      </w:pPr>
    </w:p>
    <w:p w14:paraId="4DB9C7E5" w14:textId="6CA51B89" w:rsidR="00CD4560" w:rsidRPr="006E05E5" w:rsidRDefault="0069747C" w:rsidP="00CD4560">
      <w:pPr>
        <w:pStyle w:val="WSParaNum"/>
        <w:spacing w:before="0" w:after="0"/>
        <w:rPr>
          <w:rStyle w:val="eop"/>
        </w:rPr>
      </w:pPr>
      <w:r>
        <w:rPr>
          <w:rStyle w:val="eop"/>
          <w:color w:val="000000"/>
          <w:shd w:val="clear" w:color="auto" w:fill="FFFFFF"/>
        </w:rPr>
        <w:t>First</w:t>
      </w:r>
      <w:r w:rsidR="00CD4560">
        <w:rPr>
          <w:rStyle w:val="normaltextrun"/>
          <w:color w:val="000000"/>
          <w:shd w:val="clear" w:color="auto" w:fill="FFFFFF"/>
          <w:lang w:val="en-US"/>
        </w:rPr>
        <w:t>, the OCJ correctly applied the </w:t>
      </w:r>
      <w:r w:rsidR="00CD4560">
        <w:rPr>
          <w:rStyle w:val="normaltextrun"/>
          <w:i/>
          <w:iCs/>
          <w:color w:val="000000"/>
          <w:shd w:val="clear" w:color="auto" w:fill="FFFFFF"/>
          <w:lang w:val="en-US"/>
        </w:rPr>
        <w:t>ESA</w:t>
      </w:r>
      <w:r w:rsidR="00CD4560">
        <w:rPr>
          <w:rStyle w:val="normaltextrun"/>
          <w:color w:val="000000"/>
          <w:shd w:val="clear" w:color="auto" w:fill="FFFFFF"/>
          <w:lang w:val="en-US"/>
        </w:rPr>
        <w:t xml:space="preserve">’s definition of “habitat” and correctly concluded that the Crown failed to prove beyond a reasonable doubt that Blanding’s turtles depended on the Site at the relevant time. The </w:t>
      </w:r>
      <w:r w:rsidR="001C48DF">
        <w:rPr>
          <w:rStyle w:val="normaltextrun"/>
          <w:color w:val="000000"/>
          <w:shd w:val="clear" w:color="auto" w:fill="FFFFFF"/>
          <w:lang w:val="en-US"/>
        </w:rPr>
        <w:t>T</w:t>
      </w:r>
      <w:r w:rsidR="00CD4560" w:rsidRPr="00127DDE">
        <w:rPr>
          <w:rStyle w:val="normaltextrun"/>
          <w:color w:val="000000"/>
          <w:shd w:val="clear" w:color="auto" w:fill="FFFFFF"/>
          <w:lang w:val="en-US"/>
        </w:rPr>
        <w:t xml:space="preserve">rial Justice </w:t>
      </w:r>
      <w:r w:rsidR="00CD4560">
        <w:rPr>
          <w:rStyle w:val="normaltextrun"/>
          <w:color w:val="000000"/>
          <w:shd w:val="clear" w:color="auto" w:fill="FFFFFF"/>
          <w:lang w:val="en-US"/>
        </w:rPr>
        <w:t xml:space="preserve">improperly inferred that the Site was Blanding’s turtle habitat at the time of the alleged offence based only on sightings from before and after </w:t>
      </w:r>
      <w:r w:rsidR="00351962">
        <w:rPr>
          <w:rStyle w:val="normaltextrun"/>
          <w:color w:val="000000"/>
          <w:shd w:val="clear" w:color="auto" w:fill="FFFFFF"/>
          <w:lang w:val="en-US"/>
        </w:rPr>
        <w:t xml:space="preserve">the offence period </w:t>
      </w:r>
      <w:r w:rsidR="00CD4560">
        <w:rPr>
          <w:rStyle w:val="normaltextrun"/>
          <w:color w:val="000000"/>
          <w:shd w:val="clear" w:color="auto" w:fill="FFFFFF"/>
          <w:lang w:val="en-US"/>
        </w:rPr>
        <w:t>and did not consider </w:t>
      </w:r>
      <w:r w:rsidR="00CD4560">
        <w:rPr>
          <w:rStyle w:val="normaltextrun"/>
          <w:i/>
          <w:iCs/>
          <w:color w:val="000000"/>
          <w:shd w:val="clear" w:color="auto" w:fill="FFFFFF"/>
          <w:lang w:val="en-US"/>
        </w:rPr>
        <w:t>ESA</w:t>
      </w:r>
      <w:r w:rsidR="00CD4560">
        <w:rPr>
          <w:rStyle w:val="normaltextrun"/>
          <w:color w:val="000000"/>
          <w:shd w:val="clear" w:color="auto" w:fill="FFFFFF"/>
          <w:lang w:val="en-US"/>
        </w:rPr>
        <w:t> s. 2(2), which excludes past and future habitat. </w:t>
      </w:r>
      <w:r w:rsidR="00CD4560">
        <w:rPr>
          <w:rStyle w:val="eop"/>
          <w:color w:val="000000"/>
          <w:shd w:val="clear" w:color="auto" w:fill="FFFFFF"/>
        </w:rPr>
        <w:t> </w:t>
      </w:r>
    </w:p>
    <w:p w14:paraId="2A8FD29E" w14:textId="77777777" w:rsidR="006E05E5" w:rsidRPr="00500800" w:rsidRDefault="006E05E5" w:rsidP="006E05E5">
      <w:pPr>
        <w:pStyle w:val="WSParaNum"/>
        <w:numPr>
          <w:ilvl w:val="0"/>
          <w:numId w:val="0"/>
        </w:numPr>
        <w:spacing w:before="0" w:after="0"/>
        <w:rPr>
          <w:rStyle w:val="normaltextrun"/>
        </w:rPr>
      </w:pPr>
    </w:p>
    <w:p w14:paraId="22412F41" w14:textId="7200D1ED" w:rsidR="00CD4560" w:rsidRPr="00184B6A" w:rsidRDefault="00B3300A" w:rsidP="00CD4560">
      <w:pPr>
        <w:pStyle w:val="WSParaNum"/>
        <w:spacing w:before="0" w:after="0"/>
        <w:rPr>
          <w:rStyle w:val="normaltextrun"/>
        </w:rPr>
      </w:pPr>
      <w:r>
        <w:rPr>
          <w:rStyle w:val="normaltextrun"/>
          <w:color w:val="000000"/>
          <w:shd w:val="clear" w:color="auto" w:fill="FFFFFF"/>
        </w:rPr>
        <w:t>Second</w:t>
      </w:r>
      <w:r w:rsidR="00CD4560">
        <w:rPr>
          <w:rStyle w:val="normaltextrun"/>
          <w:color w:val="000000"/>
          <w:shd w:val="clear" w:color="auto" w:fill="FFFFFF"/>
        </w:rPr>
        <w:t xml:space="preserve">, </w:t>
      </w:r>
      <w:r w:rsidR="00CD4560">
        <w:rPr>
          <w:rStyle w:val="normaltextrun"/>
          <w:color w:val="000000"/>
          <w:shd w:val="clear" w:color="auto" w:fill="FFFFFF"/>
          <w:lang w:val="en-US"/>
        </w:rPr>
        <w:t>the OCJ did not err in its interpretation that the statutory definition of “habitat” requires site-specific, temporally connected reliance by Blanding’s turtles at the time of the alleged offence. Rather than rejecting “indirect habitat</w:t>
      </w:r>
      <w:r w:rsidR="00B317EA">
        <w:rPr>
          <w:rStyle w:val="normaltextrun"/>
          <w:color w:val="000000"/>
          <w:shd w:val="clear" w:color="auto" w:fill="FFFFFF"/>
          <w:lang w:val="en-US"/>
        </w:rPr>
        <w:t>,</w:t>
      </w:r>
      <w:r w:rsidR="00CD4560">
        <w:rPr>
          <w:rStyle w:val="normaltextrun"/>
          <w:color w:val="000000"/>
          <w:shd w:val="clear" w:color="auto" w:fill="FFFFFF"/>
          <w:lang w:val="en-US"/>
        </w:rPr>
        <w:t>” the OCJ correctly required proof beyond a reasonable doubt of reliance to establish the Site as Blanding’s turtle habitat.</w:t>
      </w:r>
    </w:p>
    <w:p w14:paraId="12833D10" w14:textId="77777777" w:rsidR="00184B6A" w:rsidRDefault="00184B6A" w:rsidP="00184B6A">
      <w:pPr>
        <w:pStyle w:val="ListParagraph"/>
        <w:rPr>
          <w:rStyle w:val="normaltextrun"/>
        </w:rPr>
      </w:pPr>
    </w:p>
    <w:p w14:paraId="01BB88FF" w14:textId="63AE56EF" w:rsidR="00184B6A" w:rsidRPr="006E05E5" w:rsidRDefault="00B3300A" w:rsidP="00184B6A">
      <w:pPr>
        <w:pStyle w:val="WSParaNum"/>
        <w:spacing w:before="0" w:after="0"/>
        <w:rPr>
          <w:rStyle w:val="normaltextrun"/>
        </w:rPr>
      </w:pPr>
      <w:r>
        <w:rPr>
          <w:rStyle w:val="eop"/>
          <w:color w:val="000000"/>
          <w:shd w:val="clear" w:color="auto" w:fill="FFFFFF"/>
        </w:rPr>
        <w:lastRenderedPageBreak/>
        <w:t>Third</w:t>
      </w:r>
      <w:r w:rsidR="00184B6A" w:rsidRPr="3B15F2B5">
        <w:rPr>
          <w:rStyle w:val="eop"/>
          <w:color w:val="000000" w:themeColor="text1"/>
        </w:rPr>
        <w:t xml:space="preserve">, </w:t>
      </w:r>
      <w:r w:rsidR="00184B6A">
        <w:rPr>
          <w:rStyle w:val="eop"/>
          <w:color w:val="000000" w:themeColor="text1"/>
        </w:rPr>
        <w:t xml:space="preserve">the </w:t>
      </w:r>
      <w:r w:rsidR="00184B6A">
        <w:rPr>
          <w:rStyle w:val="normaltextrun"/>
          <w:color w:val="000000"/>
          <w:shd w:val="clear" w:color="auto" w:fill="FFFFFF"/>
          <w:lang w:val="en-GB"/>
        </w:rPr>
        <w:t>OCJ correctly found that the General Habitat Description (“GHD”) </w:t>
      </w:r>
      <w:r w:rsidR="00184B6A">
        <w:rPr>
          <w:rStyle w:val="normaltextrun"/>
          <w:color w:val="000000"/>
          <w:shd w:val="clear" w:color="auto" w:fill="FFFFFF"/>
        </w:rPr>
        <w:t>is neither a legal instrument nor a legal document and does not conclusively prove that Blanding’s turtles used the Site as habitat at the time of CHL’s alleged offence.</w:t>
      </w:r>
    </w:p>
    <w:p w14:paraId="13CDDC5F" w14:textId="77777777" w:rsidR="006E05E5" w:rsidRPr="004B0A4A" w:rsidRDefault="006E05E5" w:rsidP="006E05E5">
      <w:pPr>
        <w:pStyle w:val="WSParaNum"/>
        <w:numPr>
          <w:ilvl w:val="0"/>
          <w:numId w:val="0"/>
        </w:numPr>
        <w:spacing w:before="0" w:after="0"/>
        <w:rPr>
          <w:rStyle w:val="normaltextrun"/>
        </w:rPr>
      </w:pPr>
    </w:p>
    <w:p w14:paraId="39BE97DF" w14:textId="006B2D0C" w:rsidR="00CD4560" w:rsidRPr="006E05E5" w:rsidRDefault="00305984" w:rsidP="00CD4560">
      <w:pPr>
        <w:pStyle w:val="WSParaNum"/>
        <w:spacing w:before="0" w:after="0"/>
        <w:rPr>
          <w:rStyle w:val="normaltextrun"/>
        </w:rPr>
      </w:pPr>
      <w:r w:rsidRPr="4D52CBA3">
        <w:rPr>
          <w:rStyle w:val="normaltextrun"/>
          <w:color w:val="000000" w:themeColor="text1"/>
          <w:lang w:val="en-US"/>
        </w:rPr>
        <w:t>Lastly</w:t>
      </w:r>
      <w:r w:rsidR="00CD4560" w:rsidRPr="4D52CBA3">
        <w:rPr>
          <w:rStyle w:val="normaltextrun"/>
          <w:color w:val="000000" w:themeColor="text1"/>
          <w:lang w:val="en-US"/>
        </w:rPr>
        <w:t xml:space="preserve">, CHL would not have been convicted at trial if the new definition of “habitat” </w:t>
      </w:r>
      <w:r w:rsidR="00CD4560" w:rsidRPr="3B15F2B5">
        <w:rPr>
          <w:rStyle w:val="normaltextrun"/>
          <w:color w:val="000000" w:themeColor="text1"/>
          <w:lang w:val="en-US"/>
        </w:rPr>
        <w:t>was in force when CHL was charged and tried</w:t>
      </w:r>
      <w:r w:rsidR="00CD4560" w:rsidRPr="005263AA">
        <w:rPr>
          <w:rStyle w:val="normaltextrun"/>
          <w:color w:val="000000" w:themeColor="text1"/>
          <w:lang w:val="en-US"/>
        </w:rPr>
        <w:t xml:space="preserve">. </w:t>
      </w:r>
      <w:r w:rsidR="0132CD4B" w:rsidRPr="005263AA">
        <w:rPr>
          <w:rStyle w:val="normaltextrun"/>
          <w:color w:val="000000" w:themeColor="text1"/>
          <w:lang w:val="en-US"/>
        </w:rPr>
        <w:t xml:space="preserve">The most recent changes to the </w:t>
      </w:r>
      <w:r w:rsidR="0132CD4B" w:rsidRPr="005263AA">
        <w:rPr>
          <w:rStyle w:val="normaltextrun"/>
          <w:i/>
          <w:iCs/>
          <w:color w:val="000000" w:themeColor="text1"/>
          <w:lang w:val="en-US"/>
        </w:rPr>
        <w:t xml:space="preserve">ESA </w:t>
      </w:r>
      <w:r w:rsidR="49CB9523" w:rsidRPr="005263AA">
        <w:rPr>
          <w:rStyle w:val="normaltextrun"/>
          <w:color w:val="000000" w:themeColor="text1"/>
          <w:lang w:val="en-US"/>
        </w:rPr>
        <w:t>are part of a</w:t>
      </w:r>
      <w:r w:rsidR="003F7150" w:rsidRPr="005263AA">
        <w:rPr>
          <w:rStyle w:val="normaltextrun"/>
          <w:color w:val="000000" w:themeColor="text1"/>
          <w:lang w:val="en-US"/>
        </w:rPr>
        <w:t xml:space="preserve">n ongoing </w:t>
      </w:r>
      <w:r w:rsidR="49CB9523" w:rsidRPr="005263AA">
        <w:rPr>
          <w:rStyle w:val="normaltextrun"/>
          <w:color w:val="000000" w:themeColor="text1"/>
          <w:lang w:val="en-US"/>
        </w:rPr>
        <w:t>trend</w:t>
      </w:r>
      <w:r w:rsidR="001B2336" w:rsidRPr="005263AA">
        <w:rPr>
          <w:rStyle w:val="normaltextrun"/>
          <w:color w:val="000000" w:themeColor="text1"/>
          <w:lang w:val="en-US"/>
        </w:rPr>
        <w:t xml:space="preserve"> </w:t>
      </w:r>
      <w:r w:rsidR="003F7150" w:rsidRPr="005263AA">
        <w:rPr>
          <w:rStyle w:val="normaltextrun"/>
          <w:color w:val="000000" w:themeColor="text1"/>
          <w:lang w:val="en-US"/>
        </w:rPr>
        <w:t xml:space="preserve">since 2019 </w:t>
      </w:r>
      <w:r w:rsidR="00A34ADC" w:rsidRPr="005263AA">
        <w:rPr>
          <w:rStyle w:val="normaltextrun"/>
          <w:color w:val="000000" w:themeColor="text1"/>
          <w:lang w:val="en-US"/>
        </w:rPr>
        <w:t>that reflects</w:t>
      </w:r>
      <w:r w:rsidR="54782212" w:rsidRPr="005263AA">
        <w:rPr>
          <w:rStyle w:val="normaltextrun"/>
          <w:color w:val="000000" w:themeColor="text1"/>
          <w:lang w:val="en-US"/>
        </w:rPr>
        <w:t xml:space="preserve"> the legislature’s</w:t>
      </w:r>
      <w:r w:rsidR="0132CD4B" w:rsidRPr="005263AA">
        <w:rPr>
          <w:rStyle w:val="normaltextrun"/>
          <w:color w:val="000000" w:themeColor="text1"/>
          <w:lang w:val="en-US"/>
        </w:rPr>
        <w:t xml:space="preserve"> </w:t>
      </w:r>
      <w:r w:rsidR="00844F3A" w:rsidRPr="005263AA">
        <w:rPr>
          <w:rStyle w:val="normaltextrun"/>
          <w:color w:val="000000" w:themeColor="text1"/>
          <w:lang w:val="en-US"/>
        </w:rPr>
        <w:t>intent</w:t>
      </w:r>
      <w:r w:rsidR="0132CD4B" w:rsidRPr="005263AA">
        <w:rPr>
          <w:rStyle w:val="normaltextrun"/>
          <w:color w:val="000000" w:themeColor="text1"/>
          <w:lang w:val="en-US"/>
        </w:rPr>
        <w:t xml:space="preserve"> </w:t>
      </w:r>
      <w:r w:rsidR="00844F3A" w:rsidRPr="005263AA">
        <w:rPr>
          <w:rStyle w:val="normaltextrun"/>
          <w:color w:val="000000" w:themeColor="text1"/>
          <w:lang w:val="en-US"/>
        </w:rPr>
        <w:t>to</w:t>
      </w:r>
      <w:r w:rsidR="0132CD4B" w:rsidRPr="005263AA">
        <w:rPr>
          <w:rStyle w:val="normaltextrun"/>
          <w:color w:val="000000" w:themeColor="text1"/>
          <w:lang w:val="en-US"/>
        </w:rPr>
        <w:t xml:space="preserve"> </w:t>
      </w:r>
      <w:r w:rsidR="00844F3A" w:rsidRPr="005263AA">
        <w:rPr>
          <w:rStyle w:val="normaltextrun"/>
          <w:color w:val="000000" w:themeColor="text1"/>
          <w:lang w:val="en-US"/>
        </w:rPr>
        <w:t>balance</w:t>
      </w:r>
      <w:r w:rsidR="0132CD4B" w:rsidRPr="005263AA">
        <w:rPr>
          <w:rStyle w:val="normaltextrun"/>
          <w:color w:val="000000" w:themeColor="text1"/>
          <w:lang w:val="en-US"/>
        </w:rPr>
        <w:t xml:space="preserve"> protections under the </w:t>
      </w:r>
      <w:r w:rsidR="0132CD4B" w:rsidRPr="005263AA">
        <w:rPr>
          <w:rStyle w:val="normaltextrun"/>
          <w:i/>
          <w:iCs/>
          <w:color w:val="000000" w:themeColor="text1"/>
          <w:lang w:val="en-US"/>
        </w:rPr>
        <w:t xml:space="preserve">ESA </w:t>
      </w:r>
      <w:r w:rsidR="0132CD4B" w:rsidRPr="005263AA">
        <w:rPr>
          <w:rStyle w:val="normaltextrun"/>
          <w:color w:val="000000" w:themeColor="text1"/>
          <w:lang w:val="en-US"/>
        </w:rPr>
        <w:t>with the need to protect Ontario’s economy</w:t>
      </w:r>
      <w:r w:rsidR="00D0E331" w:rsidRPr="005263AA">
        <w:rPr>
          <w:rStyle w:val="normaltextrun"/>
          <w:color w:val="000000" w:themeColor="text1"/>
          <w:lang w:val="en-US"/>
        </w:rPr>
        <w:t>.</w:t>
      </w:r>
      <w:r w:rsidR="00CD4560" w:rsidRPr="3B15F2B5">
        <w:rPr>
          <w:rStyle w:val="normaltextrun"/>
          <w:color w:val="000000" w:themeColor="text1"/>
          <w:lang w:val="en-US"/>
        </w:rPr>
        <w:t xml:space="preserve"> </w:t>
      </w:r>
      <w:r w:rsidR="57B0CD2F" w:rsidRPr="566A890D">
        <w:rPr>
          <w:rStyle w:val="normaltextrun"/>
          <w:color w:val="000000" w:themeColor="text1"/>
          <w:lang w:val="en-US"/>
        </w:rPr>
        <w:t>Under the new definition, t</w:t>
      </w:r>
      <w:r w:rsidR="00CD4560" w:rsidRPr="566A890D">
        <w:rPr>
          <w:rStyle w:val="normaltextrun"/>
          <w:color w:val="000000" w:themeColor="text1"/>
          <w:lang w:val="en-US"/>
        </w:rPr>
        <w:t>he</w:t>
      </w:r>
      <w:r w:rsidR="00CD4560" w:rsidRPr="3B15F2B5">
        <w:rPr>
          <w:rStyle w:val="normaltextrun"/>
          <w:color w:val="000000" w:themeColor="text1"/>
          <w:lang w:val="en-US"/>
        </w:rPr>
        <w:t xml:space="preserve"> Crown’s evidence fails to prove that, at the time of the offence, the Site encompassed a dwelling-place and the immediate surrounding area that were occupied or habitually occupied by Blanding’s turtles for the five specific purposes enumerated in the new definition.</w:t>
      </w:r>
    </w:p>
    <w:p w14:paraId="2B309B12" w14:textId="77777777" w:rsidR="006E05E5" w:rsidRPr="003E1CA2" w:rsidRDefault="006E05E5" w:rsidP="006E05E5">
      <w:pPr>
        <w:pStyle w:val="WSParaNum"/>
        <w:numPr>
          <w:ilvl w:val="0"/>
          <w:numId w:val="0"/>
        </w:numPr>
        <w:spacing w:before="0" w:after="0"/>
        <w:rPr>
          <w:rStyle w:val="normaltextrun"/>
        </w:rPr>
      </w:pPr>
    </w:p>
    <w:p w14:paraId="5FD515E2" w14:textId="096A6311" w:rsidR="00CD4560" w:rsidRPr="004B0A4A" w:rsidRDefault="00CD4560" w:rsidP="00AE2427">
      <w:pPr>
        <w:pStyle w:val="WSParaNum"/>
        <w:spacing w:before="0" w:after="0"/>
        <w:rPr>
          <w:rStyle w:val="normaltextrun"/>
        </w:rPr>
      </w:pPr>
      <w:r>
        <w:rPr>
          <w:rStyle w:val="normaltextrun"/>
          <w:color w:val="000000"/>
          <w:shd w:val="clear" w:color="auto" w:fill="FFFFFF"/>
          <w:lang w:val="en-US"/>
        </w:rPr>
        <w:t xml:space="preserve">The Respondents request </w:t>
      </w:r>
      <w:r w:rsidR="00D024BE">
        <w:rPr>
          <w:rStyle w:val="normaltextrun"/>
          <w:color w:val="000000"/>
          <w:shd w:val="clear" w:color="auto" w:fill="FFFFFF"/>
          <w:lang w:val="en-US"/>
        </w:rPr>
        <w:t>that</w:t>
      </w:r>
      <w:r>
        <w:rPr>
          <w:rStyle w:val="normaltextrun"/>
          <w:color w:val="000000"/>
          <w:shd w:val="clear" w:color="auto" w:fill="FFFFFF"/>
          <w:lang w:val="en-US"/>
        </w:rPr>
        <w:t xml:space="preserve"> the SEMCC dismiss the Crown’s appeal and uphold the acquittal entered by the OCJ.</w:t>
      </w:r>
    </w:p>
    <w:p w14:paraId="5C869335" w14:textId="77777777" w:rsidR="00CD4560" w:rsidRDefault="00CD4560" w:rsidP="00DB3F5F">
      <w:pPr>
        <w:pStyle w:val="WSParaNum"/>
        <w:numPr>
          <w:ilvl w:val="0"/>
          <w:numId w:val="0"/>
        </w:numPr>
        <w:spacing w:before="0" w:after="0"/>
      </w:pPr>
    </w:p>
    <w:p w14:paraId="7AB93147" w14:textId="33918196" w:rsidR="009D4A9B" w:rsidRDefault="00CD4560" w:rsidP="00DB3F5F">
      <w:pPr>
        <w:pStyle w:val="Heading2"/>
        <w:tabs>
          <w:tab w:val="num" w:pos="720"/>
        </w:tabs>
        <w:spacing w:before="0" w:after="0" w:line="360" w:lineRule="auto"/>
        <w:rPr>
          <w:rFonts w:ascii="Times New Roman" w:hAnsi="Times New Roman"/>
          <w:i w:val="0"/>
          <w:sz w:val="24"/>
          <w:szCs w:val="24"/>
        </w:rPr>
      </w:pPr>
      <w:bookmarkStart w:id="5" w:name="_Toc271703731"/>
      <w:bookmarkStart w:id="6" w:name="_Toc220076098"/>
      <w:r>
        <w:rPr>
          <w:rFonts w:ascii="Times New Roman" w:hAnsi="Times New Roman"/>
          <w:i w:val="0"/>
          <w:sz w:val="24"/>
          <w:szCs w:val="24"/>
        </w:rPr>
        <w:t xml:space="preserve">Respondent’s Position with Respect to the Appellants’ </w:t>
      </w:r>
      <w:r w:rsidRPr="00D678D8">
        <w:rPr>
          <w:rFonts w:ascii="Times New Roman" w:hAnsi="Times New Roman"/>
          <w:i w:val="0"/>
          <w:sz w:val="24"/>
          <w:szCs w:val="24"/>
        </w:rPr>
        <w:t>Statement of the Facts</w:t>
      </w:r>
      <w:bookmarkEnd w:id="5"/>
      <w:bookmarkEnd w:id="6"/>
    </w:p>
    <w:p w14:paraId="4DC47209" w14:textId="77777777" w:rsidR="006E05E5" w:rsidRPr="006E05E5" w:rsidRDefault="006E05E5" w:rsidP="00DB3F5F">
      <w:pPr>
        <w:spacing w:line="360" w:lineRule="auto"/>
      </w:pPr>
    </w:p>
    <w:p w14:paraId="0B106FE5" w14:textId="59779B1D" w:rsidR="00DD6E8C" w:rsidRPr="00EF6F5F" w:rsidRDefault="00A9001B" w:rsidP="00E410D6">
      <w:pPr>
        <w:pStyle w:val="WSParaNum"/>
        <w:spacing w:before="0" w:after="0"/>
      </w:pPr>
      <w:r>
        <w:t xml:space="preserve">CHL is a </w:t>
      </w:r>
      <w:r w:rsidR="00E410D6" w:rsidRPr="00E410D6">
        <w:rPr>
          <w:lang w:val="en-US"/>
        </w:rPr>
        <w:t xml:space="preserve">homebuilder in North Bay, Ontario. Between June 1 and August 5, 2018, CHL employees cleared and dug up a vacant area (the “Site”) on a property located south of Circle Lake Road, east of the homes along Wallace Road, and west of Circle Lake in the City of North Bay. The Site measured a mere 100 by 200 feet (30.48 by 60.96 metres) or 0.459 acres, amounting to a </w:t>
      </w:r>
      <w:r w:rsidR="00070D1B">
        <w:rPr>
          <w:lang w:val="en-US"/>
        </w:rPr>
        <w:t xml:space="preserve">“very </w:t>
      </w:r>
      <w:r w:rsidR="00E410D6" w:rsidRPr="00E410D6">
        <w:rPr>
          <w:lang w:val="en-US"/>
        </w:rPr>
        <w:t>small, specific</w:t>
      </w:r>
      <w:r w:rsidR="00EF6F5F">
        <w:rPr>
          <w:lang w:val="en-US"/>
        </w:rPr>
        <w:t>”</w:t>
      </w:r>
      <w:r w:rsidR="00E410D6" w:rsidRPr="00E410D6">
        <w:rPr>
          <w:lang w:val="en-US"/>
        </w:rPr>
        <w:t> portion of CHL’s property.</w:t>
      </w:r>
    </w:p>
    <w:p w14:paraId="07114038" w14:textId="4CB54DC4" w:rsidR="00EF6F5F" w:rsidRPr="00D678D8" w:rsidRDefault="007B2295" w:rsidP="00EF6F5F">
      <w:pPr>
        <w:pStyle w:val="WSParaNum"/>
        <w:numPr>
          <w:ilvl w:val="0"/>
          <w:numId w:val="0"/>
        </w:numPr>
        <w:spacing w:before="0" w:after="0" w:line="240" w:lineRule="auto"/>
        <w:ind w:left="720" w:right="720"/>
        <w:rPr>
          <w:sz w:val="20"/>
          <w:szCs w:val="20"/>
        </w:rPr>
      </w:pPr>
      <w:r w:rsidRPr="007935CE">
        <w:rPr>
          <w:i/>
          <w:iCs/>
          <w:sz w:val="20"/>
          <w:szCs w:val="20"/>
        </w:rPr>
        <w:t>R v Consolidated Homes</w:t>
      </w:r>
      <w:r>
        <w:rPr>
          <w:sz w:val="20"/>
          <w:szCs w:val="20"/>
        </w:rPr>
        <w:t>, [2022] OJ No 5759</w:t>
      </w:r>
      <w:r w:rsidR="007935CE">
        <w:rPr>
          <w:sz w:val="20"/>
          <w:szCs w:val="20"/>
        </w:rPr>
        <w:t xml:space="preserve"> </w:t>
      </w:r>
      <w:r w:rsidR="00930D7B">
        <w:rPr>
          <w:sz w:val="20"/>
          <w:szCs w:val="20"/>
        </w:rPr>
        <w:t xml:space="preserve">at 4 </w:t>
      </w:r>
      <w:r w:rsidR="007935CE">
        <w:rPr>
          <w:sz w:val="20"/>
          <w:szCs w:val="20"/>
        </w:rPr>
        <w:t>[</w:t>
      </w:r>
      <w:r w:rsidR="00EF6F5F">
        <w:rPr>
          <w:sz w:val="20"/>
          <w:szCs w:val="20"/>
        </w:rPr>
        <w:t>Trial decision</w:t>
      </w:r>
      <w:r w:rsidR="007935CE">
        <w:rPr>
          <w:sz w:val="20"/>
          <w:szCs w:val="20"/>
        </w:rPr>
        <w:t>].</w:t>
      </w:r>
      <w:r w:rsidR="00EF6F5F" w:rsidRPr="00D678D8">
        <w:rPr>
          <w:sz w:val="20"/>
          <w:szCs w:val="20"/>
        </w:rPr>
        <w:t xml:space="preserve"> </w:t>
      </w:r>
    </w:p>
    <w:p w14:paraId="3BD9496F" w14:textId="77777777" w:rsidR="00EF6F5F" w:rsidRPr="00D678D8" w:rsidRDefault="00EF6F5F" w:rsidP="00EF6F5F">
      <w:pPr>
        <w:pStyle w:val="WSParaNum"/>
        <w:numPr>
          <w:ilvl w:val="0"/>
          <w:numId w:val="0"/>
        </w:numPr>
        <w:spacing w:before="0" w:after="0" w:line="240" w:lineRule="auto"/>
        <w:ind w:left="720" w:right="720"/>
        <w:rPr>
          <w:sz w:val="20"/>
          <w:szCs w:val="20"/>
        </w:rPr>
      </w:pPr>
    </w:p>
    <w:p w14:paraId="19E2FDCB" w14:textId="0AF9BB91" w:rsidR="00EF6F5F" w:rsidRPr="00D678D8" w:rsidRDefault="00E21B5D" w:rsidP="00EF6F5F">
      <w:pPr>
        <w:pStyle w:val="WSParaNum"/>
        <w:numPr>
          <w:ilvl w:val="0"/>
          <w:numId w:val="0"/>
        </w:numPr>
        <w:spacing w:before="0" w:after="0" w:line="240" w:lineRule="auto"/>
        <w:ind w:left="720" w:right="720"/>
        <w:rPr>
          <w:sz w:val="20"/>
          <w:szCs w:val="20"/>
        </w:rPr>
      </w:pPr>
      <w:r w:rsidRPr="00E86056">
        <w:rPr>
          <w:i/>
          <w:iCs/>
          <w:sz w:val="20"/>
          <w:szCs w:val="20"/>
        </w:rPr>
        <w:t xml:space="preserve">His Majesty the King v </w:t>
      </w:r>
      <w:r w:rsidR="00823538" w:rsidRPr="00E86056">
        <w:rPr>
          <w:i/>
          <w:iCs/>
          <w:sz w:val="20"/>
          <w:szCs w:val="20"/>
        </w:rPr>
        <w:t>Consolidated Homes Ltd</w:t>
      </w:r>
      <w:r w:rsidR="00EA4C55">
        <w:rPr>
          <w:sz w:val="20"/>
          <w:szCs w:val="20"/>
        </w:rPr>
        <w:t xml:space="preserve"> (20 August 2024), North Bay</w:t>
      </w:r>
      <w:r w:rsidR="00823538">
        <w:rPr>
          <w:sz w:val="20"/>
          <w:szCs w:val="20"/>
        </w:rPr>
        <w:t xml:space="preserve"> </w:t>
      </w:r>
      <w:r w:rsidR="0025445F" w:rsidRPr="0025445F">
        <w:rPr>
          <w:sz w:val="20"/>
          <w:szCs w:val="20"/>
        </w:rPr>
        <w:t>2560-999-19-0038</w:t>
      </w:r>
      <w:r w:rsidR="00EF169D">
        <w:rPr>
          <w:sz w:val="20"/>
          <w:szCs w:val="20"/>
        </w:rPr>
        <w:t xml:space="preserve"> (O</w:t>
      </w:r>
      <w:r w:rsidR="00FE19DF">
        <w:rPr>
          <w:sz w:val="20"/>
          <w:szCs w:val="20"/>
        </w:rPr>
        <w:t>N</w:t>
      </w:r>
      <w:r w:rsidR="00EF169D">
        <w:rPr>
          <w:sz w:val="20"/>
          <w:szCs w:val="20"/>
        </w:rPr>
        <w:t>CJ</w:t>
      </w:r>
      <w:r w:rsidR="00FE19DF">
        <w:rPr>
          <w:sz w:val="20"/>
          <w:szCs w:val="20"/>
        </w:rPr>
        <w:t xml:space="preserve">) </w:t>
      </w:r>
      <w:r w:rsidR="00EF6F5F">
        <w:rPr>
          <w:sz w:val="20"/>
          <w:szCs w:val="20"/>
        </w:rPr>
        <w:t>at 3, 11</w:t>
      </w:r>
      <w:r w:rsidR="00823538">
        <w:rPr>
          <w:sz w:val="20"/>
          <w:szCs w:val="20"/>
        </w:rPr>
        <w:t xml:space="preserve"> [OCJ decision]</w:t>
      </w:r>
      <w:r w:rsidR="00EF6F5F" w:rsidRPr="00D678D8">
        <w:rPr>
          <w:sz w:val="20"/>
          <w:szCs w:val="20"/>
        </w:rPr>
        <w:t>.</w:t>
      </w:r>
    </w:p>
    <w:p w14:paraId="09A88AAE" w14:textId="77777777" w:rsidR="00EF6F5F" w:rsidRPr="00D678D8" w:rsidRDefault="00EF6F5F" w:rsidP="00EF6F5F">
      <w:pPr>
        <w:pStyle w:val="WSParaNum"/>
        <w:numPr>
          <w:ilvl w:val="0"/>
          <w:numId w:val="0"/>
        </w:numPr>
        <w:spacing w:before="0" w:after="0"/>
      </w:pPr>
    </w:p>
    <w:p w14:paraId="4871ECFE" w14:textId="5E5B4524" w:rsidR="00CF78AE" w:rsidRPr="00CF78AE" w:rsidRDefault="00276F94" w:rsidP="00CF78AE">
      <w:pPr>
        <w:pStyle w:val="WSParaNum"/>
        <w:spacing w:before="0" w:after="0"/>
      </w:pPr>
      <w:r>
        <w:t>On June 6, 2018</w:t>
      </w:r>
      <w:r w:rsidR="00D742C7">
        <w:t>,</w:t>
      </w:r>
      <w:r>
        <w:t xml:space="preserve"> </w:t>
      </w:r>
      <w:r w:rsidRPr="00276F94">
        <w:t>Robert Susko of CHL contacted the North Bay-Mattawa Conservation Authority (the “Conservation Authority”) to advise that CHL was levelling old piles of dirt to stop illegal dumping and submitted a permit application and fee. The permit was signed on June 14</w:t>
      </w:r>
      <w:r>
        <w:t>, 2018</w:t>
      </w:r>
      <w:r w:rsidR="007167A8">
        <w:t>,</w:t>
      </w:r>
      <w:r w:rsidRPr="00276F94">
        <w:t> and allowed placement of fill and grading at the Site</w:t>
      </w:r>
      <w:r>
        <w:t>.</w:t>
      </w:r>
    </w:p>
    <w:p w14:paraId="7BC8964C" w14:textId="6A27DFA6" w:rsidR="00CF78AE" w:rsidRDefault="00CF78AE" w:rsidP="00CF78AE">
      <w:pPr>
        <w:pStyle w:val="WSParaNum"/>
        <w:numPr>
          <w:ilvl w:val="0"/>
          <w:numId w:val="0"/>
        </w:numPr>
        <w:spacing w:before="0" w:after="0"/>
        <w:ind w:firstLine="720"/>
      </w:pPr>
      <w:r>
        <w:rPr>
          <w:sz w:val="20"/>
          <w:szCs w:val="20"/>
        </w:rPr>
        <w:t>OCJ decision at 3.</w:t>
      </w:r>
    </w:p>
    <w:p w14:paraId="75CC15A3" w14:textId="77777777" w:rsidR="00CF78AE" w:rsidRDefault="00CF78AE" w:rsidP="00CF78AE">
      <w:pPr>
        <w:pStyle w:val="WSParaNum"/>
        <w:numPr>
          <w:ilvl w:val="0"/>
          <w:numId w:val="0"/>
        </w:numPr>
        <w:spacing w:before="0" w:after="0"/>
      </w:pPr>
    </w:p>
    <w:p w14:paraId="2845D8CB" w14:textId="3902358F" w:rsidR="00276F94" w:rsidRPr="00A6599F" w:rsidRDefault="00276F94" w:rsidP="00DD6E8C">
      <w:pPr>
        <w:pStyle w:val="WSParaNum"/>
        <w:spacing w:before="0" w:after="0"/>
        <w:rPr>
          <w:rStyle w:val="eop"/>
        </w:rPr>
      </w:pPr>
      <w:r>
        <w:lastRenderedPageBreak/>
        <w:t xml:space="preserve">CHL was </w:t>
      </w:r>
      <w:r w:rsidR="00CF78AE">
        <w:rPr>
          <w:rStyle w:val="normaltextrun"/>
          <w:color w:val="000000"/>
          <w:shd w:val="clear" w:color="auto" w:fill="FFFFFF"/>
        </w:rPr>
        <w:t>charged</w:t>
      </w:r>
      <w:r w:rsidR="004B0391">
        <w:rPr>
          <w:rStyle w:val="normaltextrun"/>
          <w:color w:val="000000"/>
          <w:shd w:val="clear" w:color="auto" w:fill="FFFFFF"/>
        </w:rPr>
        <w:t xml:space="preserve"> </w:t>
      </w:r>
      <w:r w:rsidR="00CF78AE" w:rsidRPr="3B15F2B5">
        <w:rPr>
          <w:rStyle w:val="normaltextrun"/>
          <w:color w:val="000000" w:themeColor="text1"/>
        </w:rPr>
        <w:t>with an offence under s. 10(1)(a) of the </w:t>
      </w:r>
      <w:r w:rsidR="00CF78AE" w:rsidRPr="3B15F2B5">
        <w:rPr>
          <w:rStyle w:val="normaltextrun"/>
          <w:i/>
          <w:iCs/>
          <w:color w:val="000000"/>
          <w:shd w:val="clear" w:color="auto" w:fill="FFFFFF"/>
        </w:rPr>
        <w:t>ESA </w:t>
      </w:r>
      <w:r w:rsidR="00CF78AE">
        <w:rPr>
          <w:rStyle w:val="normaltextrun"/>
          <w:color w:val="000000"/>
          <w:shd w:val="clear" w:color="auto" w:fill="FFFFFF"/>
        </w:rPr>
        <w:t>for allegedly damaging or destroying the habitat of Blanding’s turtles, a threatened species on the Species at Risk in Ontario List.</w:t>
      </w:r>
      <w:r w:rsidR="00CF78AE">
        <w:rPr>
          <w:rStyle w:val="eop"/>
          <w:color w:val="000000"/>
          <w:shd w:val="clear" w:color="auto" w:fill="FFFFFF"/>
        </w:rPr>
        <w:t> </w:t>
      </w:r>
    </w:p>
    <w:p w14:paraId="411C480E" w14:textId="3EECB30E" w:rsidR="00236B9E" w:rsidRPr="00D678D8" w:rsidRDefault="00236B9E" w:rsidP="00147E77">
      <w:pPr>
        <w:pStyle w:val="WSParaNum"/>
        <w:numPr>
          <w:ilvl w:val="0"/>
          <w:numId w:val="0"/>
        </w:numPr>
        <w:spacing w:before="0" w:after="0" w:line="240" w:lineRule="auto"/>
        <w:ind w:left="720" w:right="720"/>
        <w:rPr>
          <w:sz w:val="20"/>
          <w:szCs w:val="20"/>
        </w:rPr>
      </w:pPr>
      <w:r>
        <w:rPr>
          <w:sz w:val="20"/>
          <w:szCs w:val="20"/>
        </w:rPr>
        <w:t>Trial decision</w:t>
      </w:r>
      <w:r w:rsidRPr="00D678D8">
        <w:rPr>
          <w:sz w:val="20"/>
          <w:szCs w:val="20"/>
        </w:rPr>
        <w:t xml:space="preserve"> </w:t>
      </w:r>
      <w:r>
        <w:rPr>
          <w:sz w:val="20"/>
          <w:szCs w:val="20"/>
        </w:rPr>
        <w:t xml:space="preserve">at </w:t>
      </w:r>
      <w:r w:rsidR="007A3535">
        <w:rPr>
          <w:sz w:val="20"/>
          <w:szCs w:val="20"/>
        </w:rPr>
        <w:t>2</w:t>
      </w:r>
      <w:r w:rsidRPr="00D678D8">
        <w:rPr>
          <w:sz w:val="20"/>
          <w:szCs w:val="20"/>
        </w:rPr>
        <w:t>.</w:t>
      </w:r>
    </w:p>
    <w:p w14:paraId="75052902" w14:textId="77777777" w:rsidR="00236B9E" w:rsidRPr="00D678D8" w:rsidRDefault="00236B9E" w:rsidP="00147E77">
      <w:pPr>
        <w:pStyle w:val="WSParaNum"/>
        <w:numPr>
          <w:ilvl w:val="0"/>
          <w:numId w:val="0"/>
        </w:numPr>
        <w:spacing w:before="0" w:after="0" w:line="240" w:lineRule="auto"/>
        <w:ind w:left="720" w:right="720"/>
        <w:rPr>
          <w:sz w:val="20"/>
          <w:szCs w:val="20"/>
        </w:rPr>
      </w:pPr>
    </w:p>
    <w:p w14:paraId="69DF246F" w14:textId="33207DB1" w:rsidR="00A6599F" w:rsidRDefault="007A3535" w:rsidP="007A3535">
      <w:pPr>
        <w:pStyle w:val="WSParaNum"/>
        <w:numPr>
          <w:ilvl w:val="0"/>
          <w:numId w:val="0"/>
        </w:numPr>
        <w:spacing w:before="0" w:after="0" w:line="240" w:lineRule="auto"/>
        <w:ind w:firstLine="720"/>
        <w:rPr>
          <w:sz w:val="20"/>
          <w:szCs w:val="20"/>
        </w:rPr>
      </w:pPr>
      <w:r w:rsidRPr="007A3535">
        <w:rPr>
          <w:i/>
          <w:iCs/>
          <w:sz w:val="20"/>
          <w:szCs w:val="20"/>
        </w:rPr>
        <w:t>Endangered Species Act, 2007</w:t>
      </w:r>
      <w:r w:rsidRPr="007A3535">
        <w:rPr>
          <w:sz w:val="20"/>
          <w:szCs w:val="20"/>
        </w:rPr>
        <w:t>, SO 2007, c 6, s 10(1)(a)</w:t>
      </w:r>
      <w:r w:rsidR="00D04918">
        <w:rPr>
          <w:sz w:val="20"/>
          <w:szCs w:val="20"/>
        </w:rPr>
        <w:t xml:space="preserve"> [</w:t>
      </w:r>
      <w:r w:rsidR="00D04918" w:rsidRPr="00D04918">
        <w:rPr>
          <w:i/>
          <w:iCs/>
          <w:sz w:val="20"/>
          <w:szCs w:val="20"/>
        </w:rPr>
        <w:t>ESA</w:t>
      </w:r>
      <w:r w:rsidR="00D04918">
        <w:rPr>
          <w:sz w:val="20"/>
          <w:szCs w:val="20"/>
        </w:rPr>
        <w:t>]</w:t>
      </w:r>
      <w:r w:rsidR="00236B9E" w:rsidRPr="00D678D8">
        <w:rPr>
          <w:sz w:val="20"/>
          <w:szCs w:val="20"/>
        </w:rPr>
        <w:t>.</w:t>
      </w:r>
    </w:p>
    <w:p w14:paraId="7BF802FC" w14:textId="77777777" w:rsidR="00147E77" w:rsidRDefault="00147E77" w:rsidP="00147E77">
      <w:pPr>
        <w:pStyle w:val="WSParaNum"/>
        <w:numPr>
          <w:ilvl w:val="0"/>
          <w:numId w:val="0"/>
        </w:numPr>
        <w:spacing w:before="0" w:after="0" w:line="240" w:lineRule="auto"/>
        <w:ind w:firstLine="720"/>
        <w:rPr>
          <w:sz w:val="20"/>
          <w:szCs w:val="20"/>
        </w:rPr>
      </w:pPr>
    </w:p>
    <w:p w14:paraId="2D600E15" w14:textId="56852C88" w:rsidR="00147E77" w:rsidRDefault="00147E77" w:rsidP="00236B9E">
      <w:pPr>
        <w:pStyle w:val="WSParaNum"/>
        <w:numPr>
          <w:ilvl w:val="0"/>
          <w:numId w:val="0"/>
        </w:numPr>
        <w:spacing w:before="0" w:after="0"/>
        <w:ind w:firstLine="720"/>
        <w:rPr>
          <w:sz w:val="20"/>
          <w:szCs w:val="20"/>
        </w:rPr>
      </w:pPr>
      <w:r>
        <w:rPr>
          <w:sz w:val="20"/>
          <w:szCs w:val="20"/>
        </w:rPr>
        <w:t>O Reg 230/08, Schedule 3.</w:t>
      </w:r>
    </w:p>
    <w:p w14:paraId="1BCB35E2" w14:textId="77777777" w:rsidR="007A3535" w:rsidRPr="007A3535" w:rsidRDefault="007A3535" w:rsidP="00DB3F5F">
      <w:pPr>
        <w:pStyle w:val="WSParaNum"/>
        <w:numPr>
          <w:ilvl w:val="0"/>
          <w:numId w:val="0"/>
        </w:numPr>
        <w:spacing w:before="0" w:after="0"/>
        <w:ind w:firstLine="720"/>
      </w:pPr>
    </w:p>
    <w:p w14:paraId="3B4E52F8" w14:textId="3C374340" w:rsidR="009D4A9B" w:rsidRPr="005C27D8" w:rsidRDefault="007A3535" w:rsidP="00DB3F5F">
      <w:pPr>
        <w:pStyle w:val="Heading3"/>
        <w:spacing w:before="0" w:after="0" w:line="360" w:lineRule="auto"/>
        <w:rPr>
          <w:rFonts w:ascii="Times New Roman" w:hAnsi="Times New Roman"/>
          <w:bCs w:val="0"/>
          <w:sz w:val="24"/>
          <w:szCs w:val="24"/>
        </w:rPr>
      </w:pPr>
      <w:bookmarkStart w:id="7" w:name="_Toc220076099"/>
      <w:r w:rsidRPr="005C27D8">
        <w:rPr>
          <w:rFonts w:ascii="Times New Roman" w:hAnsi="Times New Roman"/>
          <w:bCs w:val="0"/>
          <w:sz w:val="24"/>
          <w:szCs w:val="24"/>
        </w:rPr>
        <w:t xml:space="preserve">The Trial </w:t>
      </w:r>
      <w:r w:rsidR="00CD4560" w:rsidRPr="005C27D8">
        <w:rPr>
          <w:rFonts w:ascii="Times New Roman" w:hAnsi="Times New Roman"/>
          <w:bCs w:val="0"/>
          <w:sz w:val="24"/>
          <w:szCs w:val="24"/>
        </w:rPr>
        <w:t>Decision</w:t>
      </w:r>
      <w:bookmarkEnd w:id="7"/>
    </w:p>
    <w:p w14:paraId="30BD06A3" w14:textId="77777777" w:rsidR="006E05E5" w:rsidRPr="006E05E5" w:rsidRDefault="006E05E5" w:rsidP="00DB3F5F">
      <w:pPr>
        <w:spacing w:line="360" w:lineRule="auto"/>
      </w:pPr>
    </w:p>
    <w:p w14:paraId="12EC3F69" w14:textId="0A14BD79" w:rsidR="00A6599F" w:rsidRPr="006E05E5" w:rsidRDefault="00E50B03" w:rsidP="00E50B03">
      <w:pPr>
        <w:pStyle w:val="WSParaNum"/>
        <w:spacing w:before="0" w:after="0"/>
        <w:rPr>
          <w:rStyle w:val="normaltextrun"/>
        </w:rPr>
      </w:pPr>
      <w:r>
        <w:t xml:space="preserve">The Trial </w:t>
      </w:r>
      <w:r>
        <w:rPr>
          <w:rStyle w:val="normaltextrun"/>
          <w:color w:val="000000"/>
          <w:shd w:val="clear" w:color="auto" w:fill="FFFFFF"/>
        </w:rPr>
        <w:t>Justice accepted evidence from six Crown witnesses, only one of whom, Shamus Snell, was an expert witness.</w:t>
      </w:r>
      <w:r w:rsidR="00BF7483">
        <w:rPr>
          <w:rStyle w:val="normaltextrun"/>
          <w:color w:val="000000"/>
          <w:shd w:val="clear" w:color="auto" w:fill="FFFFFF"/>
        </w:rPr>
        <w:t xml:space="preserve"> The Appellants neglected to include </w:t>
      </w:r>
      <w:r w:rsidR="0090710A">
        <w:rPr>
          <w:rStyle w:val="normaltextrun"/>
          <w:color w:val="000000"/>
          <w:shd w:val="clear" w:color="auto" w:fill="FFFFFF"/>
        </w:rPr>
        <w:t>the relevant facts regarding the non-expert witnesses.</w:t>
      </w:r>
    </w:p>
    <w:p w14:paraId="4B0436E1" w14:textId="77777777" w:rsidR="006E05E5" w:rsidRPr="00D678D8" w:rsidRDefault="006E05E5" w:rsidP="006E05E5">
      <w:pPr>
        <w:pStyle w:val="WSParaNum"/>
        <w:numPr>
          <w:ilvl w:val="0"/>
          <w:numId w:val="0"/>
        </w:numPr>
        <w:spacing w:before="0" w:after="0"/>
      </w:pPr>
    </w:p>
    <w:p w14:paraId="65820791" w14:textId="6D0F157B" w:rsidR="00DD6E8C" w:rsidRPr="000343A6" w:rsidRDefault="00E50B03" w:rsidP="00DD6E8C">
      <w:pPr>
        <w:pStyle w:val="WSParaNum"/>
        <w:spacing w:before="0" w:after="0"/>
        <w:rPr>
          <w:rStyle w:val="normaltextrun"/>
        </w:rPr>
      </w:pPr>
      <w:r>
        <w:t xml:space="preserve">Bonnie </w:t>
      </w:r>
      <w:r w:rsidR="00AA46C7">
        <w:rPr>
          <w:rStyle w:val="normaltextrun"/>
          <w:color w:val="1A1A1A"/>
          <w:shd w:val="clear" w:color="auto" w:fill="FFFFFF"/>
          <w:lang w:val="en-US"/>
        </w:rPr>
        <w:t>Kennedy, an </w:t>
      </w:r>
      <w:r w:rsidR="00AA46C7">
        <w:rPr>
          <w:rStyle w:val="normaltextrun"/>
          <w:color w:val="000000"/>
          <w:shd w:val="clear" w:color="auto" w:fill="FFFFFF"/>
          <w:lang w:val="en-US"/>
        </w:rPr>
        <w:t>individual who works with </w:t>
      </w:r>
      <w:r w:rsidR="00AA46C7">
        <w:rPr>
          <w:rStyle w:val="normaltextrun"/>
          <w:color w:val="000000"/>
          <w:shd w:val="clear" w:color="auto" w:fill="FFFFFF"/>
        </w:rPr>
        <w:t xml:space="preserve">Geographic Information Systems, mapped CHL's property to depict Category 2 habitat, as defined in the </w:t>
      </w:r>
      <w:r w:rsidR="00B317EA">
        <w:rPr>
          <w:rStyle w:val="normaltextrun"/>
          <w:color w:val="000000"/>
          <w:shd w:val="clear" w:color="auto" w:fill="FFFFFF"/>
        </w:rPr>
        <w:t>GHD</w:t>
      </w:r>
      <w:r w:rsidR="00AA46C7">
        <w:rPr>
          <w:rStyle w:val="normaltextrun"/>
          <w:color w:val="000000"/>
          <w:shd w:val="clear" w:color="auto" w:fill="FFFFFF"/>
        </w:rPr>
        <w:t xml:space="preserve"> for the Blanding’s turtle. </w:t>
      </w:r>
    </w:p>
    <w:p w14:paraId="6E051732" w14:textId="727CF960" w:rsidR="000343A6" w:rsidRDefault="000343A6" w:rsidP="000343A6">
      <w:pPr>
        <w:pStyle w:val="WSParaNum"/>
        <w:numPr>
          <w:ilvl w:val="0"/>
          <w:numId w:val="0"/>
        </w:numPr>
        <w:spacing w:before="0" w:after="0" w:line="240" w:lineRule="auto"/>
        <w:ind w:left="720" w:right="720"/>
        <w:rPr>
          <w:sz w:val="20"/>
          <w:szCs w:val="20"/>
        </w:rPr>
      </w:pPr>
      <w:r>
        <w:rPr>
          <w:sz w:val="20"/>
          <w:szCs w:val="20"/>
        </w:rPr>
        <w:t>Trial decision</w:t>
      </w:r>
      <w:r w:rsidRPr="00D678D8">
        <w:rPr>
          <w:sz w:val="20"/>
          <w:szCs w:val="20"/>
        </w:rPr>
        <w:t xml:space="preserve"> </w:t>
      </w:r>
      <w:r>
        <w:rPr>
          <w:sz w:val="20"/>
          <w:szCs w:val="20"/>
        </w:rPr>
        <w:t>at 6</w:t>
      </w:r>
      <w:r w:rsidRPr="00D678D8">
        <w:rPr>
          <w:sz w:val="20"/>
          <w:szCs w:val="20"/>
        </w:rPr>
        <w:t>.</w:t>
      </w:r>
    </w:p>
    <w:p w14:paraId="5FD840DC" w14:textId="77777777" w:rsidR="000343A6" w:rsidRPr="00DC4B25" w:rsidRDefault="000343A6" w:rsidP="006345C8">
      <w:pPr>
        <w:pStyle w:val="WSParaNum"/>
        <w:numPr>
          <w:ilvl w:val="0"/>
          <w:numId w:val="0"/>
        </w:numPr>
        <w:spacing w:before="0" w:after="0"/>
      </w:pPr>
    </w:p>
    <w:p w14:paraId="48692F2D" w14:textId="00D0EF98" w:rsidR="00DD6E8C" w:rsidRPr="003A2CD5" w:rsidRDefault="0013053E" w:rsidP="00840A2B">
      <w:pPr>
        <w:pStyle w:val="WSParaNum"/>
        <w:spacing w:before="0" w:after="0"/>
        <w:rPr>
          <w:rStyle w:val="normaltextrun"/>
        </w:rPr>
      </w:pPr>
      <w:r>
        <w:t>The GHD</w:t>
      </w:r>
      <w:r w:rsidR="00EB3838">
        <w:t>, introduced as evidence at trial,</w:t>
      </w:r>
      <w:r>
        <w:t xml:space="preserve"> </w:t>
      </w:r>
      <w:r w:rsidR="00193114">
        <w:rPr>
          <w:rStyle w:val="normaltextrun"/>
          <w:color w:val="000000"/>
          <w:shd w:val="clear" w:color="auto" w:fill="FFFFFF"/>
        </w:rPr>
        <w:t>defines three categories of habitat for Blanding’s turtles based on the best available science. Category 1 habitat has the lowest tolerance to alteration, while Category 3 habitat has the highest tolerance. Category 2 habitat has a moderate level of tolerance to alteration before its function is compromised. It includes wetland complexes near a Blanding’s turtle sighting and a 30-metre buffer around those wetlands.</w:t>
      </w:r>
    </w:p>
    <w:p w14:paraId="1AC4ED22" w14:textId="3A22DBB9" w:rsidR="003A2CD5" w:rsidRPr="00D678D8" w:rsidRDefault="003A2CD5" w:rsidP="003A2CD5">
      <w:pPr>
        <w:pStyle w:val="WSParaNum"/>
        <w:numPr>
          <w:ilvl w:val="0"/>
          <w:numId w:val="0"/>
        </w:numPr>
        <w:spacing w:before="0" w:after="0" w:line="240" w:lineRule="auto"/>
        <w:ind w:left="720" w:right="720"/>
        <w:rPr>
          <w:sz w:val="20"/>
          <w:szCs w:val="20"/>
        </w:rPr>
      </w:pPr>
      <w:r>
        <w:rPr>
          <w:sz w:val="20"/>
          <w:szCs w:val="20"/>
        </w:rPr>
        <w:t>Trial decision</w:t>
      </w:r>
      <w:r w:rsidRPr="00D678D8">
        <w:rPr>
          <w:sz w:val="20"/>
          <w:szCs w:val="20"/>
        </w:rPr>
        <w:t xml:space="preserve"> </w:t>
      </w:r>
      <w:r>
        <w:rPr>
          <w:sz w:val="20"/>
          <w:szCs w:val="20"/>
        </w:rPr>
        <w:t>at 5–6</w:t>
      </w:r>
      <w:r w:rsidRPr="00D678D8">
        <w:rPr>
          <w:sz w:val="20"/>
          <w:szCs w:val="20"/>
        </w:rPr>
        <w:t>.</w:t>
      </w:r>
    </w:p>
    <w:p w14:paraId="0FC9EEA5" w14:textId="77777777" w:rsidR="003A2CD5" w:rsidRPr="00D678D8" w:rsidRDefault="003A2CD5" w:rsidP="003A2CD5">
      <w:pPr>
        <w:pStyle w:val="WSParaNum"/>
        <w:numPr>
          <w:ilvl w:val="0"/>
          <w:numId w:val="0"/>
        </w:numPr>
        <w:spacing w:before="0" w:after="0" w:line="240" w:lineRule="auto"/>
        <w:ind w:left="720" w:right="720"/>
        <w:rPr>
          <w:sz w:val="20"/>
          <w:szCs w:val="20"/>
        </w:rPr>
      </w:pPr>
    </w:p>
    <w:p w14:paraId="50D4F9BF" w14:textId="7712CBDA" w:rsidR="003A2CD5" w:rsidRDefault="004A4AFD" w:rsidP="003A2CD5">
      <w:pPr>
        <w:pStyle w:val="WSParaNum"/>
        <w:numPr>
          <w:ilvl w:val="0"/>
          <w:numId w:val="0"/>
        </w:numPr>
        <w:spacing w:before="0" w:after="0" w:line="240" w:lineRule="auto"/>
        <w:ind w:firstLine="720"/>
        <w:rPr>
          <w:sz w:val="20"/>
          <w:szCs w:val="20"/>
        </w:rPr>
      </w:pPr>
      <w:r>
        <w:rPr>
          <w:sz w:val="20"/>
          <w:szCs w:val="20"/>
        </w:rPr>
        <w:t>OCJ decision at 5</w:t>
      </w:r>
      <w:r w:rsidR="003A2CD5" w:rsidRPr="00D678D8">
        <w:rPr>
          <w:sz w:val="20"/>
          <w:szCs w:val="20"/>
        </w:rPr>
        <w:t>.</w:t>
      </w:r>
    </w:p>
    <w:p w14:paraId="157DEB02" w14:textId="77777777" w:rsidR="003A2CD5" w:rsidRDefault="003A2CD5" w:rsidP="003A2CD5">
      <w:pPr>
        <w:pStyle w:val="WSParaNum"/>
        <w:numPr>
          <w:ilvl w:val="0"/>
          <w:numId w:val="0"/>
        </w:numPr>
        <w:spacing w:before="0" w:after="0" w:line="240" w:lineRule="auto"/>
        <w:ind w:firstLine="720"/>
        <w:rPr>
          <w:sz w:val="20"/>
          <w:szCs w:val="20"/>
        </w:rPr>
      </w:pPr>
    </w:p>
    <w:p w14:paraId="1AAD5E4E" w14:textId="71535B54" w:rsidR="003A2CD5" w:rsidRDefault="00A13111" w:rsidP="00EE66F8">
      <w:pPr>
        <w:pStyle w:val="WSParaNum"/>
        <w:numPr>
          <w:ilvl w:val="0"/>
          <w:numId w:val="0"/>
        </w:numPr>
        <w:spacing w:before="0" w:after="0" w:line="240" w:lineRule="auto"/>
        <w:ind w:left="720"/>
        <w:rPr>
          <w:sz w:val="20"/>
          <w:szCs w:val="20"/>
        </w:rPr>
      </w:pPr>
      <w:r>
        <w:rPr>
          <w:sz w:val="20"/>
          <w:szCs w:val="20"/>
        </w:rPr>
        <w:t xml:space="preserve">Ministry </w:t>
      </w:r>
      <w:r w:rsidR="00D04918">
        <w:rPr>
          <w:rStyle w:val="normaltextrun"/>
          <w:color w:val="000000"/>
          <w:sz w:val="20"/>
          <w:szCs w:val="20"/>
          <w:bdr w:val="none" w:sz="0" w:space="0" w:color="auto" w:frame="1"/>
        </w:rPr>
        <w:t>of the Environment, Conservation and Parks, “Blanding’s Turtle General Habitat Description” (last modified March 2021), online (pdf) at 1–3 [GHD]</w:t>
      </w:r>
      <w:r w:rsidR="003A2CD5">
        <w:rPr>
          <w:sz w:val="20"/>
          <w:szCs w:val="20"/>
        </w:rPr>
        <w:t>.</w:t>
      </w:r>
    </w:p>
    <w:p w14:paraId="68E8BE09" w14:textId="77777777" w:rsidR="003A2CD5" w:rsidRPr="00A87C7D" w:rsidRDefault="003A2CD5" w:rsidP="003A2CD5">
      <w:pPr>
        <w:pStyle w:val="WSParaNum"/>
        <w:numPr>
          <w:ilvl w:val="0"/>
          <w:numId w:val="0"/>
        </w:numPr>
        <w:spacing w:before="0" w:after="0"/>
        <w:rPr>
          <w:rStyle w:val="normaltextrun"/>
        </w:rPr>
      </w:pPr>
    </w:p>
    <w:p w14:paraId="30FC99D7" w14:textId="0FBD4B13" w:rsidR="00E25F85" w:rsidRDefault="00D04918" w:rsidP="00840A2B">
      <w:pPr>
        <w:pStyle w:val="WSParaNum"/>
        <w:spacing w:before="0" w:after="0"/>
      </w:pPr>
      <w:r>
        <w:t xml:space="preserve">The </w:t>
      </w:r>
      <w:r w:rsidR="00624DC4">
        <w:t xml:space="preserve">Appellants </w:t>
      </w:r>
      <w:r w:rsidR="00E32A74">
        <w:t>appear to have</w:t>
      </w:r>
      <w:r w:rsidR="00464C6D">
        <w:t xml:space="preserve"> misunderstood the role of the GHD. </w:t>
      </w:r>
      <w:r w:rsidR="00675C96">
        <w:t>The GHD for Blanding’s turtles</w:t>
      </w:r>
      <w:r w:rsidR="0080379D">
        <w:t xml:space="preserve"> does not definitively prove where they live</w:t>
      </w:r>
      <w:r w:rsidR="00BF51DD">
        <w:t xml:space="preserve">. Instead, it simply provides greater clarity on areas that would be protected as Blanding’s turtle habitat based on the general habitat definition in </w:t>
      </w:r>
      <w:r w:rsidR="00BF51DD" w:rsidRPr="00BF51DD">
        <w:rPr>
          <w:i/>
          <w:iCs/>
        </w:rPr>
        <w:t>ESA</w:t>
      </w:r>
      <w:r w:rsidR="00BF51DD">
        <w:t xml:space="preserve"> s. 2(1)(b). </w:t>
      </w:r>
      <w:r w:rsidR="00F5624C">
        <w:t>Due to this misunderstanding, t</w:t>
      </w:r>
      <w:r w:rsidR="00861B34">
        <w:t xml:space="preserve">he Appellants misstated </w:t>
      </w:r>
      <w:r w:rsidR="002A7F38">
        <w:t xml:space="preserve">that </w:t>
      </w:r>
      <w:r w:rsidR="00971D5A">
        <w:t>“</w:t>
      </w:r>
      <w:r w:rsidR="002A7F38">
        <w:t xml:space="preserve">CHL </w:t>
      </w:r>
      <w:r w:rsidR="00566C44">
        <w:lastRenderedPageBreak/>
        <w:t xml:space="preserve">did not </w:t>
      </w:r>
      <w:r w:rsidR="00971D5A">
        <w:t>argue that</w:t>
      </w:r>
      <w:r w:rsidR="00F5624C">
        <w:t xml:space="preserve"> </w:t>
      </w:r>
      <w:r w:rsidR="002A7F38">
        <w:t>the GHD was not a good description of the turtle’s habitat.”</w:t>
      </w:r>
      <w:r w:rsidR="2E62A17B">
        <w:t xml:space="preserve"> </w:t>
      </w:r>
      <w:r w:rsidR="4776277B">
        <w:t>This is irrelevant</w:t>
      </w:r>
      <w:r w:rsidR="2F1FEAA8">
        <w:t xml:space="preserve"> and was not disputed at trial</w:t>
      </w:r>
      <w:r w:rsidR="4776277B">
        <w:t>. The GHD is an objective document used to map potential Blanding’s turtle habitat in a particular area</w:t>
      </w:r>
      <w:r w:rsidR="5588DF31">
        <w:t>.</w:t>
      </w:r>
    </w:p>
    <w:p w14:paraId="5940C29F" w14:textId="27A91607" w:rsidR="001E1A4F" w:rsidRPr="00D678D8" w:rsidRDefault="001E1A4F" w:rsidP="001E1A4F">
      <w:pPr>
        <w:pStyle w:val="WSParaNum"/>
        <w:numPr>
          <w:ilvl w:val="0"/>
          <w:numId w:val="0"/>
        </w:numPr>
        <w:spacing w:before="0" w:after="0" w:line="240" w:lineRule="auto"/>
        <w:ind w:left="720" w:right="720"/>
        <w:rPr>
          <w:sz w:val="20"/>
          <w:szCs w:val="20"/>
        </w:rPr>
      </w:pPr>
      <w:r>
        <w:rPr>
          <w:sz w:val="20"/>
          <w:szCs w:val="20"/>
        </w:rPr>
        <w:t>Appellant factum at para 11</w:t>
      </w:r>
      <w:r w:rsidRPr="00D678D8">
        <w:rPr>
          <w:sz w:val="20"/>
          <w:szCs w:val="20"/>
        </w:rPr>
        <w:t>.</w:t>
      </w:r>
    </w:p>
    <w:p w14:paraId="2477261B" w14:textId="77777777" w:rsidR="001E1A4F" w:rsidRPr="00D678D8" w:rsidRDefault="001E1A4F" w:rsidP="001E1A4F">
      <w:pPr>
        <w:pStyle w:val="WSParaNum"/>
        <w:numPr>
          <w:ilvl w:val="0"/>
          <w:numId w:val="0"/>
        </w:numPr>
        <w:spacing w:before="0" w:after="0" w:line="240" w:lineRule="auto"/>
        <w:ind w:left="720" w:right="720"/>
        <w:rPr>
          <w:sz w:val="20"/>
          <w:szCs w:val="20"/>
        </w:rPr>
      </w:pPr>
    </w:p>
    <w:p w14:paraId="09FD9EAC" w14:textId="77568E7C" w:rsidR="001E1A4F" w:rsidRDefault="001E1A4F" w:rsidP="001E1A4F">
      <w:pPr>
        <w:pStyle w:val="WSParaNum"/>
        <w:numPr>
          <w:ilvl w:val="0"/>
          <w:numId w:val="0"/>
        </w:numPr>
        <w:spacing w:before="0" w:after="0"/>
        <w:ind w:firstLine="720"/>
        <w:rPr>
          <w:sz w:val="20"/>
          <w:szCs w:val="20"/>
        </w:rPr>
      </w:pPr>
      <w:r>
        <w:rPr>
          <w:sz w:val="20"/>
          <w:szCs w:val="20"/>
        </w:rPr>
        <w:t>GHD at 1</w:t>
      </w:r>
      <w:r w:rsidRPr="00D678D8">
        <w:rPr>
          <w:sz w:val="20"/>
          <w:szCs w:val="20"/>
        </w:rPr>
        <w:t>.</w:t>
      </w:r>
    </w:p>
    <w:p w14:paraId="39BEC722" w14:textId="77777777" w:rsidR="001E1A4F" w:rsidRPr="00D351F2" w:rsidRDefault="001E1A4F" w:rsidP="001E1A4F">
      <w:pPr>
        <w:pStyle w:val="WSParaNum"/>
        <w:numPr>
          <w:ilvl w:val="0"/>
          <w:numId w:val="0"/>
        </w:numPr>
        <w:spacing w:before="0" w:after="0"/>
        <w:rPr>
          <w:rStyle w:val="normaltextrun"/>
        </w:rPr>
      </w:pPr>
    </w:p>
    <w:p w14:paraId="4409A9EC" w14:textId="7C8920F3" w:rsidR="00D351F2" w:rsidRPr="00CE59FE" w:rsidRDefault="00D351F2" w:rsidP="00840A2B">
      <w:pPr>
        <w:pStyle w:val="WSParaNum"/>
        <w:spacing w:before="0" w:after="0"/>
        <w:rPr>
          <w:rStyle w:val="normaltextrun"/>
        </w:rPr>
      </w:pPr>
      <w:r>
        <w:rPr>
          <w:rStyle w:val="normaltextrun"/>
          <w:color w:val="000000"/>
          <w:shd w:val="clear" w:color="auto" w:fill="FFFFFF"/>
        </w:rPr>
        <w:t xml:space="preserve">On </w:t>
      </w:r>
      <w:r w:rsidR="001E1A4F" w:rsidRPr="001E1A4F">
        <w:rPr>
          <w:rStyle w:val="normaltextrun"/>
          <w:color w:val="000000"/>
          <w:shd w:val="clear" w:color="auto" w:fill="FFFFFF"/>
        </w:rPr>
        <w:t xml:space="preserve">November 9, 2017, Rob Blitz, </w:t>
      </w:r>
      <w:r w:rsidR="00F57F15">
        <w:rPr>
          <w:rStyle w:val="normaltextrun"/>
          <w:color w:val="000000"/>
          <w:shd w:val="clear" w:color="auto" w:fill="FFFFFF"/>
        </w:rPr>
        <w:t>Mr.</w:t>
      </w:r>
      <w:r w:rsidR="001E1A4F" w:rsidRPr="001E1A4F">
        <w:rPr>
          <w:rStyle w:val="normaltextrun"/>
          <w:color w:val="000000"/>
          <w:shd w:val="clear" w:color="auto" w:fill="FFFFFF"/>
        </w:rPr>
        <w:t xml:space="preserve"> Snell, and two </w:t>
      </w:r>
      <w:r w:rsidR="000C67A7">
        <w:rPr>
          <w:rStyle w:val="normaltextrun"/>
          <w:color w:val="000000"/>
          <w:shd w:val="clear" w:color="auto" w:fill="FFFFFF"/>
        </w:rPr>
        <w:t>Ministry of Natural Resources and Forestry (“</w:t>
      </w:r>
      <w:r w:rsidR="00067F84">
        <w:rPr>
          <w:rStyle w:val="normaltextrun"/>
          <w:color w:val="000000"/>
          <w:shd w:val="clear" w:color="auto" w:fill="FFFFFF"/>
        </w:rPr>
        <w:t>MNRF</w:t>
      </w:r>
      <w:r w:rsidR="000C67A7">
        <w:rPr>
          <w:rStyle w:val="normaltextrun"/>
          <w:color w:val="000000"/>
          <w:shd w:val="clear" w:color="auto" w:fill="FFFFFF"/>
        </w:rPr>
        <w:t>”)</w:t>
      </w:r>
      <w:r w:rsidR="00067F84">
        <w:rPr>
          <w:rStyle w:val="normaltextrun"/>
          <w:color w:val="000000"/>
          <w:shd w:val="clear" w:color="auto" w:fill="FFFFFF"/>
        </w:rPr>
        <w:t xml:space="preserve"> </w:t>
      </w:r>
      <w:r w:rsidR="001E1A4F" w:rsidRPr="001E1A4F">
        <w:rPr>
          <w:rStyle w:val="normaltextrun"/>
          <w:color w:val="000000"/>
          <w:shd w:val="clear" w:color="auto" w:fill="FFFFFF"/>
        </w:rPr>
        <w:t>employees visited CHL’s property to physically map the Category 2 habitat by identifying the wetland boundary and buffer. Mr. Blitz is an environmental specialist with Miller Surveying Limited</w:t>
      </w:r>
      <w:r w:rsidR="001E1A4F">
        <w:rPr>
          <w:rStyle w:val="normaltextrun"/>
          <w:color w:val="000000"/>
          <w:shd w:val="clear" w:color="auto" w:fill="FFFFFF"/>
        </w:rPr>
        <w:t>.</w:t>
      </w:r>
    </w:p>
    <w:p w14:paraId="33439BA0" w14:textId="3D962D55" w:rsidR="00CE59FE" w:rsidRDefault="00CE59FE" w:rsidP="00CE59FE">
      <w:pPr>
        <w:pStyle w:val="WSParaNum"/>
        <w:numPr>
          <w:ilvl w:val="0"/>
          <w:numId w:val="0"/>
        </w:numPr>
        <w:spacing w:before="0" w:after="0"/>
        <w:ind w:firstLine="720"/>
      </w:pPr>
      <w:r>
        <w:rPr>
          <w:sz w:val="20"/>
          <w:szCs w:val="20"/>
        </w:rPr>
        <w:t>OCJ decision at 6.</w:t>
      </w:r>
    </w:p>
    <w:p w14:paraId="63EC97F7" w14:textId="77777777" w:rsidR="00CE59FE" w:rsidRPr="001E1A4F" w:rsidRDefault="00CE59FE" w:rsidP="00CE59FE">
      <w:pPr>
        <w:pStyle w:val="WSParaNum"/>
        <w:numPr>
          <w:ilvl w:val="0"/>
          <w:numId w:val="0"/>
        </w:numPr>
        <w:spacing w:before="0" w:after="0"/>
        <w:rPr>
          <w:rStyle w:val="normaltextrun"/>
        </w:rPr>
      </w:pPr>
    </w:p>
    <w:p w14:paraId="2E3A4D4C" w14:textId="13B4D811" w:rsidR="001E1A4F" w:rsidRPr="00CC5E5B" w:rsidRDefault="001E1A4F" w:rsidP="00840A2B">
      <w:pPr>
        <w:pStyle w:val="WSParaNum"/>
        <w:spacing w:before="0" w:after="0"/>
        <w:rPr>
          <w:rStyle w:val="normaltextrun"/>
        </w:rPr>
      </w:pPr>
      <w:r>
        <w:rPr>
          <w:rStyle w:val="normaltextrun"/>
          <w:color w:val="000000"/>
          <w:shd w:val="clear" w:color="auto" w:fill="FFFFFF"/>
        </w:rPr>
        <w:t xml:space="preserve">On </w:t>
      </w:r>
      <w:r w:rsidR="00CE59FE" w:rsidRPr="00CE59FE">
        <w:rPr>
          <w:rStyle w:val="normaltextrun"/>
          <w:color w:val="000000"/>
          <w:shd w:val="clear" w:color="auto" w:fill="FFFFFF"/>
        </w:rPr>
        <w:t xml:space="preserve">June 12, 2018, Valerie Murphy, a Conservation Authority officer, visited CHL’s property. She observed the flagging tape delineating the Category 2 habitat and noted that none of CHL’s work surpassed the flags. She neither saw Blanding’s turtles at the Site nor identified the Site as Blanding’s turtle habitat. </w:t>
      </w:r>
      <w:r w:rsidR="000F6CF3">
        <w:rPr>
          <w:rStyle w:val="normaltextrun"/>
          <w:color w:val="000000"/>
          <w:shd w:val="clear" w:color="auto" w:fill="FFFFFF"/>
        </w:rPr>
        <w:t>Tim Cad</w:t>
      </w:r>
      <w:r w:rsidR="00C7004A">
        <w:rPr>
          <w:rStyle w:val="normaltextrun"/>
          <w:color w:val="000000"/>
          <w:shd w:val="clear" w:color="auto" w:fill="FFFFFF"/>
        </w:rPr>
        <w:t>dell and Nathan Kirby, t</w:t>
      </w:r>
      <w:r w:rsidR="00CE59FE" w:rsidRPr="00CE59FE">
        <w:rPr>
          <w:rStyle w:val="normaltextrun"/>
          <w:color w:val="000000"/>
          <w:shd w:val="clear" w:color="auto" w:fill="FFFFFF"/>
        </w:rPr>
        <w:t xml:space="preserve">wo </w:t>
      </w:r>
      <w:r w:rsidR="00C7004A">
        <w:rPr>
          <w:rStyle w:val="normaltextrun"/>
          <w:color w:val="000000"/>
          <w:shd w:val="clear" w:color="auto" w:fill="FFFFFF"/>
        </w:rPr>
        <w:t>additional</w:t>
      </w:r>
      <w:r w:rsidR="00CE59FE" w:rsidRPr="00CE59FE">
        <w:rPr>
          <w:rStyle w:val="normaltextrun"/>
          <w:color w:val="000000"/>
          <w:shd w:val="clear" w:color="auto" w:fill="FFFFFF"/>
        </w:rPr>
        <w:t xml:space="preserve"> Conservation Authority officers</w:t>
      </w:r>
      <w:r w:rsidR="00C7004A">
        <w:rPr>
          <w:rStyle w:val="normaltextrun"/>
          <w:color w:val="000000"/>
          <w:shd w:val="clear" w:color="auto" w:fill="FFFFFF"/>
        </w:rPr>
        <w:t>,</w:t>
      </w:r>
      <w:r w:rsidR="00CE59FE" w:rsidRPr="00CE59FE">
        <w:rPr>
          <w:rStyle w:val="normaltextrun"/>
          <w:color w:val="000000"/>
          <w:shd w:val="clear" w:color="auto" w:fill="FFFFFF"/>
        </w:rPr>
        <w:t xml:space="preserve"> also visited the site. Mr. Kirby was unable to identify shells found near the Site as Blanding’s turtle shells</w:t>
      </w:r>
      <w:r w:rsidR="00CE59FE">
        <w:rPr>
          <w:rStyle w:val="normaltextrun"/>
          <w:color w:val="000000"/>
          <w:shd w:val="clear" w:color="auto" w:fill="FFFFFF"/>
        </w:rPr>
        <w:t>.</w:t>
      </w:r>
      <w:r w:rsidR="0088539C">
        <w:rPr>
          <w:rStyle w:val="normaltextrun"/>
          <w:color w:val="000000"/>
          <w:shd w:val="clear" w:color="auto" w:fill="FFFFFF"/>
        </w:rPr>
        <w:t xml:space="preserve"> </w:t>
      </w:r>
    </w:p>
    <w:p w14:paraId="12FFBB22" w14:textId="5D0A1102" w:rsidR="00CC5E5B" w:rsidRPr="00D678D8" w:rsidRDefault="00CC5E5B" w:rsidP="00CC5E5B">
      <w:pPr>
        <w:pStyle w:val="WSParaNum"/>
        <w:numPr>
          <w:ilvl w:val="0"/>
          <w:numId w:val="0"/>
        </w:numPr>
        <w:spacing w:before="0" w:after="0" w:line="240" w:lineRule="auto"/>
        <w:ind w:left="720" w:right="720"/>
        <w:rPr>
          <w:sz w:val="20"/>
          <w:szCs w:val="20"/>
        </w:rPr>
      </w:pPr>
      <w:r>
        <w:rPr>
          <w:sz w:val="20"/>
          <w:szCs w:val="20"/>
        </w:rPr>
        <w:t>Trial decision</w:t>
      </w:r>
      <w:r w:rsidRPr="00D678D8">
        <w:rPr>
          <w:sz w:val="20"/>
          <w:szCs w:val="20"/>
        </w:rPr>
        <w:t xml:space="preserve"> </w:t>
      </w:r>
      <w:r>
        <w:rPr>
          <w:sz w:val="20"/>
          <w:szCs w:val="20"/>
        </w:rPr>
        <w:t xml:space="preserve">at </w:t>
      </w:r>
      <w:r w:rsidR="00D75FF5">
        <w:rPr>
          <w:sz w:val="20"/>
          <w:szCs w:val="20"/>
        </w:rPr>
        <w:t>8</w:t>
      </w:r>
      <w:r w:rsidRPr="00D678D8">
        <w:rPr>
          <w:sz w:val="20"/>
          <w:szCs w:val="20"/>
        </w:rPr>
        <w:t>.</w:t>
      </w:r>
    </w:p>
    <w:p w14:paraId="77BAB162" w14:textId="77777777" w:rsidR="00CC5E5B" w:rsidRPr="00D678D8" w:rsidRDefault="00CC5E5B" w:rsidP="00CC5E5B">
      <w:pPr>
        <w:pStyle w:val="WSParaNum"/>
        <w:numPr>
          <w:ilvl w:val="0"/>
          <w:numId w:val="0"/>
        </w:numPr>
        <w:spacing w:before="0" w:after="0" w:line="240" w:lineRule="auto"/>
        <w:ind w:left="720" w:right="720"/>
        <w:rPr>
          <w:sz w:val="20"/>
          <w:szCs w:val="20"/>
        </w:rPr>
      </w:pPr>
    </w:p>
    <w:p w14:paraId="5033F8FB" w14:textId="14FC80D4" w:rsidR="00CC5E5B" w:rsidRDefault="00CC5E5B" w:rsidP="00CC5E5B">
      <w:pPr>
        <w:pStyle w:val="WSParaNum"/>
        <w:numPr>
          <w:ilvl w:val="0"/>
          <w:numId w:val="0"/>
        </w:numPr>
        <w:spacing w:before="0" w:after="0"/>
        <w:ind w:firstLine="720"/>
        <w:rPr>
          <w:sz w:val="20"/>
          <w:szCs w:val="20"/>
        </w:rPr>
      </w:pPr>
      <w:r>
        <w:rPr>
          <w:sz w:val="20"/>
          <w:szCs w:val="20"/>
        </w:rPr>
        <w:t>OCJ decision at 3, 17, 19–20</w:t>
      </w:r>
      <w:r w:rsidRPr="00D678D8">
        <w:rPr>
          <w:sz w:val="20"/>
          <w:szCs w:val="20"/>
        </w:rPr>
        <w:t>.</w:t>
      </w:r>
    </w:p>
    <w:p w14:paraId="6BBB0D63" w14:textId="77777777" w:rsidR="00FF404B" w:rsidRPr="00FF404B" w:rsidRDefault="00FF404B" w:rsidP="00CC5E5B">
      <w:pPr>
        <w:pStyle w:val="WSParaNum"/>
        <w:numPr>
          <w:ilvl w:val="0"/>
          <w:numId w:val="0"/>
        </w:numPr>
        <w:spacing w:before="0" w:after="0"/>
        <w:ind w:firstLine="720"/>
      </w:pPr>
    </w:p>
    <w:p w14:paraId="29AA0020" w14:textId="52AA698B" w:rsidR="00CC5E5B" w:rsidRPr="00B942FF" w:rsidRDefault="00CC5E5B" w:rsidP="00840A2B">
      <w:pPr>
        <w:pStyle w:val="WSParaNum"/>
        <w:spacing w:before="0" w:after="0"/>
        <w:rPr>
          <w:rStyle w:val="normaltextrun"/>
        </w:rPr>
      </w:pPr>
      <w:r>
        <w:rPr>
          <w:rStyle w:val="normaltextrun"/>
          <w:color w:val="000000"/>
          <w:shd w:val="clear" w:color="auto" w:fill="FFFFFF"/>
        </w:rPr>
        <w:t>The</w:t>
      </w:r>
      <w:r w:rsidR="00B942FF">
        <w:rPr>
          <w:rStyle w:val="normaltextrun"/>
          <w:color w:val="000000"/>
          <w:shd w:val="clear" w:color="auto" w:fill="FFFFFF"/>
        </w:rPr>
        <w:t xml:space="preserve"> </w:t>
      </w:r>
      <w:r w:rsidR="00C43E48">
        <w:rPr>
          <w:rStyle w:val="normaltextrun"/>
          <w:color w:val="000000"/>
          <w:shd w:val="clear" w:color="auto" w:fill="FFFFFF"/>
        </w:rPr>
        <w:t>T</w:t>
      </w:r>
      <w:r w:rsidR="00B942FF" w:rsidRPr="00B942FF">
        <w:rPr>
          <w:rStyle w:val="normaltextrun"/>
          <w:color w:val="000000"/>
          <w:shd w:val="clear" w:color="auto" w:fill="FFFFFF"/>
        </w:rPr>
        <w:t xml:space="preserve">rial Justice accepted evidence of two Blanding’s turtle sightings in 2007 and 2017 that were </w:t>
      </w:r>
      <w:r w:rsidR="00C66328">
        <w:rPr>
          <w:rStyle w:val="normaltextrun"/>
          <w:color w:val="000000"/>
          <w:shd w:val="clear" w:color="auto" w:fill="FFFFFF"/>
        </w:rPr>
        <w:t>near</w:t>
      </w:r>
      <w:r w:rsidR="00B942FF" w:rsidRPr="00B942FF">
        <w:rPr>
          <w:rStyle w:val="normaltextrun"/>
          <w:color w:val="000000"/>
          <w:shd w:val="clear" w:color="auto" w:fill="FFFFFF"/>
        </w:rPr>
        <w:t xml:space="preserve">, but not at, the Site. </w:t>
      </w:r>
      <w:r w:rsidR="000357B7">
        <w:rPr>
          <w:rStyle w:val="normaltextrun"/>
          <w:color w:val="000000"/>
          <w:shd w:val="clear" w:color="auto" w:fill="FFFFFF"/>
        </w:rPr>
        <w:t xml:space="preserve">The Justice </w:t>
      </w:r>
      <w:r w:rsidR="00B942FF" w:rsidRPr="00B942FF">
        <w:rPr>
          <w:rStyle w:val="normaltextrun"/>
          <w:color w:val="000000"/>
          <w:shd w:val="clear" w:color="auto" w:fill="FFFFFF"/>
        </w:rPr>
        <w:t>also accepted a photo of a Blanding’s turtle in the Circle Lake area</w:t>
      </w:r>
      <w:r w:rsidR="00A00931">
        <w:rPr>
          <w:rStyle w:val="normaltextrun"/>
          <w:color w:val="000000"/>
          <w:shd w:val="clear" w:color="auto" w:fill="FFFFFF"/>
        </w:rPr>
        <w:t>—</w:t>
      </w:r>
      <w:r w:rsidR="00E0261B">
        <w:rPr>
          <w:rStyle w:val="normaltextrun"/>
          <w:color w:val="000000"/>
          <w:shd w:val="clear" w:color="auto" w:fill="FFFFFF"/>
        </w:rPr>
        <w:t>which</w:t>
      </w:r>
      <w:r w:rsidR="00E0261B" w:rsidRPr="0D23D6AB">
        <w:rPr>
          <w:rStyle w:val="normaltextrun"/>
          <w:color w:val="000000" w:themeColor="text1"/>
        </w:rPr>
        <w:t xml:space="preserve"> is not </w:t>
      </w:r>
      <w:r w:rsidR="00B942FF" w:rsidRPr="00B942FF">
        <w:rPr>
          <w:rStyle w:val="normaltextrun"/>
          <w:color w:val="000000"/>
          <w:shd w:val="clear" w:color="auto" w:fill="FFFFFF"/>
        </w:rPr>
        <w:t>the Site itself</w:t>
      </w:r>
      <w:r w:rsidR="00A00931">
        <w:rPr>
          <w:rStyle w:val="normaltextrun"/>
          <w:color w:val="000000"/>
          <w:shd w:val="clear" w:color="auto" w:fill="FFFFFF"/>
        </w:rPr>
        <w:t>—</w:t>
      </w:r>
      <w:r w:rsidR="00B942FF" w:rsidRPr="00B942FF">
        <w:rPr>
          <w:rStyle w:val="normaltextrun"/>
          <w:color w:val="000000"/>
          <w:shd w:val="clear" w:color="auto" w:fill="FFFFFF"/>
        </w:rPr>
        <w:t>taken by independent witness Maria Badilla on June 11, 2020</w:t>
      </w:r>
      <w:r w:rsidR="00B942FF">
        <w:rPr>
          <w:rStyle w:val="normaltextrun"/>
          <w:color w:val="000000"/>
          <w:shd w:val="clear" w:color="auto" w:fill="FFFFFF"/>
        </w:rPr>
        <w:t>.</w:t>
      </w:r>
    </w:p>
    <w:p w14:paraId="5FAC9853" w14:textId="7BDB47A0" w:rsidR="00B151D3" w:rsidRPr="00D678D8" w:rsidRDefault="00B151D3" w:rsidP="00B151D3">
      <w:pPr>
        <w:pStyle w:val="WSParaNum"/>
        <w:numPr>
          <w:ilvl w:val="0"/>
          <w:numId w:val="0"/>
        </w:numPr>
        <w:spacing w:before="0" w:after="0" w:line="240" w:lineRule="auto"/>
        <w:ind w:left="720" w:right="720"/>
        <w:rPr>
          <w:sz w:val="20"/>
          <w:szCs w:val="20"/>
        </w:rPr>
      </w:pPr>
      <w:r>
        <w:rPr>
          <w:sz w:val="20"/>
          <w:szCs w:val="20"/>
        </w:rPr>
        <w:t>Trial decision</w:t>
      </w:r>
      <w:r w:rsidRPr="00D678D8">
        <w:rPr>
          <w:sz w:val="20"/>
          <w:szCs w:val="20"/>
        </w:rPr>
        <w:t xml:space="preserve"> </w:t>
      </w:r>
      <w:r>
        <w:rPr>
          <w:sz w:val="20"/>
          <w:szCs w:val="20"/>
        </w:rPr>
        <w:t>at 9</w:t>
      </w:r>
      <w:r w:rsidRPr="00D678D8">
        <w:rPr>
          <w:sz w:val="20"/>
          <w:szCs w:val="20"/>
        </w:rPr>
        <w:t>.</w:t>
      </w:r>
    </w:p>
    <w:p w14:paraId="6343A5E9" w14:textId="77777777" w:rsidR="00B151D3" w:rsidRPr="00D678D8" w:rsidRDefault="00B151D3" w:rsidP="00B151D3">
      <w:pPr>
        <w:pStyle w:val="WSParaNum"/>
        <w:numPr>
          <w:ilvl w:val="0"/>
          <w:numId w:val="0"/>
        </w:numPr>
        <w:spacing w:before="0" w:after="0" w:line="240" w:lineRule="auto"/>
        <w:ind w:left="720" w:right="720"/>
        <w:rPr>
          <w:sz w:val="20"/>
          <w:szCs w:val="20"/>
        </w:rPr>
      </w:pPr>
    </w:p>
    <w:p w14:paraId="749034C5" w14:textId="0A259460" w:rsidR="00B151D3" w:rsidRDefault="00B151D3" w:rsidP="00B151D3">
      <w:pPr>
        <w:pStyle w:val="WSParaNum"/>
        <w:numPr>
          <w:ilvl w:val="0"/>
          <w:numId w:val="0"/>
        </w:numPr>
        <w:spacing w:before="0" w:after="0"/>
        <w:ind w:firstLine="720"/>
        <w:rPr>
          <w:sz w:val="20"/>
          <w:szCs w:val="20"/>
        </w:rPr>
      </w:pPr>
      <w:r>
        <w:rPr>
          <w:sz w:val="20"/>
          <w:szCs w:val="20"/>
        </w:rPr>
        <w:t>OCJ decision at 14–15</w:t>
      </w:r>
      <w:r w:rsidRPr="00D678D8">
        <w:rPr>
          <w:sz w:val="20"/>
          <w:szCs w:val="20"/>
        </w:rPr>
        <w:t>.</w:t>
      </w:r>
    </w:p>
    <w:p w14:paraId="4C790FB8" w14:textId="419EB46F" w:rsidR="00A04B94" w:rsidRPr="007A3535" w:rsidRDefault="00A04B94" w:rsidP="004D26FE">
      <w:pPr>
        <w:pStyle w:val="WSParaNum"/>
        <w:numPr>
          <w:ilvl w:val="0"/>
          <w:numId w:val="0"/>
        </w:numPr>
        <w:spacing w:before="0" w:after="0"/>
        <w:ind w:firstLine="720"/>
      </w:pPr>
    </w:p>
    <w:p w14:paraId="5B5CE168" w14:textId="75CA9652" w:rsidR="00A04B94" w:rsidRPr="005C27D8" w:rsidRDefault="00A04B94" w:rsidP="004D26FE">
      <w:pPr>
        <w:pStyle w:val="Heading3"/>
        <w:spacing w:before="0" w:after="0" w:line="360" w:lineRule="auto"/>
        <w:rPr>
          <w:rFonts w:ascii="Times New Roman" w:hAnsi="Times New Roman"/>
          <w:sz w:val="24"/>
          <w:szCs w:val="24"/>
        </w:rPr>
      </w:pPr>
      <w:bookmarkStart w:id="8" w:name="_Toc220076100"/>
      <w:r w:rsidRPr="7A072BDC">
        <w:rPr>
          <w:rFonts w:ascii="Times New Roman" w:hAnsi="Times New Roman"/>
          <w:sz w:val="24"/>
          <w:szCs w:val="24"/>
        </w:rPr>
        <w:t>Appellants’ Misstatement of the Factual Record</w:t>
      </w:r>
      <w:bookmarkEnd w:id="8"/>
    </w:p>
    <w:p w14:paraId="6B2D84C5" w14:textId="77777777" w:rsidR="00B942FF" w:rsidRPr="00B942FF" w:rsidRDefault="00B942FF" w:rsidP="004D26FE">
      <w:pPr>
        <w:pStyle w:val="WSParaNum"/>
        <w:numPr>
          <w:ilvl w:val="0"/>
          <w:numId w:val="0"/>
        </w:numPr>
        <w:spacing w:before="0" w:after="0"/>
        <w:rPr>
          <w:rStyle w:val="normaltextrun"/>
        </w:rPr>
      </w:pPr>
    </w:p>
    <w:p w14:paraId="59D3250E" w14:textId="41281211" w:rsidR="00E001A2" w:rsidRPr="00BD69D6" w:rsidRDefault="00B942FF" w:rsidP="008348EC">
      <w:pPr>
        <w:pStyle w:val="WSParaNum"/>
        <w:spacing w:before="0" w:after="0"/>
        <w:rPr>
          <w:rStyle w:val="normaltextrun"/>
        </w:rPr>
      </w:pPr>
      <w:r>
        <w:rPr>
          <w:rStyle w:val="normaltextrun"/>
          <w:color w:val="000000"/>
          <w:shd w:val="clear" w:color="auto" w:fill="FFFFFF"/>
        </w:rPr>
        <w:lastRenderedPageBreak/>
        <w:t xml:space="preserve">Mr. Snell </w:t>
      </w:r>
      <w:r w:rsidR="003C7A33" w:rsidRPr="003C7A33">
        <w:rPr>
          <w:rStyle w:val="normaltextrun"/>
          <w:color w:val="000000"/>
          <w:shd w:val="clear" w:color="auto" w:fill="FFFFFF"/>
        </w:rPr>
        <w:t xml:space="preserve">is a management biologist at the MNRF and was qualified as a Blanding’s turtle expert. </w:t>
      </w:r>
      <w:r w:rsidR="007E351D">
        <w:rPr>
          <w:rStyle w:val="normaltextrun"/>
          <w:color w:val="000000"/>
          <w:shd w:val="clear" w:color="auto" w:fill="FFFFFF"/>
        </w:rPr>
        <w:t xml:space="preserve">The Appellants </w:t>
      </w:r>
      <w:r w:rsidR="6571F287" w:rsidRPr="4952C967">
        <w:rPr>
          <w:rStyle w:val="normaltextrun"/>
          <w:color w:val="000000" w:themeColor="text1"/>
        </w:rPr>
        <w:t>miss</w:t>
      </w:r>
      <w:r w:rsidR="007E351D" w:rsidRPr="4952C967">
        <w:rPr>
          <w:rStyle w:val="normaltextrun"/>
          <w:color w:val="000000" w:themeColor="text1"/>
        </w:rPr>
        <w:t>t</w:t>
      </w:r>
      <w:r w:rsidR="6571F287" w:rsidRPr="7A072BDC">
        <w:rPr>
          <w:rStyle w:val="normaltextrun"/>
          <w:color w:val="000000" w:themeColor="text1"/>
        </w:rPr>
        <w:t xml:space="preserve">ated </w:t>
      </w:r>
      <w:r w:rsidR="007E351D" w:rsidRPr="7A072BDC">
        <w:rPr>
          <w:rStyle w:val="normaltextrun"/>
          <w:color w:val="000000" w:themeColor="text1"/>
        </w:rPr>
        <w:t>t</w:t>
      </w:r>
      <w:r w:rsidR="007E351D" w:rsidRPr="4952C967">
        <w:rPr>
          <w:rStyle w:val="normaltextrun"/>
          <w:color w:val="000000" w:themeColor="text1"/>
        </w:rPr>
        <w:t xml:space="preserve">hat </w:t>
      </w:r>
      <w:r w:rsidR="00A61D54" w:rsidRPr="4952C967">
        <w:rPr>
          <w:rStyle w:val="normaltextrun"/>
          <w:color w:val="000000" w:themeColor="text1"/>
        </w:rPr>
        <w:t xml:space="preserve">Mr. Snell’s </w:t>
      </w:r>
      <w:r w:rsidR="00A41EE4" w:rsidRPr="4952C967">
        <w:rPr>
          <w:rStyle w:val="normaltextrun"/>
          <w:color w:val="000000" w:themeColor="text1"/>
        </w:rPr>
        <w:t xml:space="preserve">testimony includes that </w:t>
      </w:r>
      <w:r w:rsidR="00A87DC0" w:rsidRPr="4952C967">
        <w:rPr>
          <w:rStyle w:val="normaltextrun"/>
          <w:color w:val="000000" w:themeColor="text1"/>
        </w:rPr>
        <w:t>“</w:t>
      </w:r>
      <w:r w:rsidR="00356AF4" w:rsidRPr="4952C967">
        <w:rPr>
          <w:rStyle w:val="normaltextrun"/>
          <w:color w:val="000000" w:themeColor="text1"/>
        </w:rPr>
        <w:t>eggshell fragments of an indeterminate species</w:t>
      </w:r>
      <w:r w:rsidR="00F67C2C" w:rsidRPr="4952C967">
        <w:rPr>
          <w:rStyle w:val="normaltextrun"/>
          <w:color w:val="000000" w:themeColor="text1"/>
        </w:rPr>
        <w:t>” were found near the Site</w:t>
      </w:r>
      <w:r w:rsidR="00F67C2C" w:rsidRPr="2F03B174">
        <w:rPr>
          <w:rStyle w:val="normaltextrun"/>
          <w:color w:val="000000" w:themeColor="text1"/>
        </w:rPr>
        <w:t>.</w:t>
      </w:r>
      <w:r w:rsidR="00A41EE4" w:rsidRPr="2F03B174">
        <w:rPr>
          <w:rStyle w:val="normaltextrun"/>
          <w:color w:val="000000" w:themeColor="text1"/>
        </w:rPr>
        <w:t xml:space="preserve"> </w:t>
      </w:r>
      <w:r w:rsidR="00337460" w:rsidRPr="68BFBC77">
        <w:rPr>
          <w:rStyle w:val="normaltextrun"/>
          <w:color w:val="000000" w:themeColor="text1"/>
        </w:rPr>
        <w:t>The</w:t>
      </w:r>
      <w:r w:rsidR="00337460" w:rsidRPr="39B9F4DB">
        <w:rPr>
          <w:rStyle w:val="normaltextrun"/>
          <w:color w:val="000000" w:themeColor="text1"/>
        </w:rPr>
        <w:t xml:space="preserve"> </w:t>
      </w:r>
      <w:r w:rsidR="0029347D" w:rsidRPr="39B9F4DB">
        <w:rPr>
          <w:rStyle w:val="normaltextrun"/>
          <w:color w:val="000000" w:themeColor="text1"/>
        </w:rPr>
        <w:t>SEMCC cannot give any credence to the Appellants’ arguments that rely on this underlying fact</w:t>
      </w:r>
      <w:r w:rsidR="00B41BFD">
        <w:rPr>
          <w:rStyle w:val="normaltextrun"/>
          <w:color w:val="000000" w:themeColor="text1"/>
        </w:rPr>
        <w:t>,</w:t>
      </w:r>
      <w:r w:rsidR="009C17B0" w:rsidRPr="39B9F4DB">
        <w:rPr>
          <w:rStyle w:val="normaltextrun"/>
          <w:color w:val="000000" w:themeColor="text1"/>
        </w:rPr>
        <w:t xml:space="preserve"> since it does not exist.</w:t>
      </w:r>
    </w:p>
    <w:p w14:paraId="49449E1A" w14:textId="11AD3495" w:rsidR="00BD69D6" w:rsidRDefault="00BD69D6" w:rsidP="00BD69D6">
      <w:pPr>
        <w:pStyle w:val="WSParaNum"/>
        <w:numPr>
          <w:ilvl w:val="0"/>
          <w:numId w:val="0"/>
        </w:numPr>
        <w:spacing w:before="0" w:after="0"/>
        <w:ind w:firstLine="720"/>
      </w:pPr>
      <w:r>
        <w:rPr>
          <w:sz w:val="20"/>
          <w:szCs w:val="20"/>
        </w:rPr>
        <w:t xml:space="preserve">Appellant factum at paras </w:t>
      </w:r>
      <w:r w:rsidR="00F04A65">
        <w:rPr>
          <w:sz w:val="20"/>
          <w:szCs w:val="20"/>
        </w:rPr>
        <w:t>82, 95</w:t>
      </w:r>
      <w:r>
        <w:rPr>
          <w:sz w:val="20"/>
          <w:szCs w:val="20"/>
        </w:rPr>
        <w:t>.</w:t>
      </w:r>
    </w:p>
    <w:p w14:paraId="6DF1A3E5" w14:textId="6D120090" w:rsidR="29F57413" w:rsidRDefault="29F57413" w:rsidP="29F57413">
      <w:pPr>
        <w:pStyle w:val="WSParaNum"/>
        <w:numPr>
          <w:ilvl w:val="0"/>
          <w:numId w:val="0"/>
        </w:numPr>
        <w:spacing w:before="0" w:after="0"/>
        <w:rPr>
          <w:rStyle w:val="normaltextrun"/>
        </w:rPr>
      </w:pPr>
    </w:p>
    <w:p w14:paraId="2C336EC4" w14:textId="29FAE5CC" w:rsidR="00B942FF" w:rsidRPr="006E1F33" w:rsidRDefault="00FF4436" w:rsidP="008348EC">
      <w:pPr>
        <w:pStyle w:val="WSParaNum"/>
        <w:spacing w:before="0" w:after="0"/>
        <w:rPr>
          <w:rStyle w:val="normaltextrun"/>
        </w:rPr>
      </w:pPr>
      <w:r>
        <w:rPr>
          <w:rStyle w:val="normaltextrun"/>
          <w:color w:val="000000"/>
          <w:shd w:val="clear" w:color="auto" w:fill="FFFFFF"/>
        </w:rPr>
        <w:t>Furthermore, Mr. Snell’s</w:t>
      </w:r>
      <w:r w:rsidR="003C7A33" w:rsidRPr="008348EC">
        <w:rPr>
          <w:rStyle w:val="normaltextrun"/>
          <w:color w:val="000000"/>
          <w:shd w:val="clear" w:color="auto" w:fill="FFFFFF"/>
        </w:rPr>
        <w:t xml:space="preserve"> testimony, alongside that of Mr. Caddell and Mr. Kirby, indicated that the </w:t>
      </w:r>
      <w:r w:rsidR="003C7A33" w:rsidRPr="00DB427D">
        <w:rPr>
          <w:rStyle w:val="normaltextrun"/>
          <w:b/>
          <w:bCs/>
          <w:color w:val="000000"/>
          <w:shd w:val="clear" w:color="auto" w:fill="FFFFFF"/>
        </w:rPr>
        <w:t>entirety</w:t>
      </w:r>
      <w:r w:rsidR="003C7A33" w:rsidRPr="008348EC">
        <w:rPr>
          <w:rStyle w:val="normaltextrun"/>
          <w:color w:val="000000"/>
          <w:shd w:val="clear" w:color="auto" w:fill="FFFFFF"/>
        </w:rPr>
        <w:t xml:space="preserve"> of the Site was Category 2 habitat, not “most of it</w:t>
      </w:r>
      <w:r w:rsidR="004947B8">
        <w:rPr>
          <w:rStyle w:val="normaltextrun"/>
          <w:color w:val="000000"/>
          <w:shd w:val="clear" w:color="auto" w:fill="FFFFFF"/>
        </w:rPr>
        <w:t>,</w:t>
      </w:r>
      <w:r w:rsidR="003C7A33" w:rsidRPr="008348EC">
        <w:rPr>
          <w:rStyle w:val="normaltextrun"/>
          <w:color w:val="000000"/>
          <w:shd w:val="clear" w:color="auto" w:fill="FFFFFF"/>
        </w:rPr>
        <w:t xml:space="preserve">” as </w:t>
      </w:r>
      <w:r w:rsidR="004B41B4" w:rsidRPr="008348EC">
        <w:rPr>
          <w:rStyle w:val="normaltextrun"/>
          <w:color w:val="000000"/>
          <w:shd w:val="clear" w:color="auto" w:fill="FFFFFF"/>
        </w:rPr>
        <w:t>incorrectly asserted</w:t>
      </w:r>
      <w:r w:rsidR="003C7A33" w:rsidRPr="008348EC">
        <w:rPr>
          <w:rStyle w:val="normaltextrun"/>
          <w:color w:val="000000"/>
          <w:shd w:val="clear" w:color="auto" w:fill="FFFFFF"/>
        </w:rPr>
        <w:t xml:space="preserve"> by the Appellants</w:t>
      </w:r>
      <w:r w:rsidR="006A405E" w:rsidRPr="008348EC">
        <w:rPr>
          <w:rStyle w:val="normaltextrun"/>
          <w:color w:val="000000"/>
          <w:shd w:val="clear" w:color="auto" w:fill="FFFFFF"/>
        </w:rPr>
        <w:t>.</w:t>
      </w:r>
    </w:p>
    <w:p w14:paraId="64B43A8F" w14:textId="0FFB6AC9" w:rsidR="006E1F33" w:rsidRPr="00D678D8" w:rsidRDefault="008C4818" w:rsidP="006E1F33">
      <w:pPr>
        <w:pStyle w:val="WSParaNum"/>
        <w:numPr>
          <w:ilvl w:val="0"/>
          <w:numId w:val="0"/>
        </w:numPr>
        <w:spacing w:before="0" w:after="0" w:line="240" w:lineRule="auto"/>
        <w:ind w:left="720" w:right="720"/>
        <w:rPr>
          <w:sz w:val="20"/>
          <w:szCs w:val="20"/>
        </w:rPr>
      </w:pPr>
      <w:r>
        <w:rPr>
          <w:sz w:val="20"/>
          <w:szCs w:val="20"/>
        </w:rPr>
        <w:t>Appellant factum at para 1</w:t>
      </w:r>
      <w:r w:rsidR="00AE4E0D">
        <w:rPr>
          <w:sz w:val="20"/>
          <w:szCs w:val="20"/>
        </w:rPr>
        <w:t>3</w:t>
      </w:r>
      <w:r w:rsidR="006E1F33" w:rsidRPr="00D678D8">
        <w:rPr>
          <w:sz w:val="20"/>
          <w:szCs w:val="20"/>
        </w:rPr>
        <w:t>.</w:t>
      </w:r>
    </w:p>
    <w:p w14:paraId="71376DDE" w14:textId="77777777" w:rsidR="006E1F33" w:rsidRPr="00D678D8" w:rsidRDefault="006E1F33" w:rsidP="006E1F33">
      <w:pPr>
        <w:pStyle w:val="WSParaNum"/>
        <w:numPr>
          <w:ilvl w:val="0"/>
          <w:numId w:val="0"/>
        </w:numPr>
        <w:spacing w:before="0" w:after="0" w:line="240" w:lineRule="auto"/>
        <w:ind w:left="720" w:right="720"/>
        <w:rPr>
          <w:sz w:val="20"/>
          <w:szCs w:val="20"/>
        </w:rPr>
      </w:pPr>
    </w:p>
    <w:p w14:paraId="767EC964" w14:textId="16D68DDE" w:rsidR="006E1F33" w:rsidRDefault="006E1F33" w:rsidP="006E1F33">
      <w:pPr>
        <w:pStyle w:val="WSParaNum"/>
        <w:numPr>
          <w:ilvl w:val="0"/>
          <w:numId w:val="0"/>
        </w:numPr>
        <w:spacing w:before="0" w:after="0"/>
        <w:ind w:firstLine="720"/>
        <w:rPr>
          <w:sz w:val="20"/>
          <w:szCs w:val="20"/>
        </w:rPr>
      </w:pPr>
      <w:r>
        <w:rPr>
          <w:sz w:val="20"/>
          <w:szCs w:val="20"/>
        </w:rPr>
        <w:t xml:space="preserve">OCJ decision at </w:t>
      </w:r>
      <w:r w:rsidR="00344E5B">
        <w:rPr>
          <w:sz w:val="20"/>
          <w:szCs w:val="20"/>
        </w:rPr>
        <w:t>5</w:t>
      </w:r>
      <w:r w:rsidR="008C4818">
        <w:rPr>
          <w:sz w:val="20"/>
          <w:szCs w:val="20"/>
        </w:rPr>
        <w:t>, 13</w:t>
      </w:r>
      <w:r w:rsidRPr="00D678D8">
        <w:rPr>
          <w:sz w:val="20"/>
          <w:szCs w:val="20"/>
        </w:rPr>
        <w:t>.</w:t>
      </w:r>
    </w:p>
    <w:p w14:paraId="1F98BAA7" w14:textId="77777777" w:rsidR="006E1F33" w:rsidRPr="006A405E" w:rsidRDefault="006E1F33" w:rsidP="006E1F33">
      <w:pPr>
        <w:pStyle w:val="WSParaNum"/>
        <w:numPr>
          <w:ilvl w:val="0"/>
          <w:numId w:val="0"/>
        </w:numPr>
        <w:spacing w:before="0" w:after="0"/>
        <w:rPr>
          <w:rStyle w:val="normaltextrun"/>
        </w:rPr>
      </w:pPr>
    </w:p>
    <w:p w14:paraId="3B4386F5" w14:textId="70EE9670" w:rsidR="006A405E" w:rsidRPr="00043836" w:rsidRDefault="006A405E" w:rsidP="00096FDD">
      <w:pPr>
        <w:pStyle w:val="WSParaNum"/>
        <w:spacing w:before="0" w:after="0"/>
        <w:rPr>
          <w:rStyle w:val="normaltextrun"/>
        </w:rPr>
      </w:pPr>
      <w:r w:rsidRPr="53DFF7B2">
        <w:rPr>
          <w:rStyle w:val="normaltextrun"/>
          <w:color w:val="000000" w:themeColor="text1"/>
        </w:rPr>
        <w:t xml:space="preserve">The </w:t>
      </w:r>
      <w:r w:rsidR="006E1F33" w:rsidRPr="53DFF7B2">
        <w:rPr>
          <w:rStyle w:val="normaltextrun"/>
          <w:color w:val="000000" w:themeColor="text1"/>
        </w:rPr>
        <w:t>Appellants</w:t>
      </w:r>
      <w:r w:rsidR="00956A6D">
        <w:rPr>
          <w:rStyle w:val="normaltextrun"/>
          <w:color w:val="000000" w:themeColor="text1"/>
        </w:rPr>
        <w:t>’</w:t>
      </w:r>
      <w:r w:rsidR="006E1F33" w:rsidRPr="53DFF7B2">
        <w:rPr>
          <w:rStyle w:val="normaltextrun"/>
          <w:color w:val="000000" w:themeColor="text1"/>
        </w:rPr>
        <w:t xml:space="preserve"> </w:t>
      </w:r>
      <w:r w:rsidR="009A0953">
        <w:rPr>
          <w:rStyle w:val="normaltextrun"/>
          <w:color w:val="000000" w:themeColor="text1"/>
        </w:rPr>
        <w:t xml:space="preserve">scientific </w:t>
      </w:r>
      <w:r w:rsidR="00C2315A">
        <w:rPr>
          <w:rStyle w:val="normaltextrun"/>
          <w:color w:val="000000" w:themeColor="text1"/>
        </w:rPr>
        <w:t>characterization</w:t>
      </w:r>
      <w:r w:rsidR="1A4B0131" w:rsidRPr="7E13DCEA">
        <w:rPr>
          <w:rStyle w:val="normaltextrun"/>
          <w:color w:val="000000" w:themeColor="text1"/>
        </w:rPr>
        <w:t xml:space="preserve"> of </w:t>
      </w:r>
      <w:r w:rsidR="1A4B0131" w:rsidRPr="60D3C0BF">
        <w:rPr>
          <w:rStyle w:val="normaltextrun"/>
          <w:color w:val="000000" w:themeColor="text1"/>
        </w:rPr>
        <w:t xml:space="preserve">Blanding’s </w:t>
      </w:r>
      <w:r w:rsidR="1A4B0131" w:rsidRPr="7CC32106">
        <w:rPr>
          <w:rStyle w:val="normaltextrun"/>
          <w:color w:val="000000" w:themeColor="text1"/>
        </w:rPr>
        <w:t>turtles</w:t>
      </w:r>
      <w:r w:rsidR="1A4B0131" w:rsidRPr="54D560BB">
        <w:rPr>
          <w:rStyle w:val="normaltextrun"/>
          <w:color w:val="000000" w:themeColor="text1"/>
        </w:rPr>
        <w:t xml:space="preserve"> is not </w:t>
      </w:r>
      <w:r w:rsidR="1A4B0131" w:rsidRPr="7CC32106">
        <w:rPr>
          <w:rStyle w:val="normaltextrun"/>
          <w:color w:val="000000" w:themeColor="text1"/>
        </w:rPr>
        <w:t>reflected in the record</w:t>
      </w:r>
      <w:r w:rsidR="00270EEF" w:rsidRPr="53DFF7B2">
        <w:rPr>
          <w:rStyle w:val="normaltextrun"/>
          <w:color w:val="000000" w:themeColor="text1"/>
        </w:rPr>
        <w:t>. This includes</w:t>
      </w:r>
      <w:r w:rsidR="00096FDD">
        <w:rPr>
          <w:rStyle w:val="normaltextrun"/>
        </w:rPr>
        <w:t xml:space="preserve"> </w:t>
      </w:r>
      <w:r w:rsidR="006E1F33" w:rsidRPr="00096FDD">
        <w:rPr>
          <w:rStyle w:val="normaltextrun"/>
          <w:color w:val="000000" w:themeColor="text1"/>
        </w:rPr>
        <w:t>information about Blanding’s turtles’ lifespan, reproduction age, offspring, and adult population loss and recovery. The Trial Justice did not accept any evidence at trial that reflects this information. Neither the GHD nor Mr. Snell’s testimony, as recorded in the trial and OCJ decisions, contain any of this information.</w:t>
      </w:r>
    </w:p>
    <w:p w14:paraId="4C3CAF25" w14:textId="602FE929" w:rsidR="007A4CF3" w:rsidRDefault="007A4CF3" w:rsidP="007A4CF3">
      <w:pPr>
        <w:pStyle w:val="WSParaNum"/>
        <w:numPr>
          <w:ilvl w:val="0"/>
          <w:numId w:val="0"/>
        </w:numPr>
        <w:spacing w:before="0" w:after="0"/>
        <w:ind w:firstLine="720"/>
      </w:pPr>
      <w:r>
        <w:rPr>
          <w:sz w:val="20"/>
          <w:szCs w:val="20"/>
        </w:rPr>
        <w:t>Appellant factum at para</w:t>
      </w:r>
      <w:r w:rsidR="009E2EC0">
        <w:rPr>
          <w:sz w:val="20"/>
          <w:szCs w:val="20"/>
        </w:rPr>
        <w:t>s</w:t>
      </w:r>
      <w:r>
        <w:rPr>
          <w:sz w:val="20"/>
          <w:szCs w:val="20"/>
        </w:rPr>
        <w:t xml:space="preserve"> 7</w:t>
      </w:r>
      <w:r w:rsidR="001664EC">
        <w:rPr>
          <w:sz w:val="20"/>
          <w:szCs w:val="20"/>
        </w:rPr>
        <w:t>, 70, 79</w:t>
      </w:r>
      <w:r>
        <w:rPr>
          <w:sz w:val="20"/>
          <w:szCs w:val="20"/>
        </w:rPr>
        <w:t>.</w:t>
      </w:r>
    </w:p>
    <w:p w14:paraId="1F6CDDAE" w14:textId="77777777" w:rsidR="00043836" w:rsidRPr="008C4818" w:rsidRDefault="00043836" w:rsidP="007A4CF3">
      <w:pPr>
        <w:pStyle w:val="WSParaNum"/>
        <w:numPr>
          <w:ilvl w:val="0"/>
          <w:numId w:val="0"/>
        </w:numPr>
        <w:spacing w:before="0" w:after="0"/>
        <w:rPr>
          <w:rStyle w:val="normaltextrun"/>
        </w:rPr>
      </w:pPr>
    </w:p>
    <w:p w14:paraId="4F0E5188" w14:textId="797BD2B2" w:rsidR="008C4818" w:rsidRPr="00AA2593" w:rsidRDefault="003D7F12" w:rsidP="00BA41E9">
      <w:pPr>
        <w:pStyle w:val="WSParaNum"/>
        <w:spacing w:before="0" w:after="0"/>
        <w:rPr>
          <w:rStyle w:val="normaltextrun"/>
        </w:rPr>
      </w:pPr>
      <w:r>
        <w:rPr>
          <w:rStyle w:val="normaltextrun"/>
        </w:rPr>
        <w:t xml:space="preserve">The Trial Justice did not accept any evidence that Blanding’s turtles definitively </w:t>
      </w:r>
      <w:r w:rsidR="00BA41E9">
        <w:rPr>
          <w:rStyle w:val="normaltextrun"/>
        </w:rPr>
        <w:t>“</w:t>
      </w:r>
      <w:r w:rsidR="00812EAB" w:rsidRPr="6D304509">
        <w:rPr>
          <w:rStyle w:val="normaltextrun"/>
          <w:color w:val="000000" w:themeColor="text1"/>
        </w:rPr>
        <w:t>live in wetlands and nearby areas around North Bay, including Circle Lake</w:t>
      </w:r>
      <w:r w:rsidR="00A8254F" w:rsidRPr="6D304509">
        <w:rPr>
          <w:rStyle w:val="normaltextrun"/>
          <w:color w:val="000000" w:themeColor="text1"/>
        </w:rPr>
        <w:t>.</w:t>
      </w:r>
      <w:r w:rsidR="00812EAB" w:rsidRPr="6D304509">
        <w:rPr>
          <w:rStyle w:val="normaltextrun"/>
          <w:color w:val="000000" w:themeColor="text1"/>
        </w:rPr>
        <w:t xml:space="preserve">” </w:t>
      </w:r>
      <w:r w:rsidR="00812EAB" w:rsidRPr="6D9AC6BF">
        <w:rPr>
          <w:rStyle w:val="normaltextrun"/>
          <w:color w:val="000000" w:themeColor="text1"/>
        </w:rPr>
        <w:t>Rather</w:t>
      </w:r>
      <w:r w:rsidR="00812EAB" w:rsidRPr="6D304509">
        <w:rPr>
          <w:rStyle w:val="normaltextrun"/>
          <w:color w:val="000000" w:themeColor="text1"/>
        </w:rPr>
        <w:t xml:space="preserve">, the </w:t>
      </w:r>
      <w:r w:rsidR="00812EAB" w:rsidRPr="009C1CC8">
        <w:rPr>
          <w:rStyle w:val="normaltextrun"/>
          <w:color w:val="000000" w:themeColor="text1"/>
        </w:rPr>
        <w:t>Trial Justice accepted</w:t>
      </w:r>
      <w:r w:rsidR="00812EAB" w:rsidRPr="6D304509">
        <w:rPr>
          <w:rStyle w:val="normaltextrun"/>
          <w:color w:val="000000" w:themeColor="text1"/>
        </w:rPr>
        <w:t xml:space="preserve"> Ms. Badilla’s 2020 photo of a Blanding’s turtle “using the wetlands in the Circle Lake area.” </w:t>
      </w:r>
      <w:r w:rsidR="007E400E">
        <w:rPr>
          <w:rStyle w:val="normaltextrun"/>
          <w:color w:val="000000" w:themeColor="text1"/>
        </w:rPr>
        <w:t>The Justice</w:t>
      </w:r>
      <w:r w:rsidR="00812EAB" w:rsidRPr="6D304509">
        <w:rPr>
          <w:rStyle w:val="normaltextrun"/>
          <w:color w:val="000000" w:themeColor="text1"/>
        </w:rPr>
        <w:t xml:space="preserve"> also accepted Mr. Snell’s opinion that “Blanding’s turtles are known to utilize wetlands and other appropriate habitat in the North Bay area, including Circle Lake.”</w:t>
      </w:r>
    </w:p>
    <w:p w14:paraId="5897519A" w14:textId="7EDAFE2D" w:rsidR="00AA2593" w:rsidRPr="00D678D8" w:rsidRDefault="00AA2593" w:rsidP="00AA2593">
      <w:pPr>
        <w:pStyle w:val="WSParaNum"/>
        <w:numPr>
          <w:ilvl w:val="0"/>
          <w:numId w:val="0"/>
        </w:numPr>
        <w:spacing w:before="0" w:after="0" w:line="240" w:lineRule="auto"/>
        <w:ind w:left="720" w:right="720"/>
        <w:rPr>
          <w:sz w:val="20"/>
          <w:szCs w:val="20"/>
        </w:rPr>
      </w:pPr>
      <w:r>
        <w:rPr>
          <w:sz w:val="20"/>
          <w:szCs w:val="20"/>
        </w:rPr>
        <w:t>Appellant factum</w:t>
      </w:r>
      <w:r w:rsidRPr="00D678D8">
        <w:rPr>
          <w:sz w:val="20"/>
          <w:szCs w:val="20"/>
        </w:rPr>
        <w:t xml:space="preserve"> </w:t>
      </w:r>
      <w:r>
        <w:rPr>
          <w:sz w:val="20"/>
          <w:szCs w:val="20"/>
        </w:rPr>
        <w:t>at para 8</w:t>
      </w:r>
      <w:r w:rsidRPr="00D678D8">
        <w:rPr>
          <w:sz w:val="20"/>
          <w:szCs w:val="20"/>
        </w:rPr>
        <w:t>.</w:t>
      </w:r>
    </w:p>
    <w:p w14:paraId="40226EA4" w14:textId="77777777" w:rsidR="00AA2593" w:rsidRPr="00D678D8" w:rsidRDefault="00AA2593" w:rsidP="00AA2593">
      <w:pPr>
        <w:pStyle w:val="WSParaNum"/>
        <w:numPr>
          <w:ilvl w:val="0"/>
          <w:numId w:val="0"/>
        </w:numPr>
        <w:spacing w:before="0" w:after="0" w:line="240" w:lineRule="auto"/>
        <w:ind w:left="720" w:right="720"/>
        <w:rPr>
          <w:sz w:val="20"/>
          <w:szCs w:val="20"/>
        </w:rPr>
      </w:pPr>
    </w:p>
    <w:p w14:paraId="03FB606D" w14:textId="5B28E0BC" w:rsidR="00AA2593" w:rsidRDefault="00AA2593" w:rsidP="00AA2593">
      <w:pPr>
        <w:pStyle w:val="WSParaNum"/>
        <w:numPr>
          <w:ilvl w:val="0"/>
          <w:numId w:val="0"/>
        </w:numPr>
        <w:spacing w:before="0" w:after="0" w:line="240" w:lineRule="auto"/>
        <w:ind w:firstLine="720"/>
        <w:rPr>
          <w:sz w:val="20"/>
          <w:szCs w:val="20"/>
        </w:rPr>
      </w:pPr>
      <w:r>
        <w:rPr>
          <w:sz w:val="20"/>
          <w:szCs w:val="20"/>
        </w:rPr>
        <w:t>Trial decision at 9</w:t>
      </w:r>
      <w:r w:rsidRPr="00D678D8">
        <w:rPr>
          <w:sz w:val="20"/>
          <w:szCs w:val="20"/>
        </w:rPr>
        <w:t>.</w:t>
      </w:r>
    </w:p>
    <w:p w14:paraId="5DAED6B7" w14:textId="77777777" w:rsidR="00AA2593" w:rsidRDefault="00AA2593" w:rsidP="00AA2593">
      <w:pPr>
        <w:pStyle w:val="WSParaNum"/>
        <w:numPr>
          <w:ilvl w:val="0"/>
          <w:numId w:val="0"/>
        </w:numPr>
        <w:spacing w:before="0" w:after="0" w:line="240" w:lineRule="auto"/>
        <w:ind w:firstLine="720"/>
        <w:rPr>
          <w:sz w:val="20"/>
          <w:szCs w:val="20"/>
        </w:rPr>
      </w:pPr>
    </w:p>
    <w:p w14:paraId="17700F43" w14:textId="4970BBE8" w:rsidR="00AA2593" w:rsidRDefault="00AA2593" w:rsidP="00AA2593">
      <w:pPr>
        <w:pStyle w:val="WSParaNum"/>
        <w:numPr>
          <w:ilvl w:val="0"/>
          <w:numId w:val="0"/>
        </w:numPr>
        <w:spacing w:before="0" w:after="0"/>
        <w:ind w:firstLine="720"/>
        <w:rPr>
          <w:sz w:val="20"/>
          <w:szCs w:val="20"/>
        </w:rPr>
      </w:pPr>
      <w:r>
        <w:rPr>
          <w:sz w:val="20"/>
          <w:szCs w:val="20"/>
        </w:rPr>
        <w:t>OCJ decision at 5.</w:t>
      </w:r>
    </w:p>
    <w:p w14:paraId="16BE7375" w14:textId="77777777" w:rsidR="00AA2593" w:rsidRPr="007A4CF3" w:rsidRDefault="00AA2593" w:rsidP="00AA2593">
      <w:pPr>
        <w:pStyle w:val="WSParaNum"/>
        <w:numPr>
          <w:ilvl w:val="0"/>
          <w:numId w:val="0"/>
        </w:numPr>
        <w:spacing w:before="0" w:after="0"/>
        <w:rPr>
          <w:rStyle w:val="normaltextrun"/>
        </w:rPr>
      </w:pPr>
    </w:p>
    <w:p w14:paraId="7ADBEC99" w14:textId="567FC907" w:rsidR="007A4CF3" w:rsidRPr="00C879ED" w:rsidRDefault="005F279E" w:rsidP="002A0C71">
      <w:pPr>
        <w:pStyle w:val="WSParaNum"/>
        <w:spacing w:before="0" w:after="0"/>
        <w:rPr>
          <w:rStyle w:val="normaltextrun"/>
        </w:rPr>
      </w:pPr>
      <w:r>
        <w:rPr>
          <w:rStyle w:val="normaltextrun"/>
          <w:color w:val="000000"/>
          <w:shd w:val="clear" w:color="auto" w:fill="FFFFFF"/>
        </w:rPr>
        <w:t xml:space="preserve">In cross-examination, Mr. Snell </w:t>
      </w:r>
      <w:r w:rsidR="00D529A4">
        <w:rPr>
          <w:rStyle w:val="normaltextrun"/>
          <w:color w:val="000000"/>
          <w:shd w:val="clear" w:color="auto" w:fill="FFFFFF"/>
        </w:rPr>
        <w:t xml:space="preserve">could </w:t>
      </w:r>
      <w:r w:rsidR="00AF625E">
        <w:rPr>
          <w:rStyle w:val="normaltextrun"/>
          <w:color w:val="000000"/>
          <w:shd w:val="clear" w:color="auto" w:fill="FFFFFF"/>
        </w:rPr>
        <w:t>neither</w:t>
      </w:r>
      <w:r w:rsidR="00D529A4">
        <w:rPr>
          <w:rStyle w:val="normaltextrun"/>
          <w:color w:val="000000"/>
          <w:shd w:val="clear" w:color="auto" w:fill="FFFFFF"/>
        </w:rPr>
        <w:t xml:space="preserve"> confirm </w:t>
      </w:r>
      <w:r w:rsidR="00AF625E">
        <w:rPr>
          <w:rStyle w:val="normaltextrun"/>
          <w:color w:val="000000"/>
          <w:shd w:val="clear" w:color="auto" w:fill="FFFFFF"/>
        </w:rPr>
        <w:t>n</w:t>
      </w:r>
      <w:r w:rsidR="00D529A4">
        <w:rPr>
          <w:rStyle w:val="normaltextrun"/>
          <w:color w:val="000000"/>
          <w:shd w:val="clear" w:color="auto" w:fill="FFFFFF"/>
        </w:rPr>
        <w:t xml:space="preserve">or prove that the Site was </w:t>
      </w:r>
      <w:r w:rsidR="00EA556A">
        <w:rPr>
          <w:rStyle w:val="normaltextrun"/>
          <w:color w:val="000000"/>
          <w:shd w:val="clear" w:color="auto" w:fill="FFFFFF"/>
        </w:rPr>
        <w:t>“</w:t>
      </w:r>
      <w:r w:rsidR="00D529A4" w:rsidRPr="00C243BD">
        <w:rPr>
          <w:rStyle w:val="normaltextrun"/>
          <w:color w:val="000000"/>
          <w:shd w:val="clear" w:color="auto" w:fill="FFFFFF"/>
        </w:rPr>
        <w:t>utilized for travel purposes, nesting, or thermogenic activities by Blanding’s turtles.”</w:t>
      </w:r>
      <w:r w:rsidR="00D529A4">
        <w:rPr>
          <w:rStyle w:val="normaltextrun"/>
          <w:color w:val="000000"/>
          <w:shd w:val="clear" w:color="auto" w:fill="FFFFFF"/>
        </w:rPr>
        <w:t xml:space="preserve"> </w:t>
      </w:r>
      <w:r w:rsidR="00CA1F03">
        <w:rPr>
          <w:rStyle w:val="normaltextrun"/>
          <w:color w:val="000000"/>
          <w:shd w:val="clear" w:color="auto" w:fill="FFFFFF"/>
        </w:rPr>
        <w:t xml:space="preserve">He stated only that CHL’s property had the potential to be Blanding’s turtle habitat. </w:t>
      </w:r>
      <w:r w:rsidR="004D0DF7" w:rsidRPr="002A0C71">
        <w:rPr>
          <w:rStyle w:val="normaltextrun"/>
          <w:color w:val="000000"/>
          <w:shd w:val="clear" w:color="auto" w:fill="FFFFFF"/>
        </w:rPr>
        <w:t xml:space="preserve">The </w:t>
      </w:r>
      <w:r w:rsidR="002237D9" w:rsidRPr="002A0C71">
        <w:rPr>
          <w:rStyle w:val="normaltextrun"/>
          <w:color w:val="000000"/>
          <w:shd w:val="clear" w:color="auto" w:fill="FFFFFF"/>
        </w:rPr>
        <w:t>Appellants</w:t>
      </w:r>
      <w:r w:rsidR="00A17C3B" w:rsidRPr="002A0C71">
        <w:rPr>
          <w:rStyle w:val="normaltextrun"/>
          <w:color w:val="000000"/>
          <w:shd w:val="clear" w:color="auto" w:fill="FFFFFF"/>
        </w:rPr>
        <w:t xml:space="preserve"> </w:t>
      </w:r>
      <w:r w:rsidR="000F0C26">
        <w:rPr>
          <w:rStyle w:val="normaltextrun"/>
          <w:color w:val="000000"/>
          <w:shd w:val="clear" w:color="auto" w:fill="FFFFFF"/>
        </w:rPr>
        <w:lastRenderedPageBreak/>
        <w:t xml:space="preserve">incorrectly stated that </w:t>
      </w:r>
      <w:r w:rsidR="00C243BD" w:rsidRPr="002A0C71">
        <w:rPr>
          <w:rStyle w:val="normaltextrun"/>
          <w:color w:val="000000"/>
          <w:shd w:val="clear" w:color="auto" w:fill="FFFFFF"/>
        </w:rPr>
        <w:t>Mr. Snell present</w:t>
      </w:r>
      <w:r w:rsidR="000F0C26">
        <w:rPr>
          <w:rStyle w:val="normaltextrun"/>
          <w:color w:val="000000"/>
          <w:shd w:val="clear" w:color="auto" w:fill="FFFFFF"/>
        </w:rPr>
        <w:t>ed</w:t>
      </w:r>
      <w:r w:rsidR="00C243BD" w:rsidRPr="002A0C71">
        <w:rPr>
          <w:rStyle w:val="normaltextrun"/>
          <w:color w:val="000000"/>
          <w:shd w:val="clear" w:color="auto" w:fill="FFFFFF"/>
        </w:rPr>
        <w:t xml:space="preserve"> evidence that the Site was “in an area used by Blanding’s [t]urtle[s].” </w:t>
      </w:r>
    </w:p>
    <w:p w14:paraId="14F340D6" w14:textId="05CF5ACC" w:rsidR="00C879ED" w:rsidRPr="00D678D8" w:rsidRDefault="00C879ED" w:rsidP="00C879ED">
      <w:pPr>
        <w:pStyle w:val="WSParaNum"/>
        <w:numPr>
          <w:ilvl w:val="0"/>
          <w:numId w:val="0"/>
        </w:numPr>
        <w:spacing w:before="0" w:after="0" w:line="240" w:lineRule="auto"/>
        <w:ind w:left="720" w:right="720"/>
        <w:rPr>
          <w:sz w:val="20"/>
          <w:szCs w:val="20"/>
        </w:rPr>
      </w:pPr>
      <w:r>
        <w:rPr>
          <w:sz w:val="20"/>
          <w:szCs w:val="20"/>
        </w:rPr>
        <w:t>Appellant factum at para 14</w:t>
      </w:r>
      <w:r w:rsidRPr="00D678D8">
        <w:rPr>
          <w:sz w:val="20"/>
          <w:szCs w:val="20"/>
        </w:rPr>
        <w:t>.</w:t>
      </w:r>
    </w:p>
    <w:p w14:paraId="530B1CE5" w14:textId="77777777" w:rsidR="00C879ED" w:rsidRPr="00D678D8" w:rsidRDefault="00C879ED" w:rsidP="00C879ED">
      <w:pPr>
        <w:pStyle w:val="WSParaNum"/>
        <w:numPr>
          <w:ilvl w:val="0"/>
          <w:numId w:val="0"/>
        </w:numPr>
        <w:spacing w:before="0" w:after="0" w:line="240" w:lineRule="auto"/>
        <w:ind w:left="720" w:right="720"/>
        <w:rPr>
          <w:sz w:val="20"/>
          <w:szCs w:val="20"/>
        </w:rPr>
      </w:pPr>
    </w:p>
    <w:p w14:paraId="6C605E25" w14:textId="354099F8" w:rsidR="00C879ED" w:rsidRDefault="00C879ED" w:rsidP="00C879ED">
      <w:pPr>
        <w:pStyle w:val="WSParaNum"/>
        <w:numPr>
          <w:ilvl w:val="0"/>
          <w:numId w:val="0"/>
        </w:numPr>
        <w:spacing w:before="0" w:after="0"/>
        <w:ind w:firstLine="720"/>
        <w:rPr>
          <w:sz w:val="20"/>
          <w:szCs w:val="20"/>
        </w:rPr>
      </w:pPr>
      <w:r>
        <w:rPr>
          <w:sz w:val="20"/>
          <w:szCs w:val="20"/>
        </w:rPr>
        <w:t>OCJ decision at 14</w:t>
      </w:r>
      <w:r w:rsidRPr="00D678D8">
        <w:rPr>
          <w:sz w:val="20"/>
          <w:szCs w:val="20"/>
        </w:rPr>
        <w:t>.</w:t>
      </w:r>
    </w:p>
    <w:p w14:paraId="758E5856" w14:textId="77777777" w:rsidR="00C879ED" w:rsidRPr="00C879ED" w:rsidRDefault="00C879ED" w:rsidP="00C879ED">
      <w:pPr>
        <w:pStyle w:val="WSParaNum"/>
        <w:numPr>
          <w:ilvl w:val="0"/>
          <w:numId w:val="0"/>
        </w:numPr>
        <w:spacing w:before="0" w:after="0"/>
        <w:rPr>
          <w:rStyle w:val="normaltextrun"/>
        </w:rPr>
      </w:pPr>
    </w:p>
    <w:p w14:paraId="1AAABD9C" w14:textId="0D9B3BD7" w:rsidR="00C879ED" w:rsidRPr="001F67DE" w:rsidRDefault="00C879ED" w:rsidP="00840A2B">
      <w:pPr>
        <w:pStyle w:val="WSParaNum"/>
        <w:spacing w:before="0" w:after="0"/>
        <w:rPr>
          <w:rStyle w:val="normaltextrun"/>
        </w:rPr>
      </w:pPr>
      <w:r w:rsidRPr="009C1CC8">
        <w:rPr>
          <w:rStyle w:val="normaltextrun"/>
          <w:color w:val="000000"/>
          <w:shd w:val="clear" w:color="auto" w:fill="FFFFFF"/>
        </w:rPr>
        <w:t xml:space="preserve">The </w:t>
      </w:r>
      <w:r w:rsidR="004D154C" w:rsidRPr="009C1CC8">
        <w:rPr>
          <w:rStyle w:val="normaltextrun"/>
          <w:color w:val="000000"/>
          <w:shd w:val="clear" w:color="auto" w:fill="FFFFFF"/>
        </w:rPr>
        <w:t xml:space="preserve">Trial </w:t>
      </w:r>
      <w:r w:rsidR="00BC12F4" w:rsidRPr="009C1CC8">
        <w:rPr>
          <w:rStyle w:val="normaltextrun"/>
          <w:color w:val="000000"/>
          <w:shd w:val="clear" w:color="auto" w:fill="FFFFFF"/>
        </w:rPr>
        <w:t xml:space="preserve">Justice </w:t>
      </w:r>
      <w:r w:rsidR="00D47E3E" w:rsidRPr="009C1CC8">
        <w:rPr>
          <w:rStyle w:val="normaltextrun"/>
          <w:color w:val="000000"/>
          <w:shd w:val="clear" w:color="auto" w:fill="FFFFFF"/>
        </w:rPr>
        <w:t>inferred</w:t>
      </w:r>
      <w:r w:rsidR="004D154C" w:rsidRPr="004D154C">
        <w:rPr>
          <w:rStyle w:val="normaltextrun"/>
          <w:color w:val="000000"/>
          <w:shd w:val="clear" w:color="auto" w:fill="FFFFFF"/>
        </w:rPr>
        <w:t xml:space="preserve"> based on the above evidence that the Site was Blanding’s turtle habitat at the time of the alleged offence. Based on this inference, </w:t>
      </w:r>
      <w:r w:rsidR="00CB3543">
        <w:rPr>
          <w:rStyle w:val="normaltextrun"/>
          <w:color w:val="000000"/>
          <w:shd w:val="clear" w:color="auto" w:fill="FFFFFF"/>
        </w:rPr>
        <w:t>the Justice</w:t>
      </w:r>
      <w:r w:rsidR="004D154C" w:rsidRPr="004D154C">
        <w:rPr>
          <w:rStyle w:val="normaltextrun"/>
          <w:color w:val="000000"/>
          <w:shd w:val="clear" w:color="auto" w:fill="FFFFFF"/>
        </w:rPr>
        <w:t xml:space="preserve"> convicted CHL and ordered the company to pay a $1 fine and donate $200,000 to the Nature Conservancy of Canada.</w:t>
      </w:r>
    </w:p>
    <w:p w14:paraId="332E630E" w14:textId="2A07FC88" w:rsidR="001F67DE" w:rsidRDefault="001F67DE" w:rsidP="001F67DE">
      <w:pPr>
        <w:pStyle w:val="WSParaNum"/>
        <w:numPr>
          <w:ilvl w:val="0"/>
          <w:numId w:val="0"/>
        </w:numPr>
        <w:spacing w:before="0" w:after="0"/>
        <w:ind w:firstLine="720"/>
      </w:pPr>
      <w:r>
        <w:rPr>
          <w:sz w:val="20"/>
          <w:szCs w:val="20"/>
        </w:rPr>
        <w:t>Trial decision at 10, 14, 18.</w:t>
      </w:r>
    </w:p>
    <w:p w14:paraId="6C541369" w14:textId="77777777" w:rsidR="001F67DE" w:rsidRPr="00D678D8" w:rsidRDefault="001F67DE" w:rsidP="00225DB1">
      <w:pPr>
        <w:pStyle w:val="WSParaNum"/>
        <w:numPr>
          <w:ilvl w:val="0"/>
          <w:numId w:val="0"/>
        </w:numPr>
        <w:spacing w:before="0" w:after="0"/>
      </w:pPr>
    </w:p>
    <w:p w14:paraId="0643A19A" w14:textId="4A9D659C" w:rsidR="00206973" w:rsidRPr="002E5D01" w:rsidRDefault="00D97F1F" w:rsidP="00225DB1">
      <w:pPr>
        <w:pStyle w:val="Heading3"/>
        <w:spacing w:before="0" w:after="0" w:line="360" w:lineRule="auto"/>
        <w:rPr>
          <w:rFonts w:ascii="Times New Roman" w:hAnsi="Times New Roman"/>
          <w:bCs w:val="0"/>
          <w:sz w:val="24"/>
          <w:szCs w:val="24"/>
        </w:rPr>
      </w:pPr>
      <w:bookmarkStart w:id="9" w:name="_Toc220076101"/>
      <w:r w:rsidRPr="002E5D01">
        <w:rPr>
          <w:rFonts w:ascii="Times New Roman" w:hAnsi="Times New Roman"/>
          <w:bCs w:val="0"/>
          <w:sz w:val="24"/>
          <w:szCs w:val="24"/>
        </w:rPr>
        <w:t>The Appeal to the OCJ</w:t>
      </w:r>
      <w:bookmarkEnd w:id="9"/>
    </w:p>
    <w:p w14:paraId="5272512C" w14:textId="77777777" w:rsidR="00206973" w:rsidRPr="00206973" w:rsidRDefault="00206973" w:rsidP="00225DB1">
      <w:pPr>
        <w:spacing w:line="360" w:lineRule="auto"/>
      </w:pPr>
    </w:p>
    <w:p w14:paraId="6B9B32A9" w14:textId="6AFB706D" w:rsidR="0007098C" w:rsidRDefault="00DD0591" w:rsidP="0007098C">
      <w:pPr>
        <w:pStyle w:val="WSParaNum"/>
        <w:spacing w:before="0" w:after="0"/>
      </w:pPr>
      <w:r>
        <w:t xml:space="preserve">CHL </w:t>
      </w:r>
      <w:r w:rsidR="00374583" w:rsidRPr="00374583">
        <w:t xml:space="preserve">appealed </w:t>
      </w:r>
      <w:r w:rsidR="00374583" w:rsidRPr="009C1CC8">
        <w:t>the Trial Justice’s decision to</w:t>
      </w:r>
      <w:r w:rsidR="00374583" w:rsidRPr="00374583">
        <w:t xml:space="preserve"> the OCJ pursuant to s. 116 of </w:t>
      </w:r>
      <w:r w:rsidR="00374583" w:rsidRPr="00374583">
        <w:rPr>
          <w:i/>
          <w:iCs/>
        </w:rPr>
        <w:t>the Provincial Offences Act</w:t>
      </w:r>
      <w:r w:rsidR="00374583" w:rsidRPr="00374583">
        <w:t>. The OCJ quashed the conviction and entered an acquittal.</w:t>
      </w:r>
    </w:p>
    <w:p w14:paraId="4544A9DC" w14:textId="69BBF5EE" w:rsidR="00844068" w:rsidRDefault="00844068" w:rsidP="00844068">
      <w:pPr>
        <w:pStyle w:val="WSParaNum"/>
        <w:numPr>
          <w:ilvl w:val="0"/>
          <w:numId w:val="0"/>
        </w:numPr>
        <w:spacing w:before="0" w:after="0"/>
        <w:ind w:firstLine="720"/>
      </w:pPr>
      <w:r>
        <w:rPr>
          <w:sz w:val="20"/>
          <w:szCs w:val="20"/>
        </w:rPr>
        <w:t>OCJ decision at 1.</w:t>
      </w:r>
    </w:p>
    <w:p w14:paraId="14C4BB5C" w14:textId="77777777" w:rsidR="00844068" w:rsidRPr="00D678D8" w:rsidRDefault="00844068" w:rsidP="00844068">
      <w:pPr>
        <w:pStyle w:val="WSParaNum"/>
        <w:numPr>
          <w:ilvl w:val="0"/>
          <w:numId w:val="0"/>
        </w:numPr>
        <w:spacing w:before="0" w:after="0"/>
      </w:pPr>
    </w:p>
    <w:p w14:paraId="3BF3738F" w14:textId="45772C53" w:rsidR="0007098C" w:rsidRDefault="00DD0591" w:rsidP="00DD6E8C">
      <w:pPr>
        <w:pStyle w:val="WSParaNum"/>
        <w:spacing w:before="0" w:after="0"/>
      </w:pPr>
      <w:r w:rsidRPr="009C1CC8">
        <w:t xml:space="preserve">The </w:t>
      </w:r>
      <w:r w:rsidR="00844068" w:rsidRPr="009C1CC8">
        <w:t xml:space="preserve">OCJ found that the </w:t>
      </w:r>
      <w:r w:rsidR="009C1CC8" w:rsidRPr="009C1CC8">
        <w:t>T</w:t>
      </w:r>
      <w:r w:rsidR="00844068" w:rsidRPr="009C1CC8">
        <w:t xml:space="preserve">rial Justice erred for several reasons. </w:t>
      </w:r>
      <w:r w:rsidR="00980315" w:rsidRPr="009C1CC8">
        <w:t>First, t</w:t>
      </w:r>
      <w:r w:rsidR="00844068" w:rsidRPr="009C1CC8">
        <w:t xml:space="preserve">here was no evidence presented at trial that Blanding’s turtles were using the Site as habitat </w:t>
      </w:r>
      <w:r w:rsidR="00844068" w:rsidRPr="003E3292">
        <w:rPr>
          <w:b/>
          <w:bCs/>
        </w:rPr>
        <w:t>at the time of the alleged offence</w:t>
      </w:r>
      <w:r w:rsidR="00844068" w:rsidRPr="009C1CC8">
        <w:t xml:space="preserve">. </w:t>
      </w:r>
      <w:r w:rsidR="007452D0" w:rsidRPr="009C1CC8">
        <w:t>Second, t</w:t>
      </w:r>
      <w:r w:rsidR="00844068" w:rsidRPr="009C1CC8">
        <w:t xml:space="preserve">he </w:t>
      </w:r>
      <w:r w:rsidR="009C1CC8" w:rsidRPr="009C1CC8">
        <w:t>T</w:t>
      </w:r>
      <w:r w:rsidR="00844068" w:rsidRPr="009C1CC8">
        <w:t>rial Justice</w:t>
      </w:r>
      <w:r w:rsidR="00844068" w:rsidRPr="00844068">
        <w:t xml:space="preserve"> failed to properly apply the statutory definition of “habitat” by omitting </w:t>
      </w:r>
      <w:r w:rsidR="00844068" w:rsidRPr="00844068">
        <w:rPr>
          <w:i/>
          <w:iCs/>
        </w:rPr>
        <w:t>ESA</w:t>
      </w:r>
      <w:r w:rsidR="00844068" w:rsidRPr="00844068">
        <w:t xml:space="preserve"> s. 2(2)</w:t>
      </w:r>
      <w:r w:rsidR="005F6FB0">
        <w:t xml:space="preserve">, which </w:t>
      </w:r>
      <w:r w:rsidR="00844068" w:rsidRPr="00844068">
        <w:t>clarifies s. 2(1)(b) by excluding areas where a species “formerly occurred” or has “the potential to be reintroduced</w:t>
      </w:r>
      <w:r w:rsidR="005F6FB0">
        <w:t>.</w:t>
      </w:r>
      <w:r w:rsidR="00844068" w:rsidRPr="00844068">
        <w:t xml:space="preserve">” </w:t>
      </w:r>
      <w:r w:rsidR="00B266BF">
        <w:t>Section 2(2) states:</w:t>
      </w:r>
    </w:p>
    <w:p w14:paraId="0BF3EEC2" w14:textId="2AAC2644" w:rsidR="009550CC" w:rsidRDefault="006C3478" w:rsidP="0097283E">
      <w:pPr>
        <w:pStyle w:val="WSParaNum"/>
        <w:numPr>
          <w:ilvl w:val="0"/>
          <w:numId w:val="0"/>
        </w:numPr>
        <w:spacing w:before="0" w:after="0" w:line="240" w:lineRule="auto"/>
        <w:ind w:left="720"/>
      </w:pPr>
      <w:r>
        <w:t xml:space="preserve">For </w:t>
      </w:r>
      <w:r w:rsidR="00F759B7" w:rsidRPr="00F759B7">
        <w:t>greater certainty, clause (b) of the definition of “habitat” in subsection (1) does not include an area where the species formerly occurred or has the potential to be reintroduced unless existing members of the species depend on that area to carry on their life processes.</w:t>
      </w:r>
    </w:p>
    <w:p w14:paraId="15BDF938" w14:textId="77777777" w:rsidR="0097283E" w:rsidRDefault="0097283E" w:rsidP="00A731A5">
      <w:pPr>
        <w:pStyle w:val="WSParaNum"/>
        <w:numPr>
          <w:ilvl w:val="0"/>
          <w:numId w:val="0"/>
        </w:numPr>
        <w:spacing w:before="0" w:after="0" w:line="240" w:lineRule="auto"/>
      </w:pPr>
    </w:p>
    <w:p w14:paraId="23E7BB08" w14:textId="0A1692D3" w:rsidR="00A753A9" w:rsidRPr="00D678D8" w:rsidRDefault="00842268" w:rsidP="00A753A9">
      <w:pPr>
        <w:pStyle w:val="WSParaNum"/>
        <w:numPr>
          <w:ilvl w:val="0"/>
          <w:numId w:val="0"/>
        </w:numPr>
        <w:spacing w:before="0" w:after="0" w:line="240" w:lineRule="auto"/>
        <w:ind w:left="720" w:right="720"/>
        <w:rPr>
          <w:sz w:val="20"/>
          <w:szCs w:val="20"/>
        </w:rPr>
      </w:pPr>
      <w:r>
        <w:rPr>
          <w:sz w:val="20"/>
          <w:szCs w:val="20"/>
        </w:rPr>
        <w:t xml:space="preserve">OCJ </w:t>
      </w:r>
      <w:r w:rsidR="00FD6B6E">
        <w:rPr>
          <w:sz w:val="20"/>
          <w:szCs w:val="20"/>
        </w:rPr>
        <w:t>decision at 7–8</w:t>
      </w:r>
      <w:r w:rsidR="00A753A9" w:rsidRPr="00D678D8">
        <w:rPr>
          <w:sz w:val="20"/>
          <w:szCs w:val="20"/>
        </w:rPr>
        <w:t>.</w:t>
      </w:r>
    </w:p>
    <w:p w14:paraId="0BFEE69E" w14:textId="77777777" w:rsidR="00A753A9" w:rsidRPr="00D678D8" w:rsidRDefault="00A753A9" w:rsidP="00A753A9">
      <w:pPr>
        <w:pStyle w:val="WSParaNum"/>
        <w:numPr>
          <w:ilvl w:val="0"/>
          <w:numId w:val="0"/>
        </w:numPr>
        <w:spacing w:before="0" w:after="0" w:line="240" w:lineRule="auto"/>
        <w:ind w:left="720" w:right="720"/>
        <w:rPr>
          <w:sz w:val="20"/>
          <w:szCs w:val="20"/>
        </w:rPr>
      </w:pPr>
    </w:p>
    <w:p w14:paraId="4CE20487" w14:textId="03B61EBE" w:rsidR="00A753A9" w:rsidRDefault="00422505" w:rsidP="00A753A9">
      <w:pPr>
        <w:pStyle w:val="WSParaNum"/>
        <w:numPr>
          <w:ilvl w:val="0"/>
          <w:numId w:val="0"/>
        </w:numPr>
        <w:spacing w:before="0" w:after="0"/>
        <w:ind w:firstLine="720"/>
        <w:rPr>
          <w:sz w:val="20"/>
          <w:szCs w:val="20"/>
        </w:rPr>
      </w:pPr>
      <w:r w:rsidRPr="00422505">
        <w:rPr>
          <w:i/>
          <w:iCs/>
          <w:sz w:val="20"/>
          <w:szCs w:val="20"/>
        </w:rPr>
        <w:t>ESA</w:t>
      </w:r>
      <w:r>
        <w:rPr>
          <w:sz w:val="20"/>
          <w:szCs w:val="20"/>
        </w:rPr>
        <w:t>, s 2(2)</w:t>
      </w:r>
      <w:r w:rsidR="00A753A9" w:rsidRPr="00D678D8">
        <w:rPr>
          <w:sz w:val="20"/>
          <w:szCs w:val="20"/>
        </w:rPr>
        <w:t>.</w:t>
      </w:r>
    </w:p>
    <w:p w14:paraId="555F7371" w14:textId="77777777" w:rsidR="00A753A9" w:rsidRPr="00D678D8" w:rsidRDefault="00A753A9" w:rsidP="00A753A9">
      <w:pPr>
        <w:pStyle w:val="WSParaNum"/>
        <w:numPr>
          <w:ilvl w:val="0"/>
          <w:numId w:val="0"/>
        </w:numPr>
        <w:spacing w:before="0" w:after="0"/>
      </w:pPr>
    </w:p>
    <w:p w14:paraId="229600D4" w14:textId="2B9F6F80" w:rsidR="00A93948" w:rsidRPr="009F7C87" w:rsidRDefault="007452D0" w:rsidP="009F7C87">
      <w:pPr>
        <w:pStyle w:val="WSParaNum"/>
        <w:spacing w:before="0" w:after="0"/>
      </w:pPr>
      <w:r w:rsidRPr="001C474D">
        <w:t>Third, t</w:t>
      </w:r>
      <w:r w:rsidR="00242795" w:rsidRPr="001C474D">
        <w:t xml:space="preserve">he OCJ held that the </w:t>
      </w:r>
      <w:r w:rsidR="001C474D" w:rsidRPr="001C474D">
        <w:t>T</w:t>
      </w:r>
      <w:r w:rsidR="00242795" w:rsidRPr="001C474D">
        <w:t xml:space="preserve">rial Justice erred by heavily relying on the GHD in the absence of evidence demonstrating that Blanding’s turtles were using the Site at the time of the alleged offence. </w:t>
      </w:r>
    </w:p>
    <w:p w14:paraId="6FAA7771" w14:textId="626A3646" w:rsidR="00A93948" w:rsidRDefault="00A93948" w:rsidP="00A93948">
      <w:pPr>
        <w:pStyle w:val="WSParaNum"/>
        <w:numPr>
          <w:ilvl w:val="0"/>
          <w:numId w:val="0"/>
        </w:numPr>
        <w:spacing w:before="0" w:after="0"/>
        <w:ind w:firstLine="720"/>
        <w:rPr>
          <w:sz w:val="20"/>
          <w:szCs w:val="20"/>
        </w:rPr>
      </w:pPr>
      <w:r>
        <w:rPr>
          <w:sz w:val="20"/>
          <w:szCs w:val="20"/>
        </w:rPr>
        <w:lastRenderedPageBreak/>
        <w:t xml:space="preserve">OCJ decision at </w:t>
      </w:r>
      <w:r w:rsidR="009F7C87">
        <w:rPr>
          <w:sz w:val="20"/>
          <w:szCs w:val="20"/>
        </w:rPr>
        <w:t>8</w:t>
      </w:r>
      <w:r w:rsidRPr="00D678D8">
        <w:rPr>
          <w:sz w:val="20"/>
          <w:szCs w:val="20"/>
        </w:rPr>
        <w:t>.</w:t>
      </w:r>
    </w:p>
    <w:p w14:paraId="1E019EDE" w14:textId="1D5AAC8F" w:rsidR="00A93948" w:rsidRDefault="00A93948" w:rsidP="00A93948">
      <w:pPr>
        <w:pStyle w:val="WSParaNum"/>
        <w:numPr>
          <w:ilvl w:val="0"/>
          <w:numId w:val="0"/>
        </w:numPr>
        <w:spacing w:before="0" w:after="0"/>
      </w:pPr>
    </w:p>
    <w:p w14:paraId="2EB89ED6" w14:textId="54EB212F" w:rsidR="00A93948" w:rsidRPr="001C474D" w:rsidRDefault="005C5171" w:rsidP="009D2F81">
      <w:pPr>
        <w:pStyle w:val="WSParaNum"/>
        <w:spacing w:before="0" w:after="0"/>
      </w:pPr>
      <w:r w:rsidRPr="001C474D">
        <w:t>Fourth</w:t>
      </w:r>
      <w:r w:rsidR="00D13C2D" w:rsidRPr="001C474D">
        <w:t xml:space="preserve">, </w:t>
      </w:r>
      <w:r w:rsidR="00A93948" w:rsidRPr="001C474D">
        <w:t xml:space="preserve">The </w:t>
      </w:r>
      <w:r w:rsidR="001C474D" w:rsidRPr="001C474D">
        <w:t>T</w:t>
      </w:r>
      <w:r w:rsidR="00A45005" w:rsidRPr="001C474D">
        <w:t>rial Justice improperly attached weight to hearsay evidence.</w:t>
      </w:r>
    </w:p>
    <w:p w14:paraId="02E0F011" w14:textId="164951AF" w:rsidR="00E02497" w:rsidRDefault="00E02497" w:rsidP="00E02497">
      <w:pPr>
        <w:pStyle w:val="WSParaNum"/>
        <w:numPr>
          <w:ilvl w:val="0"/>
          <w:numId w:val="0"/>
        </w:numPr>
        <w:spacing w:before="0" w:after="0"/>
        <w:ind w:firstLine="720"/>
      </w:pPr>
      <w:r>
        <w:rPr>
          <w:sz w:val="20"/>
          <w:szCs w:val="20"/>
        </w:rPr>
        <w:t>OCJ decision at 9.</w:t>
      </w:r>
    </w:p>
    <w:p w14:paraId="6880F647" w14:textId="77777777" w:rsidR="00E02497" w:rsidRDefault="00E02497" w:rsidP="00E02497">
      <w:pPr>
        <w:pStyle w:val="WSParaNum"/>
        <w:numPr>
          <w:ilvl w:val="0"/>
          <w:numId w:val="0"/>
        </w:numPr>
        <w:spacing w:before="0" w:after="0"/>
      </w:pPr>
    </w:p>
    <w:p w14:paraId="420BC041" w14:textId="3839EF45" w:rsidR="00A45005" w:rsidRDefault="005C5171" w:rsidP="009D2F81">
      <w:pPr>
        <w:pStyle w:val="WSParaNum"/>
        <w:spacing w:before="0" w:after="0"/>
      </w:pPr>
      <w:r>
        <w:t>Finally, t</w:t>
      </w:r>
      <w:r w:rsidR="00A45005">
        <w:t xml:space="preserve">he </w:t>
      </w:r>
      <w:r w:rsidR="00E02497" w:rsidRPr="00E02497">
        <w:t xml:space="preserve">OCJ did not establish a legal requirement for direct, contemporaneous evidence in all </w:t>
      </w:r>
      <w:r w:rsidR="00E02497" w:rsidRPr="00E02497">
        <w:rPr>
          <w:i/>
          <w:iCs/>
        </w:rPr>
        <w:t>ESA</w:t>
      </w:r>
      <w:r w:rsidR="00E02497" w:rsidRPr="00E02497">
        <w:t xml:space="preserve"> s. 10(1)(a) prosecutions, contrary to the Appellants’ submission. For an area to be “habitat,” the Crown must prove beyond a reasonable doubt that </w:t>
      </w:r>
      <w:r w:rsidR="00E02497" w:rsidRPr="00DB427D">
        <w:rPr>
          <w:b/>
          <w:bCs/>
        </w:rPr>
        <w:t>at the time of the alleged offence</w:t>
      </w:r>
      <w:r w:rsidR="00E02497" w:rsidRPr="00E02497">
        <w:t>, members of a species must depend on the area directly or indirectly to carry on their life processes. Every situation will be highly fact specific</w:t>
      </w:r>
      <w:r w:rsidR="00E02497">
        <w:t>.</w:t>
      </w:r>
    </w:p>
    <w:p w14:paraId="1F162407" w14:textId="6E7A0FE8" w:rsidR="00E02497" w:rsidRPr="00D678D8" w:rsidRDefault="00E02497" w:rsidP="00E02497">
      <w:pPr>
        <w:pStyle w:val="WSParaNum"/>
        <w:numPr>
          <w:ilvl w:val="0"/>
          <w:numId w:val="0"/>
        </w:numPr>
        <w:spacing w:before="0" w:after="0" w:line="240" w:lineRule="auto"/>
        <w:ind w:left="720" w:right="720"/>
        <w:rPr>
          <w:sz w:val="20"/>
          <w:szCs w:val="20"/>
        </w:rPr>
      </w:pPr>
      <w:r>
        <w:rPr>
          <w:sz w:val="20"/>
          <w:szCs w:val="20"/>
        </w:rPr>
        <w:t>Appellant factum at paras 3–4, 17</w:t>
      </w:r>
      <w:r w:rsidRPr="00D678D8">
        <w:rPr>
          <w:sz w:val="20"/>
          <w:szCs w:val="20"/>
        </w:rPr>
        <w:t>.</w:t>
      </w:r>
    </w:p>
    <w:p w14:paraId="2F70EED8" w14:textId="77777777" w:rsidR="00E02497" w:rsidRPr="00D678D8" w:rsidRDefault="00E02497" w:rsidP="00E02497">
      <w:pPr>
        <w:pStyle w:val="WSParaNum"/>
        <w:numPr>
          <w:ilvl w:val="0"/>
          <w:numId w:val="0"/>
        </w:numPr>
        <w:spacing w:before="0" w:after="0" w:line="240" w:lineRule="auto"/>
        <w:ind w:left="720" w:right="720"/>
        <w:rPr>
          <w:sz w:val="20"/>
          <w:szCs w:val="20"/>
        </w:rPr>
      </w:pPr>
    </w:p>
    <w:p w14:paraId="1A87A731" w14:textId="38415CBA" w:rsidR="00E02497" w:rsidRDefault="00E02497" w:rsidP="00E02497">
      <w:pPr>
        <w:pStyle w:val="WSParaNum"/>
        <w:numPr>
          <w:ilvl w:val="0"/>
          <w:numId w:val="0"/>
        </w:numPr>
        <w:spacing w:before="0" w:after="0"/>
        <w:ind w:firstLine="720"/>
        <w:rPr>
          <w:sz w:val="20"/>
          <w:szCs w:val="20"/>
        </w:rPr>
      </w:pPr>
      <w:r>
        <w:rPr>
          <w:sz w:val="20"/>
          <w:szCs w:val="20"/>
        </w:rPr>
        <w:t>Trial decision at 14</w:t>
      </w:r>
      <w:r w:rsidRPr="00D678D8">
        <w:rPr>
          <w:sz w:val="20"/>
          <w:szCs w:val="20"/>
        </w:rPr>
        <w:t>.</w:t>
      </w:r>
    </w:p>
    <w:p w14:paraId="00BDFBB7" w14:textId="77777777" w:rsidR="00E02497" w:rsidRPr="00D678D8" w:rsidRDefault="00E02497" w:rsidP="00E02497">
      <w:pPr>
        <w:pStyle w:val="WSParaNum"/>
        <w:numPr>
          <w:ilvl w:val="0"/>
          <w:numId w:val="0"/>
        </w:numPr>
        <w:spacing w:before="0" w:after="0"/>
      </w:pPr>
    </w:p>
    <w:p w14:paraId="15B11133" w14:textId="77777777" w:rsidR="00DD6E8C" w:rsidRDefault="00EE2290" w:rsidP="001F16D8">
      <w:pPr>
        <w:pStyle w:val="Heading1"/>
        <w:spacing w:before="0" w:after="0"/>
        <w:rPr>
          <w:rFonts w:ascii="Times New Roman" w:hAnsi="Times New Roman"/>
          <w:sz w:val="24"/>
          <w:szCs w:val="24"/>
        </w:rPr>
      </w:pPr>
      <w:bookmarkStart w:id="10" w:name="_Toc271703733"/>
      <w:bookmarkStart w:id="11" w:name="_Toc220076102"/>
      <w:r>
        <w:rPr>
          <w:rFonts w:ascii="Times New Roman" w:hAnsi="Times New Roman"/>
          <w:sz w:val="24"/>
          <w:szCs w:val="24"/>
        </w:rPr>
        <w:t xml:space="preserve">THE RESPONDENT’S POSITION WITH RESPECT TO THE </w:t>
      </w:r>
      <w:r w:rsidR="002620F2">
        <w:rPr>
          <w:rFonts w:ascii="Times New Roman" w:hAnsi="Times New Roman"/>
          <w:sz w:val="24"/>
          <w:szCs w:val="24"/>
        </w:rPr>
        <w:t>A</w:t>
      </w:r>
      <w:r>
        <w:rPr>
          <w:rFonts w:ascii="Times New Roman" w:hAnsi="Times New Roman"/>
          <w:sz w:val="24"/>
          <w:szCs w:val="24"/>
        </w:rPr>
        <w:t>PPELLANTS</w:t>
      </w:r>
      <w:r w:rsidR="0011797A">
        <w:rPr>
          <w:rFonts w:ascii="Times New Roman" w:hAnsi="Times New Roman"/>
          <w:sz w:val="24"/>
          <w:szCs w:val="24"/>
        </w:rPr>
        <w:t>’</w:t>
      </w:r>
      <w:r>
        <w:rPr>
          <w:rFonts w:ascii="Times New Roman" w:hAnsi="Times New Roman"/>
          <w:sz w:val="24"/>
          <w:szCs w:val="24"/>
        </w:rPr>
        <w:t xml:space="preserve"> </w:t>
      </w:r>
      <w:r w:rsidR="00DD6E8C" w:rsidRPr="00D678D8">
        <w:rPr>
          <w:rFonts w:ascii="Times New Roman" w:hAnsi="Times New Roman"/>
          <w:sz w:val="24"/>
          <w:szCs w:val="24"/>
        </w:rPr>
        <w:t>QUESTIONS</w:t>
      </w:r>
      <w:bookmarkEnd w:id="10"/>
      <w:r w:rsidR="002620F2">
        <w:rPr>
          <w:rFonts w:ascii="Times New Roman" w:hAnsi="Times New Roman"/>
          <w:sz w:val="24"/>
          <w:szCs w:val="24"/>
        </w:rPr>
        <w:t xml:space="preserve"> IN ISSUE</w:t>
      </w:r>
      <w:bookmarkEnd w:id="11"/>
    </w:p>
    <w:p w14:paraId="67FAEF02" w14:textId="77777777" w:rsidR="00206973" w:rsidRPr="00206973" w:rsidRDefault="00206973" w:rsidP="00225DB1">
      <w:pPr>
        <w:spacing w:line="360" w:lineRule="auto"/>
      </w:pPr>
    </w:p>
    <w:p w14:paraId="44ED800F" w14:textId="4BCCACBC" w:rsidR="00DD6E8C" w:rsidRDefault="004D0E41" w:rsidP="00DD6E8C">
      <w:pPr>
        <w:pStyle w:val="WSParaNum"/>
        <w:spacing w:before="0" w:after="0"/>
      </w:pPr>
      <w:r>
        <w:t xml:space="preserve">The </w:t>
      </w:r>
      <w:r w:rsidR="002A42A7" w:rsidRPr="002A42A7">
        <w:t>Appellants raised the following questions in issue</w:t>
      </w:r>
      <w:r w:rsidR="002A42A7">
        <w:t>:</w:t>
      </w:r>
    </w:p>
    <w:p w14:paraId="5E9D18A4" w14:textId="2365F632" w:rsidR="009E1477" w:rsidRPr="009E1477" w:rsidRDefault="009E1477" w:rsidP="009E1477">
      <w:pPr>
        <w:pStyle w:val="WSParaNum"/>
        <w:numPr>
          <w:ilvl w:val="0"/>
          <w:numId w:val="6"/>
        </w:numPr>
      </w:pPr>
      <w:r w:rsidRPr="009E1477">
        <w:rPr>
          <w:lang w:val="en-US"/>
        </w:rPr>
        <w:t xml:space="preserve">Did the OCJ err in finding that the Trial Justice should not have relied on evidence of sightings of a Blanding’s Turtle near the Site on various dates before and after the </w:t>
      </w:r>
      <w:r w:rsidR="001B77E1">
        <w:rPr>
          <w:lang w:val="en-US"/>
        </w:rPr>
        <w:t>time of the alleged offence</w:t>
      </w:r>
      <w:r w:rsidRPr="009E1477">
        <w:rPr>
          <w:lang w:val="en-US"/>
        </w:rPr>
        <w:t>? </w:t>
      </w:r>
      <w:r w:rsidRPr="009E1477">
        <w:t> </w:t>
      </w:r>
    </w:p>
    <w:p w14:paraId="6014164C" w14:textId="77777777" w:rsidR="001D623C" w:rsidRDefault="009E1477" w:rsidP="001D623C">
      <w:pPr>
        <w:pStyle w:val="WSParaNum"/>
        <w:numPr>
          <w:ilvl w:val="0"/>
          <w:numId w:val="6"/>
        </w:numPr>
      </w:pPr>
      <w:r w:rsidRPr="009E1477">
        <w:rPr>
          <w:lang w:val="en-US"/>
        </w:rPr>
        <w:t> Did the OCJ err by finding that it was an error for the Trial Justice to rely on the “General Habitat Description for the Blanding’s Turtle” document because that document “is not a legal instrument” and “not a legal document”? </w:t>
      </w:r>
      <w:r w:rsidRPr="009E1477">
        <w:t> </w:t>
      </w:r>
    </w:p>
    <w:p w14:paraId="366B5812" w14:textId="775DAF1E" w:rsidR="009E1477" w:rsidRPr="009E1477" w:rsidRDefault="009E1477" w:rsidP="001D623C">
      <w:pPr>
        <w:pStyle w:val="WSParaNum"/>
        <w:numPr>
          <w:ilvl w:val="0"/>
          <w:numId w:val="6"/>
        </w:numPr>
      </w:pPr>
      <w:r w:rsidRPr="001D623C">
        <w:rPr>
          <w:lang w:val="en-US"/>
        </w:rPr>
        <w:t>Did the OCJ err by failing to consider or give effect to the part of the statutory definition of “habitat” that includes within the scope of a species’ habitat not only areas on which a species depends directly, but also areas on which it depends indirectly to carry on its life processes? </w:t>
      </w:r>
      <w:r w:rsidRPr="009E1477">
        <w:t> </w:t>
      </w:r>
    </w:p>
    <w:p w14:paraId="4F1E8D5E" w14:textId="5B56B070" w:rsidR="009E1477" w:rsidRPr="009E1477" w:rsidRDefault="009E1477" w:rsidP="00574EEE">
      <w:pPr>
        <w:pStyle w:val="WSParaNum"/>
        <w:numPr>
          <w:ilvl w:val="0"/>
          <w:numId w:val="6"/>
        </w:numPr>
        <w:spacing w:after="0"/>
      </w:pPr>
      <w:r w:rsidRPr="009E1477">
        <w:rPr>
          <w:lang w:val="en-US"/>
        </w:rPr>
        <w:t xml:space="preserve"> The definition of “habitat” in the </w:t>
      </w:r>
      <w:r w:rsidRPr="00411B1F">
        <w:rPr>
          <w:i/>
          <w:iCs/>
          <w:lang w:val="en-US"/>
        </w:rPr>
        <w:t>ESA</w:t>
      </w:r>
      <w:r w:rsidRPr="009E1477">
        <w:rPr>
          <w:lang w:val="en-US"/>
        </w:rPr>
        <w:t xml:space="preserve"> was amended by the </w:t>
      </w:r>
      <w:r>
        <w:rPr>
          <w:i/>
          <w:iCs/>
          <w:lang w:val="en-US"/>
        </w:rPr>
        <w:t>Pr</w:t>
      </w:r>
      <w:r w:rsidRPr="009E1477">
        <w:rPr>
          <w:i/>
          <w:iCs/>
          <w:lang w:val="en-US"/>
        </w:rPr>
        <w:t>otect Ontario by Unleashing our Economy Act, 2025</w:t>
      </w:r>
      <w:r w:rsidRPr="009E1477">
        <w:rPr>
          <w:lang w:val="en-US"/>
        </w:rPr>
        <w:t xml:space="preserve">, </w:t>
      </w:r>
      <w:r w:rsidR="008050AC">
        <w:rPr>
          <w:lang w:val="en-US"/>
        </w:rPr>
        <w:t>Sched.</w:t>
      </w:r>
      <w:r w:rsidRPr="009E1477">
        <w:rPr>
          <w:lang w:val="en-US"/>
        </w:rPr>
        <w:t xml:space="preserve"> 2, s</w:t>
      </w:r>
      <w:r w:rsidR="00132E79">
        <w:rPr>
          <w:lang w:val="en-US"/>
        </w:rPr>
        <w:t>.</w:t>
      </w:r>
      <w:r w:rsidRPr="009E1477">
        <w:rPr>
          <w:lang w:val="en-US"/>
        </w:rPr>
        <w:t xml:space="preserve"> 2(3). How should the trial have been decided if the new definition of “habitat” was in force when CHL was charged and tried?</w:t>
      </w:r>
    </w:p>
    <w:p w14:paraId="7FD949BF" w14:textId="77777777" w:rsidR="008A6937" w:rsidRDefault="008A6937" w:rsidP="008A6937">
      <w:pPr>
        <w:pStyle w:val="WSParaNum"/>
        <w:numPr>
          <w:ilvl w:val="0"/>
          <w:numId w:val="0"/>
        </w:numPr>
        <w:spacing w:before="0" w:after="0"/>
      </w:pPr>
    </w:p>
    <w:p w14:paraId="06A7AB1D" w14:textId="2DEEFCC9" w:rsidR="00D62E8C" w:rsidRDefault="00D62E8C" w:rsidP="00DD6E8C">
      <w:pPr>
        <w:pStyle w:val="WSParaNum"/>
        <w:spacing w:before="0" w:after="0"/>
      </w:pPr>
      <w:r>
        <w:lastRenderedPageBreak/>
        <w:t xml:space="preserve">The </w:t>
      </w:r>
      <w:r w:rsidR="008A6937" w:rsidRPr="008A6937">
        <w:t>Respondent’s position with respect to the Appellants’ questions in issue is as follows</w:t>
      </w:r>
      <w:r w:rsidR="00997574">
        <w:t>:</w:t>
      </w:r>
    </w:p>
    <w:p w14:paraId="65906EB5" w14:textId="7CA94C71" w:rsidR="001A14C1" w:rsidRPr="001A14C1" w:rsidRDefault="00D90406" w:rsidP="008050AC">
      <w:pPr>
        <w:pStyle w:val="WSParaNum"/>
        <w:numPr>
          <w:ilvl w:val="0"/>
          <w:numId w:val="11"/>
        </w:numPr>
        <w:ind w:left="714" w:hanging="357"/>
      </w:pPr>
      <w:r>
        <w:t xml:space="preserve">The </w:t>
      </w:r>
      <w:r w:rsidR="001A14C1" w:rsidRPr="001A14C1">
        <w:rPr>
          <w:lang w:val="en-US"/>
        </w:rPr>
        <w:t xml:space="preserve">OCJ was correct in finding that the </w:t>
      </w:r>
      <w:r w:rsidR="00C43E48">
        <w:rPr>
          <w:lang w:val="en-US"/>
        </w:rPr>
        <w:t>T</w:t>
      </w:r>
      <w:r w:rsidR="001A14C1" w:rsidRPr="001A14C1">
        <w:rPr>
          <w:lang w:val="en-US"/>
        </w:rPr>
        <w:t xml:space="preserve">rial Justice should not have relied on evidence of Blanding’s turtle sightings </w:t>
      </w:r>
      <w:r w:rsidR="00BD5C96">
        <w:rPr>
          <w:lang w:val="en-US"/>
        </w:rPr>
        <w:t xml:space="preserve">away from </w:t>
      </w:r>
      <w:r w:rsidR="001A14C1" w:rsidRPr="001A14C1">
        <w:rPr>
          <w:lang w:val="en-US"/>
        </w:rPr>
        <w:t>the Site on various dates before and after the time of the offence</w:t>
      </w:r>
      <w:r w:rsidR="001A14C1">
        <w:rPr>
          <w:lang w:val="en-US"/>
        </w:rPr>
        <w:t>.</w:t>
      </w:r>
      <w:r w:rsidR="001A14C1" w:rsidRPr="001A14C1">
        <w:rPr>
          <w:lang w:val="en-US"/>
        </w:rPr>
        <w:t> </w:t>
      </w:r>
      <w:r w:rsidR="001A14C1" w:rsidRPr="001A14C1">
        <w:t> </w:t>
      </w:r>
    </w:p>
    <w:p w14:paraId="70F3F6B5" w14:textId="21D6BF61" w:rsidR="001A14C1" w:rsidRPr="001A14C1" w:rsidRDefault="001A14C1" w:rsidP="001A14C1">
      <w:pPr>
        <w:pStyle w:val="WSParaNum"/>
        <w:numPr>
          <w:ilvl w:val="0"/>
          <w:numId w:val="11"/>
        </w:numPr>
      </w:pPr>
      <w:r w:rsidRPr="001A14C1">
        <w:rPr>
          <w:lang w:val="en-US"/>
        </w:rPr>
        <w:t>The GHD is neither a legal document nor legal instrument and does not conclusively prove that Blanding’s turtles used the Site at the time of CHL’s alleged offence</w:t>
      </w:r>
      <w:r>
        <w:rPr>
          <w:lang w:val="en-US"/>
        </w:rPr>
        <w:t>.</w:t>
      </w:r>
      <w:r w:rsidRPr="001A14C1">
        <w:t> </w:t>
      </w:r>
    </w:p>
    <w:p w14:paraId="6F241300" w14:textId="77777777" w:rsidR="008E1F42" w:rsidRDefault="001A14C1" w:rsidP="008E1F42">
      <w:pPr>
        <w:pStyle w:val="WSParaNum"/>
        <w:numPr>
          <w:ilvl w:val="0"/>
          <w:numId w:val="11"/>
        </w:numPr>
        <w:ind w:left="714" w:hanging="357"/>
      </w:pPr>
      <w:r w:rsidRPr="001A14C1">
        <w:rPr>
          <w:lang w:val="en-US"/>
        </w:rPr>
        <w:t>The OCJ did not err in its interpretation of the statutory definition of “habitat</w:t>
      </w:r>
      <w:r w:rsidR="00781E4E">
        <w:rPr>
          <w:lang w:val="en-US"/>
        </w:rPr>
        <w:t>.</w:t>
      </w:r>
      <w:r w:rsidRPr="001A14C1">
        <w:rPr>
          <w:lang w:val="en-US"/>
        </w:rPr>
        <w:t>”</w:t>
      </w:r>
      <w:r w:rsidRPr="001A14C1">
        <w:t> </w:t>
      </w:r>
    </w:p>
    <w:p w14:paraId="59C0FB0E" w14:textId="15ADDCB4" w:rsidR="00723FEC" w:rsidRPr="008050AC" w:rsidRDefault="001A14C1" w:rsidP="008E1F42">
      <w:pPr>
        <w:pStyle w:val="WSParaNum"/>
        <w:numPr>
          <w:ilvl w:val="0"/>
          <w:numId w:val="11"/>
        </w:numPr>
        <w:ind w:left="714" w:hanging="357"/>
        <w:rPr>
          <w:rStyle w:val="normaltextrun"/>
        </w:rPr>
      </w:pPr>
      <w:r w:rsidRPr="008E1F42">
        <w:rPr>
          <w:lang w:val="en-US"/>
        </w:rPr>
        <w:t>CHL would not have been convicted at trial if the new definition of “habitat” was in force when it was charged and tried</w:t>
      </w:r>
      <w:r w:rsidR="00781E4E" w:rsidRPr="008E1F42">
        <w:rPr>
          <w:lang w:val="en-US"/>
        </w:rPr>
        <w:t>.</w:t>
      </w:r>
      <w:r w:rsidR="7BE5F48F" w:rsidRPr="008E1F42">
        <w:rPr>
          <w:lang w:val="en-US"/>
        </w:rPr>
        <w:t xml:space="preserve"> R</w:t>
      </w:r>
      <w:r w:rsidR="7BE5F48F" w:rsidRPr="008E1F42">
        <w:rPr>
          <w:rStyle w:val="normaltextrun"/>
          <w:color w:val="000000" w:themeColor="text1"/>
          <w:lang w:val="en-US"/>
        </w:rPr>
        <w:t xml:space="preserve">ecent changes to the </w:t>
      </w:r>
      <w:r w:rsidR="7BE5F48F" w:rsidRPr="008E1F42">
        <w:rPr>
          <w:rStyle w:val="normaltextrun"/>
          <w:i/>
          <w:iCs/>
          <w:color w:val="000000" w:themeColor="text1"/>
          <w:lang w:val="en-US"/>
        </w:rPr>
        <w:t xml:space="preserve">ESA </w:t>
      </w:r>
      <w:r w:rsidR="7BE5F48F" w:rsidRPr="008E1F42">
        <w:rPr>
          <w:rStyle w:val="normaltextrun"/>
          <w:color w:val="000000" w:themeColor="text1"/>
          <w:lang w:val="en-US"/>
        </w:rPr>
        <w:t xml:space="preserve">are </w:t>
      </w:r>
      <w:r w:rsidR="4C105804" w:rsidRPr="008E1F42">
        <w:rPr>
          <w:rStyle w:val="normaltextrun"/>
          <w:color w:val="000000" w:themeColor="text1"/>
          <w:lang w:val="en-US"/>
        </w:rPr>
        <w:t xml:space="preserve">a </w:t>
      </w:r>
      <w:r w:rsidR="7BE5F48F" w:rsidRPr="008E1F42">
        <w:rPr>
          <w:rStyle w:val="normaltextrun"/>
          <w:color w:val="000000" w:themeColor="text1"/>
          <w:lang w:val="en-US"/>
        </w:rPr>
        <w:t>part of a</w:t>
      </w:r>
      <w:r w:rsidR="00245EA5" w:rsidRPr="008E1F42">
        <w:rPr>
          <w:rStyle w:val="normaltextrun"/>
          <w:color w:val="000000" w:themeColor="text1"/>
          <w:lang w:val="en-US"/>
        </w:rPr>
        <w:t>n ongoing</w:t>
      </w:r>
      <w:r w:rsidR="7BE5F48F" w:rsidRPr="008E1F42">
        <w:rPr>
          <w:rStyle w:val="normaltextrun"/>
          <w:color w:val="000000" w:themeColor="text1"/>
          <w:lang w:val="en-US"/>
        </w:rPr>
        <w:t xml:space="preserve"> trend since 2019 </w:t>
      </w:r>
      <w:r w:rsidR="001229C9" w:rsidRPr="008E1F42">
        <w:rPr>
          <w:rStyle w:val="normaltextrun"/>
          <w:color w:val="000000" w:themeColor="text1"/>
          <w:lang w:val="en-US"/>
        </w:rPr>
        <w:t>that reflects</w:t>
      </w:r>
      <w:r w:rsidR="7BE5F48F" w:rsidRPr="008E1F42">
        <w:rPr>
          <w:rStyle w:val="normaltextrun"/>
          <w:color w:val="000000" w:themeColor="text1"/>
          <w:lang w:val="en-US"/>
        </w:rPr>
        <w:t xml:space="preserve"> th</w:t>
      </w:r>
      <w:r w:rsidR="3CEF7F1E" w:rsidRPr="008E1F42">
        <w:rPr>
          <w:rStyle w:val="normaltextrun"/>
          <w:color w:val="000000" w:themeColor="text1"/>
          <w:lang w:val="en-US"/>
        </w:rPr>
        <w:t>e</w:t>
      </w:r>
      <w:r w:rsidR="7BE5F48F" w:rsidRPr="008E1F42">
        <w:rPr>
          <w:rStyle w:val="normaltextrun"/>
          <w:color w:val="000000" w:themeColor="text1"/>
          <w:lang w:val="en-US"/>
        </w:rPr>
        <w:t xml:space="preserve"> legislature’s intent to balance </w:t>
      </w:r>
      <w:r w:rsidR="00DB622B" w:rsidRPr="008E1F42">
        <w:rPr>
          <w:rStyle w:val="normaltextrun"/>
          <w:color w:val="000000" w:themeColor="text1"/>
          <w:lang w:val="en-US"/>
        </w:rPr>
        <w:t xml:space="preserve">species </w:t>
      </w:r>
      <w:r w:rsidR="7BE5F48F" w:rsidRPr="008E1F42">
        <w:rPr>
          <w:rStyle w:val="normaltextrun"/>
          <w:color w:val="000000" w:themeColor="text1"/>
          <w:lang w:val="en-US"/>
        </w:rPr>
        <w:t>protections with</w:t>
      </w:r>
      <w:r w:rsidR="00460092" w:rsidRPr="008E1F42">
        <w:rPr>
          <w:rStyle w:val="normaltextrun"/>
          <w:color w:val="000000" w:themeColor="text1"/>
          <w:lang w:val="en-US"/>
        </w:rPr>
        <w:t xml:space="preserve"> social and</w:t>
      </w:r>
      <w:r w:rsidR="7BE5F48F" w:rsidRPr="008E1F42">
        <w:rPr>
          <w:rStyle w:val="normaltextrun"/>
          <w:color w:val="000000" w:themeColor="text1"/>
          <w:lang w:val="en-US"/>
        </w:rPr>
        <w:t xml:space="preserve"> economic conside</w:t>
      </w:r>
      <w:r w:rsidR="17D4526D" w:rsidRPr="008E1F42">
        <w:rPr>
          <w:rStyle w:val="normaltextrun"/>
          <w:color w:val="000000" w:themeColor="text1"/>
          <w:lang w:val="en-US"/>
        </w:rPr>
        <w:t>rations</w:t>
      </w:r>
      <w:r w:rsidR="3398E076" w:rsidRPr="008E1F42">
        <w:rPr>
          <w:rStyle w:val="normaltextrun"/>
          <w:color w:val="000000" w:themeColor="text1"/>
          <w:lang w:val="en-US"/>
        </w:rPr>
        <w:t>.</w:t>
      </w:r>
    </w:p>
    <w:p w14:paraId="32EBBBC5" w14:textId="77F17513" w:rsidR="1606C8AA" w:rsidRDefault="1606C8AA" w:rsidP="00225DB1">
      <w:pPr>
        <w:pStyle w:val="WSParaNum"/>
        <w:numPr>
          <w:ilvl w:val="0"/>
          <w:numId w:val="0"/>
        </w:numPr>
        <w:spacing w:before="0" w:after="0"/>
      </w:pPr>
    </w:p>
    <w:p w14:paraId="10DFEF3E" w14:textId="77777777" w:rsidR="00DD6E8C" w:rsidRDefault="00DD6E8C" w:rsidP="00225DB1">
      <w:pPr>
        <w:pStyle w:val="Heading1"/>
        <w:tabs>
          <w:tab w:val="num" w:pos="720"/>
        </w:tabs>
        <w:spacing w:before="0" w:after="0" w:line="360" w:lineRule="auto"/>
        <w:ind w:left="720" w:hanging="720"/>
        <w:rPr>
          <w:rFonts w:ascii="Times New Roman" w:hAnsi="Times New Roman"/>
          <w:sz w:val="24"/>
          <w:szCs w:val="24"/>
        </w:rPr>
      </w:pPr>
      <w:bookmarkStart w:id="12" w:name="_Toc271703734"/>
      <w:bookmarkStart w:id="13" w:name="_Toc220076103"/>
      <w:r w:rsidRPr="00D678D8">
        <w:rPr>
          <w:rFonts w:ascii="Times New Roman" w:hAnsi="Times New Roman"/>
          <w:sz w:val="24"/>
          <w:szCs w:val="24"/>
        </w:rPr>
        <w:t>ARGUMENT</w:t>
      </w:r>
      <w:bookmarkEnd w:id="12"/>
      <w:bookmarkEnd w:id="13"/>
    </w:p>
    <w:p w14:paraId="1BEEAB5D" w14:textId="77777777" w:rsidR="00206973" w:rsidRPr="00206973" w:rsidRDefault="00206973" w:rsidP="00225DB1">
      <w:pPr>
        <w:spacing w:line="360" w:lineRule="auto"/>
      </w:pPr>
    </w:p>
    <w:p w14:paraId="0D414B27" w14:textId="266B72C3" w:rsidR="00D678D8" w:rsidRDefault="2CE7B3B0" w:rsidP="00225DB1">
      <w:pPr>
        <w:pStyle w:val="Heading2"/>
        <w:tabs>
          <w:tab w:val="num" w:pos="720"/>
        </w:tabs>
        <w:spacing w:before="0" w:after="0" w:line="360" w:lineRule="auto"/>
        <w:rPr>
          <w:rFonts w:ascii="Times New Roman" w:hAnsi="Times New Roman"/>
          <w:i w:val="0"/>
          <w:iCs w:val="0"/>
          <w:sz w:val="24"/>
          <w:szCs w:val="24"/>
        </w:rPr>
      </w:pPr>
      <w:bookmarkStart w:id="14" w:name="_Toc220076104"/>
      <w:r w:rsidRPr="6E027FC6">
        <w:rPr>
          <w:rFonts w:ascii="Times New Roman" w:hAnsi="Times New Roman"/>
          <w:i w:val="0"/>
          <w:iCs w:val="0"/>
          <w:sz w:val="24"/>
          <w:szCs w:val="24"/>
        </w:rPr>
        <w:t>Standard of Review</w:t>
      </w:r>
      <w:bookmarkEnd w:id="14"/>
      <w:r w:rsidR="1012524B" w:rsidRPr="6E027FC6">
        <w:rPr>
          <w:rFonts w:ascii="Times New Roman" w:hAnsi="Times New Roman"/>
          <w:i w:val="0"/>
          <w:iCs w:val="0"/>
          <w:sz w:val="24"/>
          <w:szCs w:val="24"/>
        </w:rPr>
        <w:t xml:space="preserve"> </w:t>
      </w:r>
    </w:p>
    <w:p w14:paraId="23C6A5E8" w14:textId="77777777" w:rsidR="00206973" w:rsidRPr="00206973" w:rsidRDefault="00206973" w:rsidP="00225DB1">
      <w:pPr>
        <w:spacing w:line="360" w:lineRule="auto"/>
      </w:pPr>
    </w:p>
    <w:p w14:paraId="440A0366" w14:textId="1058F80C" w:rsidR="001B7635" w:rsidRDefault="008430A9" w:rsidP="00DD6E8C">
      <w:pPr>
        <w:pStyle w:val="WSParaNum"/>
        <w:spacing w:before="0" w:after="0"/>
        <w:rPr>
          <w:vertAlign w:val="superscript"/>
        </w:rPr>
      </w:pPr>
      <w:r>
        <w:t xml:space="preserve">The </w:t>
      </w:r>
      <w:r w:rsidRPr="008430A9">
        <w:t xml:space="preserve">first three issues on appeal are questions of law. </w:t>
      </w:r>
      <w:r w:rsidR="0C5CA6F3">
        <w:t>I</w:t>
      </w:r>
      <w:r w:rsidR="0C5CA6F3" w:rsidRPr="18CE9289">
        <w:rPr>
          <w:color w:val="000000" w:themeColor="text1"/>
        </w:rPr>
        <w:t xml:space="preserve">f the matter were remitted to trial on the </w:t>
      </w:r>
      <w:r w:rsidR="0C5CA6F3" w:rsidRPr="0EF7702B">
        <w:rPr>
          <w:b/>
          <w:bCs/>
          <w:color w:val="000000" w:themeColor="text1"/>
        </w:rPr>
        <w:t>same evidentiary record</w:t>
      </w:r>
      <w:r w:rsidR="0C5CA6F3" w:rsidRPr="00670BEF">
        <w:rPr>
          <w:color w:val="000000" w:themeColor="text1"/>
        </w:rPr>
        <w:t xml:space="preserve">, </w:t>
      </w:r>
      <w:r w:rsidR="0C5CA6F3" w:rsidRPr="18CE9289">
        <w:rPr>
          <w:color w:val="000000" w:themeColor="text1"/>
        </w:rPr>
        <w:t xml:space="preserve">a correct interpretation of the </w:t>
      </w:r>
      <w:r w:rsidR="00AA014A" w:rsidRPr="00AA014A">
        <w:rPr>
          <w:i/>
          <w:iCs/>
          <w:color w:val="000000" w:themeColor="text1"/>
        </w:rPr>
        <w:t>ESA</w:t>
      </w:r>
      <w:r w:rsidR="0C5CA6F3" w:rsidRPr="18CE9289">
        <w:rPr>
          <w:color w:val="000000" w:themeColor="text1"/>
        </w:rPr>
        <w:t xml:space="preserve"> by the Trial Justice would necessarily lead to a different result. </w:t>
      </w:r>
      <w:r w:rsidR="0FF9B035">
        <w:t>Thus, t</w:t>
      </w:r>
      <w:r>
        <w:t>he standard of review is correctness</w:t>
      </w:r>
      <w:r w:rsidR="001B7635">
        <w:t>.</w:t>
      </w:r>
      <w:r w:rsidR="67AFAD82">
        <w:t xml:space="preserve"> </w:t>
      </w:r>
      <w:r w:rsidR="00FD4472">
        <w:t>Since the</w:t>
      </w:r>
      <w:r w:rsidR="00965CEC">
        <w:t xml:space="preserve"> fourth issue is novel, there is no standard of review</w:t>
      </w:r>
      <w:r w:rsidR="003C1AE2">
        <w:t>.</w:t>
      </w:r>
      <w:r w:rsidR="00965CEC">
        <w:t xml:space="preserve"> </w:t>
      </w:r>
    </w:p>
    <w:p w14:paraId="70D93D38" w14:textId="33F49760" w:rsidR="00F57B59" w:rsidRDefault="00F57B59" w:rsidP="008D06FA">
      <w:pPr>
        <w:pStyle w:val="WSParaNum"/>
        <w:numPr>
          <w:ilvl w:val="0"/>
          <w:numId w:val="0"/>
        </w:numPr>
        <w:spacing w:before="0" w:after="0"/>
        <w:ind w:firstLine="720"/>
      </w:pPr>
      <w:r w:rsidRPr="008D06FA">
        <w:rPr>
          <w:i/>
          <w:iCs/>
          <w:sz w:val="20"/>
          <w:szCs w:val="20"/>
        </w:rPr>
        <w:t>Housen v</w:t>
      </w:r>
      <w:r>
        <w:rPr>
          <w:sz w:val="20"/>
          <w:szCs w:val="20"/>
        </w:rPr>
        <w:t xml:space="preserve"> </w:t>
      </w:r>
      <w:r w:rsidR="008D06FA" w:rsidRPr="008D06FA">
        <w:rPr>
          <w:i/>
          <w:iCs/>
          <w:sz w:val="20"/>
          <w:szCs w:val="20"/>
        </w:rPr>
        <w:t>Nikolaisen</w:t>
      </w:r>
      <w:r w:rsidR="008D06FA" w:rsidRPr="008D06FA">
        <w:rPr>
          <w:sz w:val="20"/>
          <w:szCs w:val="20"/>
        </w:rPr>
        <w:t>, 2002 SCC 33 at para 8</w:t>
      </w:r>
      <w:r>
        <w:rPr>
          <w:sz w:val="20"/>
          <w:szCs w:val="20"/>
        </w:rPr>
        <w:t>.</w:t>
      </w:r>
    </w:p>
    <w:p w14:paraId="6566008D" w14:textId="77777777" w:rsidR="00F57B59" w:rsidRPr="00D678D8" w:rsidRDefault="00F57B59" w:rsidP="00F57B59">
      <w:pPr>
        <w:pStyle w:val="WSParaNum"/>
        <w:numPr>
          <w:ilvl w:val="0"/>
          <w:numId w:val="0"/>
        </w:numPr>
        <w:spacing w:before="0" w:after="0"/>
      </w:pPr>
    </w:p>
    <w:p w14:paraId="47A27A0B" w14:textId="6ABE7022" w:rsidR="00D678D8" w:rsidRDefault="004E54D0" w:rsidP="00225DB1">
      <w:pPr>
        <w:pStyle w:val="Heading2"/>
        <w:tabs>
          <w:tab w:val="num" w:pos="720"/>
        </w:tabs>
        <w:spacing w:before="0" w:after="0"/>
        <w:rPr>
          <w:rFonts w:ascii="Times New Roman" w:hAnsi="Times New Roman"/>
          <w:i w:val="0"/>
          <w:sz w:val="24"/>
          <w:szCs w:val="24"/>
        </w:rPr>
      </w:pPr>
      <w:bookmarkStart w:id="15" w:name="_Toc220076105"/>
      <w:r>
        <w:rPr>
          <w:rFonts w:ascii="Times New Roman" w:hAnsi="Times New Roman"/>
          <w:i w:val="0"/>
          <w:sz w:val="24"/>
          <w:szCs w:val="24"/>
        </w:rPr>
        <w:t xml:space="preserve">Issue 1: </w:t>
      </w:r>
      <w:r w:rsidRPr="004E54D0">
        <w:rPr>
          <w:rFonts w:ascii="Times New Roman" w:hAnsi="Times New Roman"/>
          <w:i w:val="0"/>
          <w:sz w:val="24"/>
          <w:szCs w:val="24"/>
        </w:rPr>
        <w:t xml:space="preserve">The OCJ was correct in finding </w:t>
      </w:r>
      <w:r w:rsidRPr="00473D5B">
        <w:rPr>
          <w:rFonts w:ascii="Times New Roman" w:hAnsi="Times New Roman"/>
          <w:i w:val="0"/>
          <w:sz w:val="24"/>
          <w:szCs w:val="24"/>
        </w:rPr>
        <w:t>that the Trial Justice</w:t>
      </w:r>
      <w:r w:rsidRPr="004E54D0">
        <w:rPr>
          <w:rFonts w:ascii="Times New Roman" w:hAnsi="Times New Roman"/>
          <w:i w:val="0"/>
          <w:sz w:val="24"/>
          <w:szCs w:val="24"/>
        </w:rPr>
        <w:t> should not have relied on evidence of Blanding’s turtle sightings </w:t>
      </w:r>
      <w:r w:rsidR="00FE5B5B">
        <w:rPr>
          <w:rFonts w:ascii="Times New Roman" w:hAnsi="Times New Roman"/>
          <w:i w:val="0"/>
          <w:sz w:val="24"/>
          <w:szCs w:val="24"/>
        </w:rPr>
        <w:t>away from</w:t>
      </w:r>
      <w:r w:rsidRPr="004E54D0">
        <w:rPr>
          <w:rFonts w:ascii="Times New Roman" w:hAnsi="Times New Roman"/>
          <w:i w:val="0"/>
          <w:sz w:val="24"/>
          <w:szCs w:val="24"/>
        </w:rPr>
        <w:t xml:space="preserve"> the Site on various dates before and after the time of the offence</w:t>
      </w:r>
      <w:bookmarkEnd w:id="15"/>
    </w:p>
    <w:p w14:paraId="304C3A3B" w14:textId="77777777" w:rsidR="00206973" w:rsidRPr="00366A52" w:rsidRDefault="00206973" w:rsidP="00225DB1">
      <w:pPr>
        <w:pStyle w:val="WSParaNum"/>
        <w:numPr>
          <w:ilvl w:val="0"/>
          <w:numId w:val="0"/>
        </w:numPr>
        <w:spacing w:before="0" w:after="0"/>
      </w:pPr>
    </w:p>
    <w:p w14:paraId="3F30CD0A" w14:textId="698B958C" w:rsidR="002D0A80" w:rsidRPr="00761BFF" w:rsidRDefault="00FA353B" w:rsidP="00225DB1">
      <w:pPr>
        <w:pStyle w:val="Heading3"/>
        <w:spacing w:before="0" w:after="0" w:line="360" w:lineRule="auto"/>
        <w:rPr>
          <w:rFonts w:ascii="Times New Roman" w:hAnsi="Times New Roman"/>
          <w:sz w:val="24"/>
          <w:szCs w:val="24"/>
        </w:rPr>
      </w:pPr>
      <w:bookmarkStart w:id="16" w:name="_Toc220076106"/>
      <w:r w:rsidRPr="00761BFF">
        <w:rPr>
          <w:rFonts w:ascii="Times New Roman" w:hAnsi="Times New Roman"/>
          <w:sz w:val="24"/>
          <w:szCs w:val="24"/>
        </w:rPr>
        <w:t xml:space="preserve">It was </w:t>
      </w:r>
      <w:r w:rsidR="00C44016" w:rsidRPr="00761BFF">
        <w:rPr>
          <w:rFonts w:ascii="Times New Roman" w:hAnsi="Times New Roman"/>
          <w:sz w:val="24"/>
          <w:szCs w:val="24"/>
        </w:rPr>
        <w:t>an error of law for the Trial Justice to accept the Crown’s evidence</w:t>
      </w:r>
      <w:bookmarkEnd w:id="16"/>
    </w:p>
    <w:p w14:paraId="1F2A114C" w14:textId="77777777" w:rsidR="00206973" w:rsidRPr="00206973" w:rsidRDefault="00206973" w:rsidP="00225DB1">
      <w:pPr>
        <w:spacing w:line="360" w:lineRule="auto"/>
      </w:pPr>
    </w:p>
    <w:p w14:paraId="5D5769F6" w14:textId="44D06468" w:rsidR="00DB622B" w:rsidRDefault="00DB622B" w:rsidP="00225DB1">
      <w:pPr>
        <w:pStyle w:val="WSParaNum"/>
        <w:spacing w:before="0" w:after="0"/>
      </w:pPr>
      <w:r>
        <w:lastRenderedPageBreak/>
        <w:t xml:space="preserve">The </w:t>
      </w:r>
      <w:r w:rsidRPr="00FA353B">
        <w:rPr>
          <w:lang w:val="en-US"/>
        </w:rPr>
        <w:t xml:space="preserve">OCJ correctly concluded </w:t>
      </w:r>
      <w:r w:rsidRPr="00473D5B">
        <w:rPr>
          <w:lang w:val="en-US"/>
        </w:rPr>
        <w:t>that the Trial Justice relied</w:t>
      </w:r>
      <w:r w:rsidRPr="00FA353B">
        <w:rPr>
          <w:lang w:val="en-US"/>
        </w:rPr>
        <w:t xml:space="preserve"> on insufficient evidence to convict CHL of an offence under </w:t>
      </w:r>
      <w:r w:rsidRPr="00FA353B">
        <w:rPr>
          <w:i/>
          <w:iCs/>
          <w:lang w:val="en-US"/>
        </w:rPr>
        <w:t>ESA </w:t>
      </w:r>
      <w:r w:rsidRPr="00FA353B">
        <w:rPr>
          <w:lang w:val="en-US"/>
        </w:rPr>
        <w:t>s. 10(1)(a) since there was no direct evidence that the Site was Blanding’s turtle habitat at the time of the alleged offence. </w:t>
      </w:r>
      <w:r w:rsidRPr="00FA353B">
        <w:t> </w:t>
      </w:r>
    </w:p>
    <w:p w14:paraId="2B7F46C4" w14:textId="77777777" w:rsidR="00DB622B" w:rsidRDefault="00DB622B" w:rsidP="00DB622B">
      <w:pPr>
        <w:pStyle w:val="WSParaNum"/>
        <w:numPr>
          <w:ilvl w:val="0"/>
          <w:numId w:val="0"/>
        </w:numPr>
        <w:spacing w:before="0" w:after="0"/>
      </w:pPr>
    </w:p>
    <w:p w14:paraId="4E36D8B1" w14:textId="6FD1918D" w:rsidR="0007098C" w:rsidRDefault="00D04A5E" w:rsidP="0007098C">
      <w:pPr>
        <w:pStyle w:val="WSParaNum"/>
        <w:spacing w:before="0" w:after="0"/>
      </w:pPr>
      <w:r>
        <w:t>This is a question of law properly reviewable by the OCJ because th</w:t>
      </w:r>
      <w:r w:rsidR="00C7023B">
        <w:t xml:space="preserve">e </w:t>
      </w:r>
      <w:r w:rsidR="009560A7">
        <w:t xml:space="preserve">Trial Justice </w:t>
      </w:r>
      <w:r w:rsidR="00F77187">
        <w:t>made</w:t>
      </w:r>
      <w:r w:rsidR="005602F2">
        <w:t xml:space="preserve"> a “finding of fact for which there is no supporting evidence.” </w:t>
      </w:r>
      <w:r w:rsidR="00C44016" w:rsidRPr="00473D5B">
        <w:t xml:space="preserve">The </w:t>
      </w:r>
      <w:r w:rsidR="00970B69" w:rsidRPr="00473D5B">
        <w:t>Trial Justice</w:t>
      </w:r>
      <w:r w:rsidR="00970B69" w:rsidRPr="00970B69">
        <w:t xml:space="preserve"> made an error of law by concluding that the Site was habitat at the time of the alleged offence</w:t>
      </w:r>
      <w:r w:rsidR="00EE6B3A">
        <w:t xml:space="preserve">. </w:t>
      </w:r>
      <w:r w:rsidR="00970B69" w:rsidRPr="00970B69">
        <w:t>CHL’s conviction was “unreasonable and not supportable by the evidence.”</w:t>
      </w:r>
      <w:r w:rsidR="009F2074">
        <w:t xml:space="preserve"> </w:t>
      </w:r>
    </w:p>
    <w:p w14:paraId="3B89FD3D" w14:textId="48A56CCB" w:rsidR="00D00B35" w:rsidRPr="00D678D8" w:rsidRDefault="00F903AF" w:rsidP="00F903AF">
      <w:pPr>
        <w:pStyle w:val="WSParaNum"/>
        <w:numPr>
          <w:ilvl w:val="0"/>
          <w:numId w:val="0"/>
        </w:numPr>
        <w:spacing w:before="0" w:after="0" w:line="240" w:lineRule="auto"/>
        <w:ind w:left="720" w:right="720"/>
        <w:rPr>
          <w:sz w:val="20"/>
          <w:szCs w:val="20"/>
        </w:rPr>
      </w:pPr>
      <w:r w:rsidRPr="00F903AF">
        <w:rPr>
          <w:i/>
          <w:iCs/>
          <w:sz w:val="20"/>
          <w:szCs w:val="20"/>
          <w:lang w:val="en-GB"/>
        </w:rPr>
        <w:t>R v JMH</w:t>
      </w:r>
      <w:r w:rsidRPr="00F903AF">
        <w:rPr>
          <w:sz w:val="20"/>
          <w:szCs w:val="20"/>
          <w:lang w:val="en-GB"/>
        </w:rPr>
        <w:t>, 2011 SCC 45 at paras 25–26</w:t>
      </w:r>
      <w:r w:rsidR="00D00B35" w:rsidRPr="00D678D8">
        <w:rPr>
          <w:sz w:val="20"/>
          <w:szCs w:val="20"/>
        </w:rPr>
        <w:t>.</w:t>
      </w:r>
    </w:p>
    <w:p w14:paraId="37C4D937" w14:textId="77777777" w:rsidR="00D00B35" w:rsidRPr="00D678D8" w:rsidRDefault="00D00B35" w:rsidP="00D00B35">
      <w:pPr>
        <w:pStyle w:val="WSParaNum"/>
        <w:numPr>
          <w:ilvl w:val="0"/>
          <w:numId w:val="0"/>
        </w:numPr>
        <w:spacing w:before="0" w:after="0" w:line="240" w:lineRule="auto"/>
        <w:ind w:left="720" w:right="720"/>
        <w:rPr>
          <w:sz w:val="20"/>
          <w:szCs w:val="20"/>
        </w:rPr>
      </w:pPr>
    </w:p>
    <w:p w14:paraId="15CDDFEF" w14:textId="36CC950F" w:rsidR="00D00B35" w:rsidRDefault="00781139" w:rsidP="00781139">
      <w:pPr>
        <w:pStyle w:val="WSParaNum"/>
        <w:numPr>
          <w:ilvl w:val="0"/>
          <w:numId w:val="0"/>
        </w:numPr>
        <w:spacing w:before="0" w:after="0"/>
        <w:ind w:firstLine="720"/>
        <w:rPr>
          <w:sz w:val="20"/>
          <w:szCs w:val="20"/>
        </w:rPr>
      </w:pPr>
      <w:r w:rsidRPr="00781139">
        <w:rPr>
          <w:i/>
          <w:iCs/>
          <w:sz w:val="20"/>
          <w:szCs w:val="20"/>
          <w:lang w:val="en-GB"/>
        </w:rPr>
        <w:t>R v Biniaris</w:t>
      </w:r>
      <w:r w:rsidRPr="00781139">
        <w:rPr>
          <w:sz w:val="20"/>
          <w:szCs w:val="20"/>
          <w:lang w:val="en-GB"/>
        </w:rPr>
        <w:t>, 2000 SCC 15 at para 19</w:t>
      </w:r>
      <w:r w:rsidR="00D00B35" w:rsidRPr="00D678D8">
        <w:rPr>
          <w:sz w:val="20"/>
          <w:szCs w:val="20"/>
        </w:rPr>
        <w:t>.</w:t>
      </w:r>
    </w:p>
    <w:p w14:paraId="52FF5200" w14:textId="77777777" w:rsidR="00D00B35" w:rsidRPr="00D678D8" w:rsidRDefault="00D00B35" w:rsidP="00D00B35">
      <w:pPr>
        <w:pStyle w:val="WSParaNum"/>
        <w:numPr>
          <w:ilvl w:val="0"/>
          <w:numId w:val="0"/>
        </w:numPr>
        <w:spacing w:before="0" w:after="0"/>
      </w:pPr>
    </w:p>
    <w:p w14:paraId="2923D2E6" w14:textId="78D3F858" w:rsidR="0007098C" w:rsidRDefault="00970B69" w:rsidP="0024187B">
      <w:pPr>
        <w:pStyle w:val="WSParaNum"/>
        <w:spacing w:before="0" w:after="0"/>
      </w:pPr>
      <w:r>
        <w:t xml:space="preserve">As </w:t>
      </w:r>
      <w:r w:rsidR="00530C08" w:rsidRPr="00530C08">
        <w:t xml:space="preserve">a quasi-criminal statute, offences under the </w:t>
      </w:r>
      <w:r w:rsidR="00530C08" w:rsidRPr="00530C08">
        <w:rPr>
          <w:i/>
          <w:iCs/>
        </w:rPr>
        <w:t>ESA</w:t>
      </w:r>
      <w:r w:rsidR="00530C08" w:rsidRPr="00530C08">
        <w:t xml:space="preserve"> are prosecuted according to the procedures set out in the </w:t>
      </w:r>
      <w:r w:rsidR="00530C08" w:rsidRPr="00530C08">
        <w:rPr>
          <w:i/>
          <w:iCs/>
        </w:rPr>
        <w:t>Provincial Offences Act</w:t>
      </w:r>
      <w:r w:rsidR="00530C08" w:rsidRPr="00530C08">
        <w:t>. The Crown must prove the elements of the offence beyond a reasonable doubt</w:t>
      </w:r>
      <w:r w:rsidR="002C5DA8">
        <w:t xml:space="preserve">, </w:t>
      </w:r>
      <w:r w:rsidR="005A0225">
        <w:t>specifically</w:t>
      </w:r>
      <w:r w:rsidR="002C5DA8">
        <w:t xml:space="preserve"> that </w:t>
      </w:r>
      <w:r w:rsidR="00530C08" w:rsidRPr="00530C08">
        <w:t>CHL damaged or destroyed Blanding’s turtle habitat</w:t>
      </w:r>
      <w:r w:rsidR="002C5DA8">
        <w:t xml:space="preserve"> by </w:t>
      </w:r>
      <w:r w:rsidR="00B36FE6">
        <w:t>clearing</w:t>
      </w:r>
      <w:r w:rsidR="00FF1793">
        <w:t xml:space="preserve">, digging up, </w:t>
      </w:r>
      <w:r w:rsidR="00050174">
        <w:t xml:space="preserve">grading, and </w:t>
      </w:r>
      <w:r w:rsidR="00FF1793">
        <w:t>placing fill</w:t>
      </w:r>
      <w:r w:rsidR="00050174">
        <w:t xml:space="preserve"> in</w:t>
      </w:r>
      <w:r w:rsidR="00FF1793">
        <w:t xml:space="preserve"> area on its property</w:t>
      </w:r>
      <w:r w:rsidR="002C5DA8">
        <w:t xml:space="preserve"> </w:t>
      </w:r>
      <w:r w:rsidR="00050174">
        <w:t>between June and August 2018</w:t>
      </w:r>
      <w:r w:rsidR="00530C08" w:rsidRPr="00530C08">
        <w:t>.</w:t>
      </w:r>
    </w:p>
    <w:p w14:paraId="40CB183E" w14:textId="77777777" w:rsidR="00206973" w:rsidRPr="00D678D8" w:rsidRDefault="00206973" w:rsidP="00206973">
      <w:pPr>
        <w:pStyle w:val="WSParaNum"/>
        <w:numPr>
          <w:ilvl w:val="0"/>
          <w:numId w:val="0"/>
        </w:numPr>
        <w:spacing w:before="0" w:after="0"/>
      </w:pPr>
    </w:p>
    <w:p w14:paraId="5E5E77CD" w14:textId="72C1F8BE" w:rsidR="0007098C" w:rsidRDefault="002C5DA8" w:rsidP="0007098C">
      <w:pPr>
        <w:pStyle w:val="WSParaNum"/>
        <w:spacing w:before="0" w:after="0"/>
      </w:pPr>
      <w:r>
        <w:t>T</w:t>
      </w:r>
      <w:r w:rsidR="00FC2B9B" w:rsidRPr="00FC2B9B">
        <w:t xml:space="preserve">he Crown did not prove </w:t>
      </w:r>
      <w:r>
        <w:t xml:space="preserve">its case as </w:t>
      </w:r>
      <w:r w:rsidR="00FC2B9B" w:rsidRPr="00FC2B9B">
        <w:t xml:space="preserve">it did not present evidence which conclusively established that the Site was </w:t>
      </w:r>
      <w:r>
        <w:t xml:space="preserve">a defined </w:t>
      </w:r>
      <w:r w:rsidR="00FC2B9B" w:rsidRPr="00FC2B9B">
        <w:t>habitat at the time of the alleged offence</w:t>
      </w:r>
      <w:r w:rsidR="00FC2B9B">
        <w:t>.</w:t>
      </w:r>
    </w:p>
    <w:p w14:paraId="03B2D2A5" w14:textId="20898351" w:rsidR="007E148D" w:rsidRPr="00CE1EDB" w:rsidRDefault="00EB449A" w:rsidP="00CE1EDB">
      <w:pPr>
        <w:pStyle w:val="WSParaNum"/>
        <w:numPr>
          <w:ilvl w:val="0"/>
          <w:numId w:val="0"/>
        </w:numPr>
        <w:spacing w:before="0" w:after="0"/>
        <w:ind w:firstLine="720"/>
        <w:rPr>
          <w:sz w:val="20"/>
          <w:szCs w:val="20"/>
        </w:rPr>
      </w:pPr>
      <w:r>
        <w:rPr>
          <w:rStyle w:val="normaltextrun"/>
          <w:i/>
          <w:iCs/>
          <w:color w:val="000000"/>
          <w:sz w:val="20"/>
          <w:szCs w:val="20"/>
          <w:shd w:val="clear" w:color="auto" w:fill="FFFFFF"/>
          <w:lang w:val="en-GB"/>
        </w:rPr>
        <w:t>R v South Bruce Peninsula</w:t>
      </w:r>
      <w:r>
        <w:rPr>
          <w:rStyle w:val="normaltextrun"/>
          <w:color w:val="000000"/>
          <w:sz w:val="20"/>
          <w:szCs w:val="20"/>
          <w:shd w:val="clear" w:color="auto" w:fill="FFFFFF"/>
          <w:lang w:val="en-GB"/>
        </w:rPr>
        <w:t>, 2021 CarswellOnt 20893 at para 51</w:t>
      </w:r>
      <w:r w:rsidR="00364496">
        <w:rPr>
          <w:sz w:val="20"/>
          <w:szCs w:val="20"/>
        </w:rPr>
        <w:t>.</w:t>
      </w:r>
    </w:p>
    <w:p w14:paraId="1F63EB96" w14:textId="3426FE8B" w:rsidR="007E148D" w:rsidRPr="00362BF6" w:rsidRDefault="007E148D" w:rsidP="47DE66D6">
      <w:pPr>
        <w:pStyle w:val="WSParaNum"/>
        <w:numPr>
          <w:ilvl w:val="0"/>
          <w:numId w:val="0"/>
        </w:numPr>
        <w:spacing w:before="0" w:after="0"/>
      </w:pPr>
    </w:p>
    <w:p w14:paraId="6759C8F3" w14:textId="7721D787" w:rsidR="007E148D" w:rsidRPr="00362BF6" w:rsidRDefault="771F1A8E" w:rsidP="00566636">
      <w:pPr>
        <w:pStyle w:val="Heading3"/>
        <w:spacing w:before="0" w:after="0"/>
        <w:rPr>
          <w:rFonts w:ascii="Times New Roman" w:hAnsi="Times New Roman"/>
          <w:sz w:val="24"/>
          <w:szCs w:val="24"/>
        </w:rPr>
      </w:pPr>
      <w:bookmarkStart w:id="17" w:name="_Toc220076107"/>
      <w:r w:rsidRPr="47DE66D6">
        <w:rPr>
          <w:rFonts w:ascii="Times New Roman" w:hAnsi="Times New Roman"/>
          <w:sz w:val="24"/>
          <w:szCs w:val="24"/>
        </w:rPr>
        <w:t>T</w:t>
      </w:r>
      <w:r w:rsidR="007E148D" w:rsidRPr="47DE66D6">
        <w:rPr>
          <w:rFonts w:ascii="Times New Roman" w:hAnsi="Times New Roman"/>
          <w:sz w:val="24"/>
          <w:szCs w:val="24"/>
        </w:rPr>
        <w:t>he</w:t>
      </w:r>
      <w:r w:rsidR="007E148D" w:rsidRPr="4EA1081D">
        <w:rPr>
          <w:rFonts w:ascii="Times New Roman" w:hAnsi="Times New Roman"/>
          <w:sz w:val="24"/>
          <w:szCs w:val="24"/>
        </w:rPr>
        <w:t xml:space="preserve"> circumstantial evidence </w:t>
      </w:r>
      <w:r w:rsidR="7016D00D" w:rsidRPr="47EA898C">
        <w:rPr>
          <w:rFonts w:ascii="Times New Roman" w:hAnsi="Times New Roman"/>
          <w:sz w:val="24"/>
          <w:szCs w:val="24"/>
        </w:rPr>
        <w:t xml:space="preserve">could not lead to an inference </w:t>
      </w:r>
      <w:r w:rsidR="007E148D" w:rsidRPr="4EA1081D">
        <w:rPr>
          <w:rFonts w:ascii="Times New Roman" w:hAnsi="Times New Roman"/>
          <w:sz w:val="24"/>
          <w:szCs w:val="24"/>
        </w:rPr>
        <w:t xml:space="preserve">that </w:t>
      </w:r>
      <w:r w:rsidR="2DE076A3" w:rsidRPr="47DE66D6">
        <w:rPr>
          <w:rFonts w:ascii="Times New Roman" w:hAnsi="Times New Roman"/>
          <w:sz w:val="24"/>
          <w:szCs w:val="24"/>
        </w:rPr>
        <w:t>t</w:t>
      </w:r>
      <w:r w:rsidR="007E148D" w:rsidRPr="47DE66D6">
        <w:rPr>
          <w:rFonts w:ascii="Times New Roman" w:hAnsi="Times New Roman"/>
          <w:sz w:val="24"/>
          <w:szCs w:val="24"/>
        </w:rPr>
        <w:t>he</w:t>
      </w:r>
      <w:r w:rsidR="007E148D" w:rsidRPr="4EA1081D">
        <w:rPr>
          <w:rFonts w:ascii="Times New Roman" w:hAnsi="Times New Roman"/>
          <w:sz w:val="24"/>
          <w:szCs w:val="24"/>
        </w:rPr>
        <w:t xml:space="preserve"> Site was Blanding’s turtle habitat</w:t>
      </w:r>
      <w:bookmarkEnd w:id="17"/>
      <w:r w:rsidR="007E148D" w:rsidRPr="4EA1081D">
        <w:rPr>
          <w:rFonts w:ascii="Times New Roman" w:hAnsi="Times New Roman"/>
          <w:sz w:val="24"/>
          <w:szCs w:val="24"/>
        </w:rPr>
        <w:t xml:space="preserve"> </w:t>
      </w:r>
    </w:p>
    <w:p w14:paraId="1D191C27" w14:textId="77777777" w:rsidR="007E148D" w:rsidRPr="007E148D" w:rsidRDefault="007E148D" w:rsidP="00566636">
      <w:pPr>
        <w:pStyle w:val="WSParaNum"/>
        <w:numPr>
          <w:ilvl w:val="0"/>
          <w:numId w:val="0"/>
        </w:numPr>
        <w:spacing w:before="0" w:after="0"/>
      </w:pPr>
    </w:p>
    <w:p w14:paraId="6926E0CA" w14:textId="03464A06" w:rsidR="0007098C" w:rsidRDefault="00FC2B9B" w:rsidP="00566636">
      <w:pPr>
        <w:pStyle w:val="WSParaNum"/>
        <w:spacing w:before="0" w:after="0"/>
      </w:pPr>
      <w:r w:rsidRPr="004253B8">
        <w:t xml:space="preserve">The </w:t>
      </w:r>
      <w:r w:rsidR="004253B8" w:rsidRPr="004253B8">
        <w:t>T</w:t>
      </w:r>
      <w:r w:rsidR="00916BA1" w:rsidRPr="004253B8">
        <w:t xml:space="preserve">rial Justice’s misapprehension of the evidence in this case played “an essential part...in the reasoning process resulting in conviction.” Since the Crown did not present direct evidence, the </w:t>
      </w:r>
      <w:r w:rsidR="004253B8" w:rsidRPr="004253B8">
        <w:t>T</w:t>
      </w:r>
      <w:r w:rsidR="00916BA1" w:rsidRPr="004253B8">
        <w:t>rial Justice’s</w:t>
      </w:r>
      <w:r w:rsidR="00916BA1" w:rsidRPr="00916BA1">
        <w:t xml:space="preserve"> task of determining guilt was more complicated. The </w:t>
      </w:r>
      <w:r w:rsidR="002C5DA8">
        <w:t xml:space="preserve">appropriate </w:t>
      </w:r>
      <w:r w:rsidR="00916BA1" w:rsidRPr="00916BA1">
        <w:t xml:space="preserve">question then becomes whether </w:t>
      </w:r>
      <w:r w:rsidR="002C5DA8">
        <w:t xml:space="preserve">the </w:t>
      </w:r>
      <w:r w:rsidR="002C5DA8" w:rsidRPr="00466A95">
        <w:t>court</w:t>
      </w:r>
      <w:r w:rsidR="00916BA1" w:rsidRPr="00466A95">
        <w:t xml:space="preserve"> </w:t>
      </w:r>
      <w:r w:rsidR="62E600A2" w:rsidRPr="00466A95">
        <w:t>correctly</w:t>
      </w:r>
      <w:r w:rsidR="00916BA1" w:rsidRPr="00466A95">
        <w:t xml:space="preserve"> inferred</w:t>
      </w:r>
      <w:r w:rsidR="00916BA1" w:rsidRPr="00916BA1">
        <w:t xml:space="preserve"> from the circumstantial evidence that the Site was </w:t>
      </w:r>
      <w:r w:rsidR="002C5DA8">
        <w:t xml:space="preserve">Blanding’s turtle </w:t>
      </w:r>
      <w:r w:rsidR="00916BA1" w:rsidRPr="00916BA1">
        <w:t>habitat</w:t>
      </w:r>
      <w:r w:rsidR="00916BA1">
        <w:t>.</w:t>
      </w:r>
    </w:p>
    <w:p w14:paraId="420A48CE" w14:textId="198830F3" w:rsidR="00F53770" w:rsidRPr="00D678D8" w:rsidRDefault="00E43FC7" w:rsidP="00E43FC7">
      <w:pPr>
        <w:pStyle w:val="WSParaNum"/>
        <w:numPr>
          <w:ilvl w:val="0"/>
          <w:numId w:val="0"/>
        </w:numPr>
        <w:spacing w:before="0" w:after="0" w:line="240" w:lineRule="auto"/>
        <w:ind w:left="720" w:right="720"/>
        <w:rPr>
          <w:sz w:val="20"/>
          <w:szCs w:val="20"/>
        </w:rPr>
      </w:pPr>
      <w:r w:rsidRPr="00E43FC7">
        <w:rPr>
          <w:i/>
          <w:iCs/>
          <w:sz w:val="20"/>
          <w:szCs w:val="20"/>
          <w:lang w:val="en-GB"/>
        </w:rPr>
        <w:t>R v Lohrer</w:t>
      </w:r>
      <w:r w:rsidRPr="00E43FC7">
        <w:rPr>
          <w:sz w:val="20"/>
          <w:szCs w:val="20"/>
          <w:lang w:val="en-GB"/>
        </w:rPr>
        <w:t>, 2004 SCC 80 at 2</w:t>
      </w:r>
      <w:r w:rsidR="00F53770" w:rsidRPr="00D678D8">
        <w:rPr>
          <w:sz w:val="20"/>
          <w:szCs w:val="20"/>
        </w:rPr>
        <w:t>.</w:t>
      </w:r>
    </w:p>
    <w:p w14:paraId="1F97DC08" w14:textId="77777777" w:rsidR="00F53770" w:rsidRPr="00D678D8" w:rsidRDefault="00F53770" w:rsidP="00F53770">
      <w:pPr>
        <w:pStyle w:val="WSParaNum"/>
        <w:numPr>
          <w:ilvl w:val="0"/>
          <w:numId w:val="0"/>
        </w:numPr>
        <w:spacing w:before="0" w:after="0" w:line="240" w:lineRule="auto"/>
        <w:ind w:left="720" w:right="720"/>
        <w:rPr>
          <w:sz w:val="20"/>
          <w:szCs w:val="20"/>
        </w:rPr>
      </w:pPr>
    </w:p>
    <w:p w14:paraId="1FE0E68A" w14:textId="5DE94964" w:rsidR="00F53770" w:rsidRDefault="00E76D3D" w:rsidP="00E76D3D">
      <w:pPr>
        <w:pStyle w:val="WSParaNum"/>
        <w:numPr>
          <w:ilvl w:val="0"/>
          <w:numId w:val="0"/>
        </w:numPr>
        <w:spacing w:before="0" w:after="0" w:line="240" w:lineRule="auto"/>
        <w:ind w:firstLine="720"/>
        <w:rPr>
          <w:sz w:val="20"/>
          <w:szCs w:val="20"/>
        </w:rPr>
      </w:pPr>
      <w:r w:rsidRPr="00E76D3D">
        <w:rPr>
          <w:i/>
          <w:iCs/>
          <w:sz w:val="20"/>
          <w:szCs w:val="20"/>
          <w:lang w:val="en-US"/>
        </w:rPr>
        <w:t>R v Arcuri</w:t>
      </w:r>
      <w:r w:rsidRPr="00E76D3D">
        <w:rPr>
          <w:sz w:val="20"/>
          <w:szCs w:val="20"/>
          <w:lang w:val="en-US"/>
        </w:rPr>
        <w:t>, 2001 SCC 54 at para 23 [</w:t>
      </w:r>
      <w:r w:rsidRPr="00E76D3D">
        <w:rPr>
          <w:i/>
          <w:iCs/>
          <w:sz w:val="20"/>
          <w:szCs w:val="20"/>
          <w:lang w:val="en-US"/>
        </w:rPr>
        <w:t>Arcuri</w:t>
      </w:r>
      <w:r w:rsidRPr="00E76D3D">
        <w:rPr>
          <w:sz w:val="20"/>
          <w:szCs w:val="20"/>
          <w:lang w:val="en-US"/>
        </w:rPr>
        <w:t>]</w:t>
      </w:r>
      <w:r w:rsidR="00F53770" w:rsidRPr="00D678D8">
        <w:rPr>
          <w:sz w:val="20"/>
          <w:szCs w:val="20"/>
        </w:rPr>
        <w:t>.</w:t>
      </w:r>
    </w:p>
    <w:p w14:paraId="11F9087D" w14:textId="77777777" w:rsidR="00F53770" w:rsidRDefault="00F53770" w:rsidP="00F53770">
      <w:pPr>
        <w:pStyle w:val="WSParaNum"/>
        <w:numPr>
          <w:ilvl w:val="0"/>
          <w:numId w:val="0"/>
        </w:numPr>
        <w:spacing w:before="0" w:after="0" w:line="240" w:lineRule="auto"/>
        <w:ind w:firstLine="720"/>
        <w:rPr>
          <w:sz w:val="20"/>
          <w:szCs w:val="20"/>
        </w:rPr>
      </w:pPr>
    </w:p>
    <w:p w14:paraId="19C75A69" w14:textId="49100C25" w:rsidR="00F53770" w:rsidRPr="004253B8" w:rsidRDefault="00393AFF" w:rsidP="00F53770">
      <w:pPr>
        <w:pStyle w:val="WSParaNum"/>
        <w:numPr>
          <w:ilvl w:val="0"/>
          <w:numId w:val="0"/>
        </w:numPr>
        <w:spacing w:before="0" w:after="0"/>
        <w:ind w:firstLine="720"/>
        <w:rPr>
          <w:sz w:val="20"/>
          <w:szCs w:val="20"/>
        </w:rPr>
      </w:pPr>
      <w:r w:rsidRPr="004253B8">
        <w:rPr>
          <w:rStyle w:val="normaltextrun"/>
          <w:i/>
          <w:iCs/>
          <w:color w:val="000000"/>
          <w:sz w:val="20"/>
          <w:szCs w:val="20"/>
          <w:shd w:val="clear" w:color="auto" w:fill="FFFFFF"/>
          <w:lang w:val="en-US"/>
        </w:rPr>
        <w:t>R v Cinous</w:t>
      </w:r>
      <w:r w:rsidRPr="004253B8">
        <w:rPr>
          <w:rStyle w:val="normaltextrun"/>
          <w:color w:val="000000"/>
          <w:sz w:val="20"/>
          <w:szCs w:val="20"/>
          <w:shd w:val="clear" w:color="auto" w:fill="FFFFFF"/>
          <w:lang w:val="en-US"/>
        </w:rPr>
        <w:t>, 2002 SCC 29 at para 89</w:t>
      </w:r>
      <w:r w:rsidR="00F53770" w:rsidRPr="004253B8">
        <w:rPr>
          <w:sz w:val="20"/>
          <w:szCs w:val="20"/>
        </w:rPr>
        <w:t>.</w:t>
      </w:r>
    </w:p>
    <w:p w14:paraId="279BE07F" w14:textId="77777777" w:rsidR="00F53770" w:rsidRPr="004253B8" w:rsidRDefault="00F53770" w:rsidP="00F53770">
      <w:pPr>
        <w:pStyle w:val="WSParaNum"/>
        <w:numPr>
          <w:ilvl w:val="0"/>
          <w:numId w:val="0"/>
        </w:numPr>
        <w:spacing w:before="0" w:after="0"/>
      </w:pPr>
    </w:p>
    <w:p w14:paraId="134120EE" w14:textId="554661D3" w:rsidR="20D4EA54" w:rsidRPr="004253B8" w:rsidRDefault="00916BA1" w:rsidP="4D52CBA3">
      <w:pPr>
        <w:pStyle w:val="WSParaNum"/>
        <w:spacing w:before="0" w:after="0"/>
      </w:pPr>
      <w:r w:rsidRPr="004253B8">
        <w:t xml:space="preserve">Where </w:t>
      </w:r>
      <w:r w:rsidR="00DB1826" w:rsidRPr="004253B8">
        <w:t xml:space="preserve">the Crown’s case depends on circumstantial evidence, the Supreme Court of Canada (“SCC”) has clarified that the Crown has failed to meet its standard of proof beyond a reasonable doubt if the trier of fact can draw reasonable inferences other than guilt. In this case, the </w:t>
      </w:r>
      <w:r w:rsidR="004253B8" w:rsidRPr="004253B8">
        <w:t>T</w:t>
      </w:r>
      <w:r w:rsidR="00DB1826" w:rsidRPr="004253B8">
        <w:t>rial Justice’s reliance on inconclusive circumstantial evidence did not eliminate reasonable inferences that the Site was not Blanding’s turtle habitat.</w:t>
      </w:r>
      <w:r w:rsidR="00F320B3" w:rsidRPr="004253B8">
        <w:t xml:space="preserve"> </w:t>
      </w:r>
      <w:r w:rsidR="033175A1" w:rsidRPr="004253B8">
        <w:t>For example, when considering the full definition</w:t>
      </w:r>
      <w:r w:rsidR="006F6EEC" w:rsidRPr="004253B8">
        <w:t xml:space="preserve"> of habitat</w:t>
      </w:r>
      <w:r w:rsidR="033175A1" w:rsidRPr="004253B8">
        <w:t xml:space="preserve">, </w:t>
      </w:r>
      <w:r w:rsidR="3155EDA2" w:rsidRPr="004253B8">
        <w:t>a trier of fact</w:t>
      </w:r>
      <w:r w:rsidR="033175A1" w:rsidRPr="004253B8">
        <w:t xml:space="preserve"> could </w:t>
      </w:r>
      <w:r w:rsidR="6EAFB6B1" w:rsidRPr="004253B8">
        <w:t xml:space="preserve">reasonably </w:t>
      </w:r>
      <w:r w:rsidR="033175A1" w:rsidRPr="004253B8">
        <w:t>infer th</w:t>
      </w:r>
      <w:r w:rsidR="744AD7CA" w:rsidRPr="004253B8">
        <w:t>at the</w:t>
      </w:r>
      <w:r w:rsidR="03A77A25" w:rsidRPr="004253B8">
        <w:t xml:space="preserve"> evidence suggested </w:t>
      </w:r>
      <w:r w:rsidR="033175A1" w:rsidRPr="004253B8">
        <w:t xml:space="preserve">that the </w:t>
      </w:r>
      <w:r w:rsidR="03A77A25" w:rsidRPr="004253B8">
        <w:t xml:space="preserve">Site </w:t>
      </w:r>
      <w:r w:rsidR="033175A1" w:rsidRPr="00DB427D">
        <w:rPr>
          <w:b/>
          <w:bCs/>
        </w:rPr>
        <w:t>m</w:t>
      </w:r>
      <w:r w:rsidR="0C0E7F07" w:rsidRPr="00DB427D">
        <w:rPr>
          <w:b/>
          <w:bCs/>
        </w:rPr>
        <w:t>ight</w:t>
      </w:r>
      <w:r w:rsidR="033175A1" w:rsidRPr="00DB427D">
        <w:rPr>
          <w:b/>
          <w:bCs/>
        </w:rPr>
        <w:t xml:space="preserve"> </w:t>
      </w:r>
      <w:r w:rsidR="7C914C50" w:rsidRPr="00DB427D">
        <w:rPr>
          <w:b/>
          <w:bCs/>
        </w:rPr>
        <w:t>be suitable for</w:t>
      </w:r>
      <w:r w:rsidR="033175A1" w:rsidRPr="00DB427D">
        <w:rPr>
          <w:b/>
          <w:bCs/>
        </w:rPr>
        <w:t xml:space="preserve"> future habitat or had once been habitat</w:t>
      </w:r>
      <w:r w:rsidR="033175A1" w:rsidRPr="004253B8">
        <w:t xml:space="preserve">, rather than being </w:t>
      </w:r>
      <w:r w:rsidR="00A72256" w:rsidRPr="004253B8">
        <w:t>current</w:t>
      </w:r>
      <w:r w:rsidR="033175A1" w:rsidRPr="004253B8">
        <w:t xml:space="preserve"> habitat.</w:t>
      </w:r>
      <w:r w:rsidR="24E5401E" w:rsidRPr="004253B8">
        <w:t xml:space="preserve"> </w:t>
      </w:r>
      <w:r w:rsidR="3DB320D8" w:rsidRPr="004253B8">
        <w:t xml:space="preserve">Additionally, the evidence could </w:t>
      </w:r>
      <w:r w:rsidR="13BBE2AD" w:rsidRPr="004253B8">
        <w:t>reasonably</w:t>
      </w:r>
      <w:r w:rsidR="63260648" w:rsidRPr="004253B8">
        <w:t xml:space="preserve"> support a</w:t>
      </w:r>
      <w:r w:rsidR="3DB320D8" w:rsidRPr="004253B8">
        <w:t xml:space="preserve"> conclusion that the Site was correctly </w:t>
      </w:r>
      <w:r w:rsidR="00F1210D">
        <w:t>identified</w:t>
      </w:r>
      <w:r w:rsidR="3DB320D8" w:rsidRPr="004253B8">
        <w:t xml:space="preserve"> a</w:t>
      </w:r>
      <w:r w:rsidR="00F1210D">
        <w:t>s</w:t>
      </w:r>
      <w:r w:rsidR="3DB320D8" w:rsidRPr="004253B8">
        <w:t xml:space="preserve"> Category 2 habitat </w:t>
      </w:r>
      <w:r w:rsidR="73A0E141" w:rsidRPr="004253B8">
        <w:t xml:space="preserve">but </w:t>
      </w:r>
      <w:r w:rsidR="3DB320D8" w:rsidRPr="004253B8">
        <w:t xml:space="preserve">not proving </w:t>
      </w:r>
      <w:r w:rsidR="2A06C1D3" w:rsidRPr="004253B8">
        <w:t>habitation</w:t>
      </w:r>
      <w:r w:rsidR="3DB320D8" w:rsidRPr="004253B8">
        <w:t xml:space="preserve"> by Blanding’s turtles</w:t>
      </w:r>
      <w:r w:rsidR="33175B94" w:rsidRPr="004253B8">
        <w:t>.</w:t>
      </w:r>
    </w:p>
    <w:p w14:paraId="114860D7" w14:textId="717E1D5D" w:rsidR="00393AFF" w:rsidRDefault="00E04BCC" w:rsidP="00393AFF">
      <w:pPr>
        <w:pStyle w:val="WSParaNum"/>
        <w:numPr>
          <w:ilvl w:val="0"/>
          <w:numId w:val="0"/>
        </w:numPr>
        <w:spacing w:before="0" w:after="0"/>
        <w:ind w:firstLine="720"/>
      </w:pPr>
      <w:r>
        <w:rPr>
          <w:rStyle w:val="normaltextrun"/>
          <w:i/>
          <w:iCs/>
          <w:color w:val="1F1F1F"/>
          <w:sz w:val="20"/>
          <w:szCs w:val="20"/>
          <w:lang w:val="en-GB"/>
        </w:rPr>
        <w:t>R v Villaroman</w:t>
      </w:r>
      <w:r>
        <w:rPr>
          <w:rStyle w:val="normaltextrun"/>
          <w:color w:val="1F1F1F"/>
          <w:sz w:val="20"/>
          <w:szCs w:val="20"/>
          <w:lang w:val="en-GB"/>
        </w:rPr>
        <w:t>, 2016 SCC 33 at paras 35, 55</w:t>
      </w:r>
      <w:r w:rsidR="00393AFF">
        <w:rPr>
          <w:sz w:val="20"/>
          <w:szCs w:val="20"/>
        </w:rPr>
        <w:t>.</w:t>
      </w:r>
    </w:p>
    <w:p w14:paraId="755ADA0E" w14:textId="77777777" w:rsidR="00206973" w:rsidRPr="00206973" w:rsidRDefault="00206973" w:rsidP="00206973">
      <w:pPr>
        <w:spacing w:line="360" w:lineRule="auto"/>
      </w:pPr>
    </w:p>
    <w:p w14:paraId="22F7D8F4" w14:textId="56C7E8EA" w:rsidR="008C63D1" w:rsidRPr="005369A9" w:rsidRDefault="00584930" w:rsidP="00542BD6">
      <w:pPr>
        <w:pStyle w:val="WSParaNum"/>
        <w:spacing w:before="0" w:after="0"/>
      </w:pPr>
      <w:r w:rsidRPr="004253B8">
        <w:t xml:space="preserve">The </w:t>
      </w:r>
      <w:r w:rsidR="004253B8" w:rsidRPr="004253B8">
        <w:rPr>
          <w:lang w:val="en-US"/>
        </w:rPr>
        <w:t>T</w:t>
      </w:r>
      <w:r w:rsidR="00542BD6" w:rsidRPr="004253B8">
        <w:rPr>
          <w:lang w:val="en-US"/>
        </w:rPr>
        <w:t>rial Justice should have engaged in “a limited weighing of the evidence because, with circumstantial evidence...there is an inferential gap between the evidence and the matter to be established.” </w:t>
      </w:r>
      <w:r w:rsidR="00F320B3" w:rsidRPr="004253B8">
        <w:rPr>
          <w:lang w:val="en-US"/>
        </w:rPr>
        <w:t xml:space="preserve">The </w:t>
      </w:r>
      <w:r w:rsidR="004253B8" w:rsidRPr="004253B8">
        <w:rPr>
          <w:lang w:val="en-US"/>
        </w:rPr>
        <w:t>T</w:t>
      </w:r>
      <w:r w:rsidR="0022045D" w:rsidRPr="004253B8">
        <w:rPr>
          <w:lang w:val="en-US"/>
        </w:rPr>
        <w:t xml:space="preserve">rial </w:t>
      </w:r>
      <w:r w:rsidR="00F320B3" w:rsidRPr="004253B8">
        <w:rPr>
          <w:lang w:val="en-US"/>
        </w:rPr>
        <w:t>Justice</w:t>
      </w:r>
      <w:r w:rsidR="00542BD6" w:rsidRPr="004253B8">
        <w:rPr>
          <w:lang w:val="en-US"/>
        </w:rPr>
        <w:t xml:space="preserve"> should</w:t>
      </w:r>
      <w:r w:rsidR="00542BD6" w:rsidRPr="00542BD6">
        <w:rPr>
          <w:lang w:val="en-US"/>
        </w:rPr>
        <w:t xml:space="preserve"> have asked “only whether the evidence, </w:t>
      </w:r>
      <w:r w:rsidR="00542BD6" w:rsidRPr="00DB427D">
        <w:rPr>
          <w:b/>
          <w:bCs/>
          <w:lang w:val="en-US"/>
        </w:rPr>
        <w:t>if believed</w:t>
      </w:r>
      <w:r w:rsidR="00542BD6" w:rsidRPr="00542BD6">
        <w:rPr>
          <w:lang w:val="en-US"/>
        </w:rPr>
        <w:t>, could reasonably support an inference of guilt” instead of making a finding of guilt</w:t>
      </w:r>
      <w:r w:rsidR="00542BD6">
        <w:rPr>
          <w:lang w:val="en-US"/>
        </w:rPr>
        <w:t>.</w:t>
      </w:r>
    </w:p>
    <w:p w14:paraId="56814438" w14:textId="1538FE9D" w:rsidR="005369A9" w:rsidRDefault="00266F39" w:rsidP="005369A9">
      <w:pPr>
        <w:pStyle w:val="WSParaNum"/>
        <w:numPr>
          <w:ilvl w:val="0"/>
          <w:numId w:val="0"/>
        </w:numPr>
        <w:spacing w:before="0" w:after="0"/>
        <w:ind w:firstLine="720"/>
      </w:pPr>
      <w:r>
        <w:rPr>
          <w:rStyle w:val="normaltextrun"/>
          <w:i/>
          <w:iCs/>
          <w:color w:val="000000"/>
          <w:sz w:val="20"/>
          <w:szCs w:val="20"/>
          <w:shd w:val="clear" w:color="auto" w:fill="FFFFFF"/>
          <w:lang w:val="en-US"/>
        </w:rPr>
        <w:t>Arcuri </w:t>
      </w:r>
      <w:r>
        <w:rPr>
          <w:rStyle w:val="normaltextrun"/>
          <w:color w:val="000000"/>
          <w:sz w:val="20"/>
          <w:szCs w:val="20"/>
          <w:shd w:val="clear" w:color="auto" w:fill="FFFFFF"/>
          <w:lang w:val="en-US"/>
        </w:rPr>
        <w:t>at para 23</w:t>
      </w:r>
      <w:r w:rsidR="005369A9">
        <w:rPr>
          <w:sz w:val="20"/>
          <w:szCs w:val="20"/>
        </w:rPr>
        <w:t>.</w:t>
      </w:r>
    </w:p>
    <w:p w14:paraId="2ED644AF" w14:textId="77777777" w:rsidR="005369A9" w:rsidRDefault="005369A9" w:rsidP="005369A9">
      <w:pPr>
        <w:pStyle w:val="WSParaNum"/>
        <w:numPr>
          <w:ilvl w:val="0"/>
          <w:numId w:val="0"/>
        </w:numPr>
        <w:spacing w:before="0" w:after="0"/>
      </w:pPr>
    </w:p>
    <w:p w14:paraId="13B75AF6" w14:textId="6B716AC6" w:rsidR="700867EA" w:rsidRPr="004253B8" w:rsidRDefault="00542BD6" w:rsidP="008627CE">
      <w:pPr>
        <w:pStyle w:val="WSParaNum"/>
        <w:spacing w:before="0" w:after="0"/>
      </w:pPr>
      <w:r w:rsidRPr="004253B8">
        <w:t xml:space="preserve">In </w:t>
      </w:r>
      <w:r w:rsidR="003578E9" w:rsidRPr="004253B8">
        <w:t xml:space="preserve">convicting CHL, the </w:t>
      </w:r>
      <w:r w:rsidR="004253B8" w:rsidRPr="004253B8">
        <w:t>T</w:t>
      </w:r>
      <w:r w:rsidR="003578E9" w:rsidRPr="004253B8">
        <w:t>rial Justice placed too much weight on the circumstantial evidence. The weight attributed to circumstantial evidence depends on the strength of the inference that the trier of fact draws from it.</w:t>
      </w:r>
      <w:r w:rsidR="00F320B3" w:rsidRPr="004253B8">
        <w:t xml:space="preserve"> </w:t>
      </w:r>
      <w:r w:rsidR="45AB691F" w:rsidRPr="004253B8">
        <w:t>I</w:t>
      </w:r>
      <w:r w:rsidR="700867EA" w:rsidRPr="004253B8">
        <w:t xml:space="preserve">f </w:t>
      </w:r>
      <w:r w:rsidR="00841677" w:rsidRPr="004253B8">
        <w:t xml:space="preserve">the circumstantial evidence was </w:t>
      </w:r>
      <w:r w:rsidR="700867EA" w:rsidRPr="004253B8">
        <w:t xml:space="preserve">considered under the proper definition of habitat, </w:t>
      </w:r>
      <w:r w:rsidR="3C60DEFA" w:rsidRPr="004253B8">
        <w:t xml:space="preserve">the strength of the inference </w:t>
      </w:r>
      <w:r w:rsidR="006400CD" w:rsidRPr="004253B8">
        <w:t xml:space="preserve">would be </w:t>
      </w:r>
      <w:r w:rsidR="700867EA" w:rsidRPr="004253B8">
        <w:t>insufficient to find that CHL had committed the alleged offence beyond a reasonable doubt.</w:t>
      </w:r>
    </w:p>
    <w:p w14:paraId="7F009433" w14:textId="5F8E2279" w:rsidR="00266F39" w:rsidRDefault="00881F28" w:rsidP="00266F39">
      <w:pPr>
        <w:pStyle w:val="WSParaNum"/>
        <w:numPr>
          <w:ilvl w:val="0"/>
          <w:numId w:val="0"/>
        </w:numPr>
        <w:spacing w:before="0" w:after="0"/>
        <w:ind w:firstLine="720"/>
      </w:pPr>
      <w:r>
        <w:rPr>
          <w:rStyle w:val="normaltextrun"/>
          <w:i/>
          <w:iCs/>
          <w:color w:val="1F1F1F"/>
          <w:sz w:val="20"/>
          <w:szCs w:val="20"/>
          <w:shd w:val="clear" w:color="auto" w:fill="FFFFFF"/>
          <w:lang w:val="en-US"/>
        </w:rPr>
        <w:t>Glover v Toronto (City)</w:t>
      </w:r>
      <w:r>
        <w:rPr>
          <w:rStyle w:val="normaltextrun"/>
          <w:color w:val="1F1F1F"/>
          <w:sz w:val="20"/>
          <w:szCs w:val="20"/>
          <w:shd w:val="clear" w:color="auto" w:fill="FFFFFF"/>
          <w:lang w:val="en-US"/>
        </w:rPr>
        <w:t>, 2009 CanLII 16740 (ONSC) at para 49</w:t>
      </w:r>
      <w:r w:rsidR="00266F39">
        <w:rPr>
          <w:sz w:val="20"/>
          <w:szCs w:val="20"/>
        </w:rPr>
        <w:t>.</w:t>
      </w:r>
    </w:p>
    <w:p w14:paraId="778CFEAB" w14:textId="259D89F7" w:rsidR="00266F39" w:rsidRDefault="00266F39" w:rsidP="00266F39">
      <w:pPr>
        <w:pStyle w:val="WSParaNum"/>
        <w:numPr>
          <w:ilvl w:val="0"/>
          <w:numId w:val="0"/>
        </w:numPr>
        <w:spacing w:before="0" w:after="0"/>
      </w:pPr>
    </w:p>
    <w:p w14:paraId="0EBE914F" w14:textId="559883C4" w:rsidR="00517CAD" w:rsidRDefault="003578E9" w:rsidP="00517CAD">
      <w:pPr>
        <w:pStyle w:val="WSParaNum"/>
        <w:spacing w:before="0" w:after="0"/>
      </w:pPr>
      <w:r>
        <w:t xml:space="preserve">Thus, </w:t>
      </w:r>
      <w:r w:rsidR="005369A9" w:rsidRPr="004253B8">
        <w:t>the Trial Justice</w:t>
      </w:r>
      <w:r w:rsidR="005369A9" w:rsidRPr="005369A9">
        <w:t xml:space="preserve"> erred by inferring the Site was Blanding’s turtle habitat at the time of the alleged offence based on inconclusive circumstantial evidence, and the OCJ properly corrected the error</w:t>
      </w:r>
      <w:r w:rsidR="005369A9">
        <w:t>.</w:t>
      </w:r>
    </w:p>
    <w:p w14:paraId="7934BC9D" w14:textId="37862173" w:rsidR="4DE51A6B" w:rsidRDefault="4DE51A6B" w:rsidP="4DE51A6B">
      <w:pPr>
        <w:pStyle w:val="WSParaNum"/>
        <w:numPr>
          <w:ilvl w:val="0"/>
          <w:numId w:val="0"/>
        </w:numPr>
        <w:spacing w:before="0" w:after="0"/>
      </w:pPr>
    </w:p>
    <w:p w14:paraId="09D92FE9" w14:textId="77777777" w:rsidR="00206973" w:rsidRDefault="00206973" w:rsidP="00206973">
      <w:pPr>
        <w:pStyle w:val="WSParaNum"/>
        <w:numPr>
          <w:ilvl w:val="0"/>
          <w:numId w:val="0"/>
        </w:numPr>
        <w:spacing w:before="0" w:after="0"/>
      </w:pPr>
    </w:p>
    <w:p w14:paraId="3FD94DBB" w14:textId="2FABB203" w:rsidR="00517CAD" w:rsidRPr="00362BF6" w:rsidRDefault="00881F28" w:rsidP="00514373">
      <w:pPr>
        <w:pStyle w:val="Heading3"/>
        <w:spacing w:before="0" w:after="0"/>
        <w:rPr>
          <w:rFonts w:ascii="Times New Roman" w:hAnsi="Times New Roman"/>
          <w:bCs w:val="0"/>
          <w:sz w:val="24"/>
          <w:szCs w:val="24"/>
        </w:rPr>
      </w:pPr>
      <w:bookmarkStart w:id="18" w:name="_Toc220076108"/>
      <w:r w:rsidRPr="004253B8">
        <w:rPr>
          <w:rFonts w:ascii="Times New Roman" w:hAnsi="Times New Roman"/>
          <w:bCs w:val="0"/>
          <w:sz w:val="24"/>
          <w:szCs w:val="24"/>
        </w:rPr>
        <w:lastRenderedPageBreak/>
        <w:t xml:space="preserve">The </w:t>
      </w:r>
      <w:r w:rsidR="00804D1A" w:rsidRPr="004253B8">
        <w:rPr>
          <w:rFonts w:ascii="Times New Roman" w:hAnsi="Times New Roman"/>
          <w:bCs w:val="0"/>
          <w:sz w:val="24"/>
          <w:szCs w:val="24"/>
          <w:lang w:val="en-US"/>
        </w:rPr>
        <w:t>Trial Justice</w:t>
      </w:r>
      <w:r w:rsidR="00804D1A" w:rsidRPr="00362BF6">
        <w:rPr>
          <w:rFonts w:ascii="Times New Roman" w:hAnsi="Times New Roman"/>
          <w:bCs w:val="0"/>
          <w:sz w:val="24"/>
          <w:szCs w:val="24"/>
          <w:lang w:val="en-US"/>
        </w:rPr>
        <w:t> failed to consider </w:t>
      </w:r>
      <w:r w:rsidR="00804D1A" w:rsidRPr="00362BF6">
        <w:rPr>
          <w:rFonts w:ascii="Times New Roman" w:hAnsi="Times New Roman"/>
          <w:bCs w:val="0"/>
          <w:i/>
          <w:iCs/>
          <w:sz w:val="24"/>
          <w:szCs w:val="24"/>
          <w:lang w:val="en-US"/>
        </w:rPr>
        <w:t>ESA </w:t>
      </w:r>
      <w:r w:rsidR="00804D1A" w:rsidRPr="00362BF6">
        <w:rPr>
          <w:rFonts w:ascii="Times New Roman" w:hAnsi="Times New Roman"/>
          <w:bCs w:val="0"/>
          <w:sz w:val="24"/>
          <w:szCs w:val="24"/>
          <w:lang w:val="en-US"/>
        </w:rPr>
        <w:t>s. 2(2) when weighing the circumstantial evidence</w:t>
      </w:r>
      <w:bookmarkEnd w:id="18"/>
      <w:r w:rsidR="00804D1A" w:rsidRPr="00362BF6">
        <w:rPr>
          <w:rFonts w:ascii="Times New Roman" w:hAnsi="Times New Roman"/>
          <w:bCs w:val="0"/>
          <w:sz w:val="24"/>
          <w:szCs w:val="24"/>
        </w:rPr>
        <w:t> </w:t>
      </w:r>
    </w:p>
    <w:p w14:paraId="314CE0F6" w14:textId="77777777" w:rsidR="00206973" w:rsidRPr="00206973" w:rsidRDefault="00206973" w:rsidP="00514373">
      <w:pPr>
        <w:spacing w:line="360" w:lineRule="auto"/>
      </w:pPr>
    </w:p>
    <w:p w14:paraId="0E87C419" w14:textId="09E839DC" w:rsidR="00517CAD" w:rsidRDefault="00804D1A" w:rsidP="00517CAD">
      <w:pPr>
        <w:pStyle w:val="WSParaNum"/>
        <w:spacing w:before="0" w:after="0"/>
      </w:pPr>
      <w:r w:rsidRPr="004253B8">
        <w:t xml:space="preserve">The </w:t>
      </w:r>
      <w:r w:rsidR="004253B8" w:rsidRPr="004253B8">
        <w:t>T</w:t>
      </w:r>
      <w:r w:rsidR="006B5E0C" w:rsidRPr="004253B8">
        <w:t>rial Justice</w:t>
      </w:r>
      <w:r w:rsidR="2F0AD0F4" w:rsidRPr="004253B8">
        <w:t xml:space="preserve"> failed </w:t>
      </w:r>
      <w:r w:rsidR="006B5E0C" w:rsidRPr="004253B8">
        <w:t>to consider</w:t>
      </w:r>
      <w:r w:rsidR="006B5E0C">
        <w:t xml:space="preserve"> </w:t>
      </w:r>
      <w:r w:rsidR="006B5E0C" w:rsidRPr="1E6C6A4F">
        <w:rPr>
          <w:i/>
          <w:iCs/>
        </w:rPr>
        <w:t>ESA</w:t>
      </w:r>
      <w:r w:rsidR="006B5E0C">
        <w:t xml:space="preserve"> s.</w:t>
      </w:r>
      <w:r w:rsidR="006B5E0C" w:rsidRPr="006B5E0C">
        <w:t xml:space="preserve"> 2(2) in </w:t>
      </w:r>
      <w:r w:rsidR="000F38E6">
        <w:t>their</w:t>
      </w:r>
      <w:r w:rsidR="006B5E0C" w:rsidRPr="006B5E0C">
        <w:t xml:space="preserve"> analysis of the evidence. This section clarifies the definition of “habitat” in s. 2(1)(b) by expressly excluding areas where the species “formerly occurred” or has “the potential to be reintroduced.” These areas constitute past and future forms of habitat</w:t>
      </w:r>
      <w:r w:rsidR="00F320B3">
        <w:t xml:space="preserve"> and are not to be factored in when determining what constitutes a habitat</w:t>
      </w:r>
      <w:r w:rsidR="006B5E0C">
        <w:t>.</w:t>
      </w:r>
    </w:p>
    <w:p w14:paraId="4EF4199A" w14:textId="13A6D5E3" w:rsidR="00244FAE" w:rsidRDefault="003F68DB" w:rsidP="00244FAE">
      <w:pPr>
        <w:pStyle w:val="WSParaNum"/>
        <w:numPr>
          <w:ilvl w:val="0"/>
          <w:numId w:val="0"/>
        </w:numPr>
        <w:spacing w:before="0" w:after="0"/>
        <w:ind w:firstLine="720"/>
      </w:pPr>
      <w:r>
        <w:rPr>
          <w:rStyle w:val="normaltextrun"/>
          <w:i/>
          <w:iCs/>
          <w:color w:val="1A1A1A"/>
          <w:sz w:val="20"/>
          <w:szCs w:val="20"/>
          <w:shd w:val="clear" w:color="auto" w:fill="FFFFFF"/>
          <w:lang w:val="en-US"/>
        </w:rPr>
        <w:t>ESA</w:t>
      </w:r>
      <w:r>
        <w:rPr>
          <w:rStyle w:val="normaltextrun"/>
          <w:color w:val="1A1A1A"/>
          <w:sz w:val="20"/>
          <w:szCs w:val="20"/>
          <w:shd w:val="clear" w:color="auto" w:fill="FFFFFF"/>
          <w:lang w:val="en-US"/>
        </w:rPr>
        <w:t>, s 2(2)</w:t>
      </w:r>
      <w:r w:rsidR="00244FAE">
        <w:rPr>
          <w:sz w:val="20"/>
          <w:szCs w:val="20"/>
        </w:rPr>
        <w:t>.</w:t>
      </w:r>
    </w:p>
    <w:p w14:paraId="66F025DC" w14:textId="77777777" w:rsidR="00244FAE" w:rsidRDefault="00244FAE" w:rsidP="00244FAE">
      <w:pPr>
        <w:pStyle w:val="WSParaNum"/>
        <w:numPr>
          <w:ilvl w:val="0"/>
          <w:numId w:val="0"/>
        </w:numPr>
        <w:spacing w:before="0" w:after="0"/>
      </w:pPr>
    </w:p>
    <w:p w14:paraId="251AAF81" w14:textId="6530CB91" w:rsidR="00517CAD" w:rsidRDefault="00E247D2" w:rsidP="00517CAD">
      <w:pPr>
        <w:pStyle w:val="WSParaNum"/>
        <w:spacing w:before="0" w:after="0"/>
      </w:pPr>
      <w:r>
        <w:t xml:space="preserve">No </w:t>
      </w:r>
      <w:r w:rsidR="00983424" w:rsidRPr="00983424">
        <w:t xml:space="preserve">Blanding’s turtles were observed at the Site at the time of the alleged offence. Yet the </w:t>
      </w:r>
      <w:r w:rsidR="00983424" w:rsidRPr="004253B8">
        <w:t>Trial Justice relied</w:t>
      </w:r>
      <w:r w:rsidR="00983424" w:rsidRPr="00983424">
        <w:t xml:space="preserve"> on circumstantial evidence from five non-expert witnesses and one expert witness to incorrectly infer that the Site was Blanding’s turtle habitat at that time</w:t>
      </w:r>
      <w:r w:rsidR="00C108DB">
        <w:t>.</w:t>
      </w:r>
    </w:p>
    <w:p w14:paraId="13C1EB0D" w14:textId="114A5E97" w:rsidR="00112469" w:rsidRDefault="00112469" w:rsidP="00112469">
      <w:pPr>
        <w:pStyle w:val="WSParaNum"/>
        <w:numPr>
          <w:ilvl w:val="0"/>
          <w:numId w:val="0"/>
        </w:numPr>
        <w:spacing w:before="0" w:after="0"/>
        <w:ind w:firstLine="720"/>
      </w:pPr>
      <w:r>
        <w:rPr>
          <w:sz w:val="20"/>
          <w:szCs w:val="20"/>
        </w:rPr>
        <w:t xml:space="preserve">Trial decision at </w:t>
      </w:r>
      <w:r w:rsidR="0006446A">
        <w:rPr>
          <w:sz w:val="20"/>
          <w:szCs w:val="20"/>
        </w:rPr>
        <w:t>13–14</w:t>
      </w:r>
      <w:r>
        <w:rPr>
          <w:sz w:val="20"/>
          <w:szCs w:val="20"/>
        </w:rPr>
        <w:t>.</w:t>
      </w:r>
    </w:p>
    <w:p w14:paraId="6630A599" w14:textId="77777777" w:rsidR="00E247D2" w:rsidRDefault="00E247D2" w:rsidP="00112469">
      <w:pPr>
        <w:pStyle w:val="WSParaNum"/>
        <w:numPr>
          <w:ilvl w:val="0"/>
          <w:numId w:val="0"/>
        </w:numPr>
        <w:spacing w:before="0" w:after="0"/>
      </w:pPr>
    </w:p>
    <w:p w14:paraId="0BCBC082" w14:textId="209208CC" w:rsidR="00517CAD" w:rsidRPr="00362BF6" w:rsidRDefault="00507162" w:rsidP="00321E0D">
      <w:pPr>
        <w:pStyle w:val="Heading3"/>
        <w:spacing w:before="0" w:after="0"/>
        <w:rPr>
          <w:rFonts w:ascii="Times New Roman" w:hAnsi="Times New Roman"/>
          <w:bCs w:val="0"/>
          <w:sz w:val="24"/>
          <w:szCs w:val="24"/>
        </w:rPr>
      </w:pPr>
      <w:bookmarkStart w:id="19" w:name="_Toc220076109"/>
      <w:r w:rsidRPr="00362BF6">
        <w:rPr>
          <w:rFonts w:ascii="Times New Roman" w:hAnsi="Times New Roman"/>
          <w:bCs w:val="0"/>
          <w:sz w:val="24"/>
          <w:szCs w:val="24"/>
        </w:rPr>
        <w:t xml:space="preserve">The </w:t>
      </w:r>
      <w:r w:rsidR="00A10974" w:rsidRPr="00362BF6">
        <w:rPr>
          <w:rFonts w:ascii="Times New Roman" w:hAnsi="Times New Roman"/>
          <w:bCs w:val="0"/>
          <w:sz w:val="24"/>
          <w:szCs w:val="24"/>
        </w:rPr>
        <w:t xml:space="preserve">non-expert witnesses provided inconclusive evidence on </w:t>
      </w:r>
      <w:r w:rsidR="00A10974" w:rsidRPr="004253B8">
        <w:rPr>
          <w:rFonts w:ascii="Times New Roman" w:hAnsi="Times New Roman"/>
          <w:bCs w:val="0"/>
          <w:sz w:val="24"/>
          <w:szCs w:val="24"/>
        </w:rPr>
        <w:t>which the Trial Justice</w:t>
      </w:r>
      <w:r w:rsidR="00A10974" w:rsidRPr="00362BF6">
        <w:rPr>
          <w:rFonts w:ascii="Times New Roman" w:hAnsi="Times New Roman"/>
          <w:bCs w:val="0"/>
          <w:sz w:val="24"/>
          <w:szCs w:val="24"/>
        </w:rPr>
        <w:t xml:space="preserve"> relied</w:t>
      </w:r>
      <w:bookmarkEnd w:id="19"/>
    </w:p>
    <w:p w14:paraId="7146FDBD" w14:textId="77777777" w:rsidR="00206973" w:rsidRPr="00206973" w:rsidRDefault="00206973" w:rsidP="00206973">
      <w:pPr>
        <w:spacing w:line="360" w:lineRule="auto"/>
      </w:pPr>
    </w:p>
    <w:p w14:paraId="22A4EA22" w14:textId="74380014" w:rsidR="00517CAD" w:rsidRPr="004253B8" w:rsidRDefault="00A10974" w:rsidP="004F6E1F">
      <w:pPr>
        <w:pStyle w:val="WSParaNum"/>
        <w:spacing w:before="0" w:after="0"/>
      </w:pPr>
      <w:r>
        <w:t xml:space="preserve">Non-expert </w:t>
      </w:r>
      <w:r w:rsidR="004F6E1F" w:rsidRPr="004F6E1F">
        <w:t xml:space="preserve">witnesses “must speak only to that which was directly observed by them,” leaving inferences </w:t>
      </w:r>
      <w:r w:rsidR="004F6E1F" w:rsidRPr="004253B8">
        <w:t>to the Trial Justice.</w:t>
      </w:r>
    </w:p>
    <w:p w14:paraId="29821336" w14:textId="5264402E" w:rsidR="00FB2C0C" w:rsidRPr="00D678D8" w:rsidRDefault="0087334A" w:rsidP="00FB2C0C">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lang w:val="en-GB"/>
        </w:rPr>
        <w:t>R v Abbey</w:t>
      </w:r>
      <w:r>
        <w:rPr>
          <w:rStyle w:val="normaltextrun"/>
          <w:color w:val="000000"/>
          <w:sz w:val="20"/>
          <w:szCs w:val="20"/>
          <w:shd w:val="clear" w:color="auto" w:fill="FFFFFF"/>
          <w:lang w:val="en-GB"/>
        </w:rPr>
        <w:t>, [1982] 2 SCR 24, 1982 CanLII 25 (SCC) at 42 [</w:t>
      </w:r>
      <w:r>
        <w:rPr>
          <w:rStyle w:val="normaltextrun"/>
          <w:i/>
          <w:iCs/>
          <w:color w:val="000000"/>
          <w:sz w:val="20"/>
          <w:szCs w:val="20"/>
          <w:shd w:val="clear" w:color="auto" w:fill="FFFFFF"/>
          <w:lang w:val="en-GB"/>
        </w:rPr>
        <w:t>Abbey</w:t>
      </w:r>
      <w:r>
        <w:rPr>
          <w:rStyle w:val="normaltextrun"/>
          <w:color w:val="000000"/>
          <w:sz w:val="20"/>
          <w:szCs w:val="20"/>
          <w:shd w:val="clear" w:color="auto" w:fill="FFFFFF"/>
          <w:lang w:val="en-GB"/>
        </w:rPr>
        <w:t>]</w:t>
      </w:r>
      <w:r w:rsidR="00FB2C0C" w:rsidRPr="00D678D8">
        <w:rPr>
          <w:sz w:val="20"/>
          <w:szCs w:val="20"/>
        </w:rPr>
        <w:t>.</w:t>
      </w:r>
    </w:p>
    <w:p w14:paraId="7E27BFA7" w14:textId="77777777" w:rsidR="00FB2C0C" w:rsidRPr="00D678D8" w:rsidRDefault="00FB2C0C" w:rsidP="00FB2C0C">
      <w:pPr>
        <w:pStyle w:val="WSParaNum"/>
        <w:numPr>
          <w:ilvl w:val="0"/>
          <w:numId w:val="0"/>
        </w:numPr>
        <w:spacing w:before="0" w:after="0" w:line="240" w:lineRule="auto"/>
        <w:ind w:left="720" w:right="720"/>
        <w:rPr>
          <w:sz w:val="20"/>
          <w:szCs w:val="20"/>
        </w:rPr>
      </w:pPr>
    </w:p>
    <w:p w14:paraId="55F05CFB" w14:textId="192E32ED" w:rsidR="00FB2C0C" w:rsidRDefault="003A6BCD" w:rsidP="00FB2C0C">
      <w:pPr>
        <w:pStyle w:val="WSParaNum"/>
        <w:numPr>
          <w:ilvl w:val="0"/>
          <w:numId w:val="0"/>
        </w:numPr>
        <w:spacing w:before="0" w:after="0"/>
        <w:ind w:firstLine="720"/>
        <w:rPr>
          <w:sz w:val="20"/>
          <w:szCs w:val="20"/>
        </w:rPr>
      </w:pPr>
      <w:r>
        <w:rPr>
          <w:rStyle w:val="normaltextrun"/>
          <w:i/>
          <w:iCs/>
          <w:color w:val="000000"/>
          <w:sz w:val="20"/>
          <w:szCs w:val="20"/>
          <w:shd w:val="clear" w:color="auto" w:fill="FFFFFF"/>
          <w:lang w:val="en-GB"/>
        </w:rPr>
        <w:t>Graat v The Queen</w:t>
      </w:r>
      <w:r>
        <w:rPr>
          <w:rStyle w:val="normaltextrun"/>
          <w:color w:val="000000"/>
          <w:sz w:val="20"/>
          <w:szCs w:val="20"/>
          <w:shd w:val="clear" w:color="auto" w:fill="FFFFFF"/>
          <w:lang w:val="en-GB"/>
        </w:rPr>
        <w:t>, [1982] 2 SCR 819, 1982 CanLII 33 at 839 (SCC)</w:t>
      </w:r>
      <w:r w:rsidR="00FB2C0C" w:rsidRPr="00D678D8">
        <w:rPr>
          <w:sz w:val="20"/>
          <w:szCs w:val="20"/>
        </w:rPr>
        <w:t>.</w:t>
      </w:r>
    </w:p>
    <w:p w14:paraId="5D344219" w14:textId="77777777" w:rsidR="00FB2C0C" w:rsidRDefault="00FB2C0C" w:rsidP="00FB2C0C">
      <w:pPr>
        <w:pStyle w:val="WSParaNum"/>
        <w:numPr>
          <w:ilvl w:val="0"/>
          <w:numId w:val="0"/>
        </w:numPr>
        <w:spacing w:before="0" w:after="0"/>
      </w:pPr>
    </w:p>
    <w:p w14:paraId="2BB6E8F4" w14:textId="6C357F97" w:rsidR="00517CAD" w:rsidRDefault="004F6E1F" w:rsidP="00517CAD">
      <w:pPr>
        <w:pStyle w:val="WSParaNum"/>
        <w:spacing w:before="0" w:after="0"/>
      </w:pPr>
      <w:r w:rsidRPr="004253B8">
        <w:t xml:space="preserve">The </w:t>
      </w:r>
      <w:r w:rsidR="00391975" w:rsidRPr="004253B8">
        <w:t>Trial Justice relied</w:t>
      </w:r>
      <w:r w:rsidR="00391975">
        <w:t xml:space="preserve"> on three Blanding’s turtle sightings by non-expert witnesses that occurred before and after the alleged offence. In 2007 and 2017, there were two Blanding’s turtle sightings </w:t>
      </w:r>
      <w:r w:rsidR="00996D76">
        <w:t>near</w:t>
      </w:r>
      <w:r w:rsidR="00391975">
        <w:t xml:space="preserve">, but not at, the Site. In 2020, a Blanding’s turtle was spotted in the Circle Lake area, but not at the Site itself. This is evidence before and after the fact, which is irrelevant when properly considering </w:t>
      </w:r>
      <w:r w:rsidR="00391975" w:rsidRPr="3B15F2B5">
        <w:rPr>
          <w:i/>
          <w:iCs/>
        </w:rPr>
        <w:t>ESA</w:t>
      </w:r>
      <w:r w:rsidR="00391975">
        <w:t xml:space="preserve"> s. 2(2).</w:t>
      </w:r>
    </w:p>
    <w:p w14:paraId="6CAFCCFB" w14:textId="466208BD" w:rsidR="00515B3D" w:rsidRDefault="00515B3D" w:rsidP="00515B3D">
      <w:pPr>
        <w:pStyle w:val="WSParaNum"/>
        <w:numPr>
          <w:ilvl w:val="0"/>
          <w:numId w:val="0"/>
        </w:numPr>
        <w:spacing w:before="0" w:after="0"/>
        <w:ind w:firstLine="720"/>
      </w:pPr>
      <w:r>
        <w:rPr>
          <w:sz w:val="20"/>
          <w:szCs w:val="20"/>
        </w:rPr>
        <w:t>OCJ decision at 1</w:t>
      </w:r>
      <w:r w:rsidR="005718C8">
        <w:rPr>
          <w:sz w:val="20"/>
          <w:szCs w:val="20"/>
        </w:rPr>
        <w:t>4</w:t>
      </w:r>
      <w:r>
        <w:rPr>
          <w:sz w:val="20"/>
          <w:szCs w:val="20"/>
        </w:rPr>
        <w:t>–1</w:t>
      </w:r>
      <w:r w:rsidR="005718C8">
        <w:rPr>
          <w:sz w:val="20"/>
          <w:szCs w:val="20"/>
        </w:rPr>
        <w:t>5</w:t>
      </w:r>
      <w:r>
        <w:rPr>
          <w:sz w:val="20"/>
          <w:szCs w:val="20"/>
        </w:rPr>
        <w:t>.</w:t>
      </w:r>
    </w:p>
    <w:p w14:paraId="38D45617" w14:textId="77777777" w:rsidR="00515B3D" w:rsidRDefault="00515B3D" w:rsidP="00515B3D">
      <w:pPr>
        <w:pStyle w:val="WSParaNum"/>
        <w:numPr>
          <w:ilvl w:val="0"/>
          <w:numId w:val="0"/>
        </w:numPr>
        <w:spacing w:before="0" w:after="0"/>
      </w:pPr>
    </w:p>
    <w:p w14:paraId="64A1544B" w14:textId="3A37ABC8" w:rsidR="004F6E1F" w:rsidRDefault="00566380" w:rsidP="00517CAD">
      <w:pPr>
        <w:pStyle w:val="WSParaNum"/>
        <w:spacing w:before="0" w:after="0"/>
      </w:pPr>
      <w:r>
        <w:t xml:space="preserve">None of the non-expert witnesses </w:t>
      </w:r>
      <w:r w:rsidR="00D578A5">
        <w:t xml:space="preserve">directly </w:t>
      </w:r>
      <w:r w:rsidR="009C2808">
        <w:t xml:space="preserve">observed a Blanding’s turtle at the Site. </w:t>
      </w:r>
      <w:r w:rsidR="00391975">
        <w:t xml:space="preserve">Ms. </w:t>
      </w:r>
      <w:r w:rsidR="00846E93" w:rsidRPr="00846E93">
        <w:t xml:space="preserve">Kennedy’s mapping of Category 2 habitat at CHL’s property did not demonstrate that any Blanding’s turtles were present at the Site. </w:t>
      </w:r>
      <w:r w:rsidR="006F5DE9">
        <w:t>During</w:t>
      </w:r>
      <w:r w:rsidR="00846E93" w:rsidRPr="00846E93">
        <w:t xml:space="preserve"> Mr. Blitz, Mr. Snell, and two MNRF </w:t>
      </w:r>
      <w:r w:rsidR="00846E93" w:rsidRPr="00846E93">
        <w:lastRenderedPageBreak/>
        <w:t>employees</w:t>
      </w:r>
      <w:r w:rsidR="006F5DE9">
        <w:t>’</w:t>
      </w:r>
      <w:r w:rsidR="00846E93" w:rsidRPr="00846E93">
        <w:t xml:space="preserve"> </w:t>
      </w:r>
      <w:r w:rsidR="006F5DE9">
        <w:t>visit</w:t>
      </w:r>
      <w:r w:rsidR="00846E93" w:rsidRPr="00846E93">
        <w:t xml:space="preserve"> in November 2017, they did not observe any turtles at the Site.</w:t>
      </w:r>
      <w:r w:rsidR="008E1F94">
        <w:t xml:space="preserve"> When Ms. Murphy visited in June 2018, she neither saw Blanding’s turtles</w:t>
      </w:r>
      <w:r w:rsidR="002A7F2B">
        <w:t xml:space="preserve"> at the Site</w:t>
      </w:r>
      <w:r w:rsidR="008E1F94">
        <w:t xml:space="preserve"> nor identified </w:t>
      </w:r>
      <w:r w:rsidR="002A7F2B">
        <w:t xml:space="preserve">the Site as habitat. </w:t>
      </w:r>
      <w:r w:rsidR="006F5DE9">
        <w:t xml:space="preserve">When </w:t>
      </w:r>
      <w:r w:rsidR="002A7F2B">
        <w:t>Mr. Kirby visited</w:t>
      </w:r>
      <w:r w:rsidR="00692119">
        <w:t xml:space="preserve">, he was unable to identify shells found </w:t>
      </w:r>
      <w:r w:rsidR="00640DC5">
        <w:t>near</w:t>
      </w:r>
      <w:r w:rsidR="00692119">
        <w:t xml:space="preserve"> the Site as Blanding’s turtle shells.</w:t>
      </w:r>
      <w:r w:rsidR="0B5660C7">
        <w:t xml:space="preserve"> The non-experts witness</w:t>
      </w:r>
      <w:r w:rsidR="00AB4C5E">
        <w:t xml:space="preserve">es’ </w:t>
      </w:r>
      <w:r w:rsidR="0B5660C7">
        <w:t>evidence, if pr</w:t>
      </w:r>
      <w:r w:rsidR="55675AC7">
        <w:t xml:space="preserve">operly </w:t>
      </w:r>
      <w:r w:rsidR="5127621C">
        <w:t>considered</w:t>
      </w:r>
      <w:r w:rsidR="55675AC7">
        <w:t>,</w:t>
      </w:r>
      <w:r w:rsidR="0B5660C7">
        <w:t xml:space="preserve"> </w:t>
      </w:r>
      <w:r w:rsidR="7BE8CF19">
        <w:t xml:space="preserve">failed to prove </w:t>
      </w:r>
      <w:r w:rsidR="0B5660C7">
        <w:t>that the Site was defined habitat.</w:t>
      </w:r>
    </w:p>
    <w:p w14:paraId="71408D85" w14:textId="4C608AED" w:rsidR="00E00FA0" w:rsidRPr="00D678D8" w:rsidRDefault="00E00FA0" w:rsidP="00E00FA0">
      <w:pPr>
        <w:pStyle w:val="WSParaNum"/>
        <w:numPr>
          <w:ilvl w:val="0"/>
          <w:numId w:val="0"/>
        </w:numPr>
        <w:spacing w:before="0" w:after="0" w:line="240" w:lineRule="auto"/>
        <w:ind w:left="720" w:right="720"/>
        <w:rPr>
          <w:sz w:val="20"/>
          <w:szCs w:val="20"/>
        </w:rPr>
      </w:pPr>
      <w:r>
        <w:rPr>
          <w:sz w:val="20"/>
          <w:szCs w:val="20"/>
        </w:rPr>
        <w:t>Trial decision at 6</w:t>
      </w:r>
      <w:r w:rsidRPr="00D678D8">
        <w:rPr>
          <w:sz w:val="20"/>
          <w:szCs w:val="20"/>
        </w:rPr>
        <w:t>.</w:t>
      </w:r>
    </w:p>
    <w:p w14:paraId="5482195B" w14:textId="77777777" w:rsidR="00E00FA0" w:rsidRPr="00D678D8" w:rsidRDefault="00E00FA0" w:rsidP="00E00FA0">
      <w:pPr>
        <w:pStyle w:val="WSParaNum"/>
        <w:numPr>
          <w:ilvl w:val="0"/>
          <w:numId w:val="0"/>
        </w:numPr>
        <w:spacing w:before="0" w:after="0" w:line="240" w:lineRule="auto"/>
        <w:ind w:left="720" w:right="720"/>
        <w:rPr>
          <w:sz w:val="20"/>
          <w:szCs w:val="20"/>
        </w:rPr>
      </w:pPr>
    </w:p>
    <w:p w14:paraId="1E13A36F" w14:textId="001F5F87" w:rsidR="00E00FA0" w:rsidRDefault="00E00FA0" w:rsidP="00E00FA0">
      <w:pPr>
        <w:pStyle w:val="WSParaNum"/>
        <w:numPr>
          <w:ilvl w:val="0"/>
          <w:numId w:val="0"/>
        </w:numPr>
        <w:spacing w:before="0" w:after="0"/>
        <w:ind w:firstLine="720"/>
        <w:rPr>
          <w:sz w:val="20"/>
          <w:szCs w:val="20"/>
        </w:rPr>
      </w:pPr>
      <w:r>
        <w:rPr>
          <w:sz w:val="20"/>
          <w:szCs w:val="20"/>
        </w:rPr>
        <w:t>OCJ decision at 6</w:t>
      </w:r>
      <w:r w:rsidR="00B04DA5">
        <w:rPr>
          <w:sz w:val="20"/>
          <w:szCs w:val="20"/>
        </w:rPr>
        <w:t>, 14, 17, 20</w:t>
      </w:r>
      <w:r w:rsidRPr="00D678D8">
        <w:rPr>
          <w:sz w:val="20"/>
          <w:szCs w:val="20"/>
        </w:rPr>
        <w:t>.</w:t>
      </w:r>
    </w:p>
    <w:p w14:paraId="0DAEB9F4" w14:textId="77777777" w:rsidR="002F6444" w:rsidRPr="00E54EB0" w:rsidRDefault="002F6444" w:rsidP="002F6444">
      <w:pPr>
        <w:pStyle w:val="WSParaNum"/>
        <w:numPr>
          <w:ilvl w:val="0"/>
          <w:numId w:val="0"/>
        </w:numPr>
        <w:spacing w:before="0" w:after="0"/>
      </w:pPr>
    </w:p>
    <w:p w14:paraId="2313A0E0" w14:textId="4F93EA21" w:rsidR="00517CAD" w:rsidRPr="004810D6" w:rsidRDefault="00D0111F" w:rsidP="00517CAD">
      <w:pPr>
        <w:pStyle w:val="Heading3"/>
        <w:spacing w:before="0" w:after="0" w:line="360" w:lineRule="auto"/>
        <w:rPr>
          <w:rFonts w:ascii="Times New Roman" w:hAnsi="Times New Roman"/>
          <w:bCs w:val="0"/>
          <w:sz w:val="24"/>
          <w:szCs w:val="24"/>
        </w:rPr>
      </w:pPr>
      <w:bookmarkStart w:id="20" w:name="_Toc220076110"/>
      <w:r w:rsidRPr="004253B8">
        <w:rPr>
          <w:rFonts w:ascii="Times New Roman" w:hAnsi="Times New Roman"/>
          <w:bCs w:val="0"/>
          <w:sz w:val="24"/>
          <w:szCs w:val="24"/>
        </w:rPr>
        <w:t xml:space="preserve">The </w:t>
      </w:r>
      <w:r w:rsidR="00E72E71" w:rsidRPr="004253B8">
        <w:rPr>
          <w:rFonts w:ascii="Times New Roman" w:hAnsi="Times New Roman"/>
          <w:bCs w:val="0"/>
          <w:sz w:val="24"/>
          <w:szCs w:val="24"/>
        </w:rPr>
        <w:t>Trial Justice erred</w:t>
      </w:r>
      <w:r w:rsidR="00E72E71" w:rsidRPr="004810D6">
        <w:rPr>
          <w:rFonts w:ascii="Times New Roman" w:hAnsi="Times New Roman"/>
          <w:bCs w:val="0"/>
          <w:sz w:val="24"/>
          <w:szCs w:val="24"/>
        </w:rPr>
        <w:t xml:space="preserve"> by attaching weight to hearsay evidence</w:t>
      </w:r>
      <w:bookmarkEnd w:id="20"/>
    </w:p>
    <w:p w14:paraId="348405D5" w14:textId="77777777" w:rsidR="00206973" w:rsidRPr="00206973" w:rsidRDefault="00206973" w:rsidP="00206973">
      <w:pPr>
        <w:spacing w:line="360" w:lineRule="auto"/>
      </w:pPr>
    </w:p>
    <w:p w14:paraId="430F68BF" w14:textId="12394510" w:rsidR="00517CAD" w:rsidRDefault="00E72E71" w:rsidP="00517CAD">
      <w:pPr>
        <w:pStyle w:val="WSParaNum"/>
        <w:spacing w:before="0" w:after="0"/>
      </w:pPr>
      <w:r w:rsidRPr="004253B8">
        <w:t>The</w:t>
      </w:r>
      <w:r w:rsidR="00E92464" w:rsidRPr="004253B8">
        <w:t xml:space="preserve"> Trial Justice erroneously</w:t>
      </w:r>
      <w:r w:rsidR="00E92464" w:rsidRPr="00E92464">
        <w:t xml:space="preserve"> attached weight to hearsay evidence that Mr. Miller (a land surveyor) told Mr. Susko that the Site was likely Blanding’s turtle habitat</w:t>
      </w:r>
      <w:r w:rsidR="00E92464">
        <w:t>.</w:t>
      </w:r>
    </w:p>
    <w:p w14:paraId="4A89BAF9" w14:textId="7758D770" w:rsidR="006846FD" w:rsidRDefault="006846FD" w:rsidP="006846FD">
      <w:pPr>
        <w:pStyle w:val="WSParaNum"/>
        <w:numPr>
          <w:ilvl w:val="0"/>
          <w:numId w:val="0"/>
        </w:numPr>
        <w:spacing w:before="0" w:after="0"/>
        <w:ind w:firstLine="720"/>
      </w:pPr>
      <w:r>
        <w:rPr>
          <w:sz w:val="20"/>
          <w:szCs w:val="20"/>
        </w:rPr>
        <w:t>OCJ decision at 9.</w:t>
      </w:r>
    </w:p>
    <w:p w14:paraId="6A1964E4" w14:textId="77777777" w:rsidR="006846FD" w:rsidRDefault="006846FD" w:rsidP="006846FD">
      <w:pPr>
        <w:pStyle w:val="WSParaNum"/>
        <w:numPr>
          <w:ilvl w:val="0"/>
          <w:numId w:val="0"/>
        </w:numPr>
        <w:spacing w:before="0" w:after="0"/>
      </w:pPr>
    </w:p>
    <w:p w14:paraId="41324A24" w14:textId="223665C5" w:rsidR="00517CAD" w:rsidRDefault="00E72E71" w:rsidP="00517CAD">
      <w:pPr>
        <w:pStyle w:val="WSParaNum"/>
        <w:spacing w:before="0" w:after="0"/>
      </w:pPr>
      <w:r>
        <w:t>The</w:t>
      </w:r>
      <w:r w:rsidR="009B66C8">
        <w:t xml:space="preserve"> </w:t>
      </w:r>
      <w:r w:rsidR="009B66C8" w:rsidRPr="009B66C8">
        <w:t>SCC has established that all relevant evidence at trial is admissible, subject to two major exceptions: opinion evidence and hearsay evidence. Hearsay evidence refers to any oral or written statement made outside the courtroom that is introduced during trial to establish the truth of its contents</w:t>
      </w:r>
      <w:r w:rsidR="009B66C8">
        <w:t>.</w:t>
      </w:r>
    </w:p>
    <w:p w14:paraId="6A088D7B" w14:textId="492C6DEF" w:rsidR="00E670F6" w:rsidRPr="00D678D8" w:rsidRDefault="00F04625" w:rsidP="00E670F6">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lang w:val="en-GB"/>
        </w:rPr>
        <w:t>Abbey </w:t>
      </w:r>
      <w:r>
        <w:rPr>
          <w:rStyle w:val="normaltextrun"/>
          <w:color w:val="000000"/>
          <w:sz w:val="20"/>
          <w:szCs w:val="20"/>
          <w:shd w:val="clear" w:color="auto" w:fill="FFFFFF"/>
          <w:lang w:val="en-GB"/>
        </w:rPr>
        <w:t>at 40</w:t>
      </w:r>
      <w:r w:rsidR="00E670F6" w:rsidRPr="00D678D8">
        <w:rPr>
          <w:sz w:val="20"/>
          <w:szCs w:val="20"/>
        </w:rPr>
        <w:t>.</w:t>
      </w:r>
    </w:p>
    <w:p w14:paraId="652896E0" w14:textId="77777777" w:rsidR="00E670F6" w:rsidRPr="00D678D8" w:rsidRDefault="00E670F6" w:rsidP="00E670F6">
      <w:pPr>
        <w:pStyle w:val="WSParaNum"/>
        <w:numPr>
          <w:ilvl w:val="0"/>
          <w:numId w:val="0"/>
        </w:numPr>
        <w:spacing w:before="0" w:after="0" w:line="240" w:lineRule="auto"/>
        <w:ind w:left="720" w:right="720"/>
        <w:rPr>
          <w:sz w:val="20"/>
          <w:szCs w:val="20"/>
        </w:rPr>
      </w:pPr>
    </w:p>
    <w:p w14:paraId="6130FE7E" w14:textId="6852F44F" w:rsidR="00E670F6" w:rsidRDefault="000D5B14" w:rsidP="00E670F6">
      <w:pPr>
        <w:pStyle w:val="WSParaNum"/>
        <w:numPr>
          <w:ilvl w:val="0"/>
          <w:numId w:val="0"/>
        </w:numPr>
        <w:spacing w:before="0" w:after="0"/>
        <w:ind w:firstLine="720"/>
        <w:rPr>
          <w:sz w:val="20"/>
          <w:szCs w:val="20"/>
        </w:rPr>
      </w:pPr>
      <w:r>
        <w:rPr>
          <w:rStyle w:val="normaltextrun"/>
          <w:i/>
          <w:iCs/>
          <w:color w:val="000000"/>
          <w:sz w:val="20"/>
          <w:szCs w:val="20"/>
          <w:shd w:val="clear" w:color="auto" w:fill="FFFFFF"/>
          <w:lang w:val="en-GB"/>
        </w:rPr>
        <w:t>R v Evans</w:t>
      </w:r>
      <w:r>
        <w:rPr>
          <w:rStyle w:val="normaltextrun"/>
          <w:color w:val="000000"/>
          <w:sz w:val="20"/>
          <w:szCs w:val="20"/>
          <w:shd w:val="clear" w:color="auto" w:fill="FFFFFF"/>
          <w:lang w:val="en-GB"/>
        </w:rPr>
        <w:t>, [1993] 3 SCR 653, 1993 CanLII 86 (SCC) at 661</w:t>
      </w:r>
      <w:r w:rsidR="00E670F6" w:rsidRPr="00D678D8">
        <w:rPr>
          <w:sz w:val="20"/>
          <w:szCs w:val="20"/>
        </w:rPr>
        <w:t>.</w:t>
      </w:r>
    </w:p>
    <w:p w14:paraId="6AC26BF9" w14:textId="77777777" w:rsidR="00E670F6" w:rsidRDefault="00E670F6" w:rsidP="00E670F6">
      <w:pPr>
        <w:pStyle w:val="WSParaNum"/>
        <w:numPr>
          <w:ilvl w:val="0"/>
          <w:numId w:val="0"/>
        </w:numPr>
        <w:spacing w:before="0" w:after="0"/>
      </w:pPr>
    </w:p>
    <w:p w14:paraId="2F621C67" w14:textId="2C4FD057" w:rsidR="00E72E71" w:rsidRDefault="00E72E71" w:rsidP="00517CAD">
      <w:pPr>
        <w:pStyle w:val="WSParaNum"/>
        <w:spacing w:before="0" w:after="0"/>
      </w:pPr>
      <w:r>
        <w:t>Hearsay</w:t>
      </w:r>
      <w:r w:rsidR="00C12014">
        <w:t xml:space="preserve"> </w:t>
      </w:r>
      <w:r w:rsidR="00C12014" w:rsidRPr="00C12014">
        <w:t>evidence is presumptively inadmissible because it is not provided under oath and has not been subjected to cross-examination. Limiting hearsay ensures that only sufficiently reliable evidence is admitted. However, hearsay evidence may be admitted where its reliability can be established by means other than cross-examination, or there is no real concern about the statement due to the circumstances in which it came about</w:t>
      </w:r>
      <w:r w:rsidR="00C12014">
        <w:t>.</w:t>
      </w:r>
    </w:p>
    <w:p w14:paraId="64E59E63" w14:textId="7A084C22" w:rsidR="000D5B14" w:rsidRPr="00D678D8" w:rsidRDefault="000D5B14" w:rsidP="000D5B14">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lang w:val="en-GB"/>
        </w:rPr>
        <w:t>Abbey </w:t>
      </w:r>
      <w:r>
        <w:rPr>
          <w:rStyle w:val="normaltextrun"/>
          <w:color w:val="000000"/>
          <w:sz w:val="20"/>
          <w:szCs w:val="20"/>
          <w:shd w:val="clear" w:color="auto" w:fill="FFFFFF"/>
          <w:lang w:val="en-GB"/>
        </w:rPr>
        <w:t>at 40–41</w:t>
      </w:r>
      <w:r w:rsidRPr="00D678D8">
        <w:rPr>
          <w:sz w:val="20"/>
          <w:szCs w:val="20"/>
        </w:rPr>
        <w:t>.</w:t>
      </w:r>
    </w:p>
    <w:p w14:paraId="57FA29F5" w14:textId="77777777" w:rsidR="000D5B14" w:rsidRPr="00D678D8" w:rsidRDefault="000D5B14" w:rsidP="000D5B14">
      <w:pPr>
        <w:pStyle w:val="WSParaNum"/>
        <w:numPr>
          <w:ilvl w:val="0"/>
          <w:numId w:val="0"/>
        </w:numPr>
        <w:spacing w:before="0" w:after="0" w:line="240" w:lineRule="auto"/>
        <w:ind w:left="720" w:right="720"/>
        <w:rPr>
          <w:sz w:val="20"/>
          <w:szCs w:val="20"/>
        </w:rPr>
      </w:pPr>
    </w:p>
    <w:p w14:paraId="33288EB8" w14:textId="3B6CC9D7" w:rsidR="000D5B14" w:rsidRDefault="005D45C9" w:rsidP="000D5B14">
      <w:pPr>
        <w:pStyle w:val="WSParaNum"/>
        <w:numPr>
          <w:ilvl w:val="0"/>
          <w:numId w:val="0"/>
        </w:numPr>
        <w:spacing w:before="0" w:after="0"/>
        <w:ind w:firstLine="720"/>
        <w:rPr>
          <w:sz w:val="20"/>
          <w:szCs w:val="20"/>
        </w:rPr>
      </w:pPr>
      <w:r>
        <w:rPr>
          <w:rStyle w:val="normaltextrun"/>
          <w:i/>
          <w:iCs/>
          <w:color w:val="000000"/>
          <w:sz w:val="20"/>
          <w:szCs w:val="20"/>
          <w:shd w:val="clear" w:color="auto" w:fill="FFFFFF"/>
          <w:lang w:val="en-GB"/>
        </w:rPr>
        <w:t>R v Khelawon</w:t>
      </w:r>
      <w:r>
        <w:rPr>
          <w:rStyle w:val="normaltextrun"/>
          <w:color w:val="000000"/>
          <w:sz w:val="20"/>
          <w:szCs w:val="20"/>
          <w:shd w:val="clear" w:color="auto" w:fill="FFFFFF"/>
          <w:lang w:val="en-GB"/>
        </w:rPr>
        <w:t>, 2006 SCC 57 at paras 3, 62–63</w:t>
      </w:r>
      <w:r w:rsidR="000D5B14" w:rsidRPr="00D678D8">
        <w:rPr>
          <w:sz w:val="20"/>
          <w:szCs w:val="20"/>
        </w:rPr>
        <w:t>.</w:t>
      </w:r>
    </w:p>
    <w:p w14:paraId="3E232B5E" w14:textId="77777777" w:rsidR="000D5B14" w:rsidRDefault="000D5B14" w:rsidP="000D5B14">
      <w:pPr>
        <w:pStyle w:val="WSParaNum"/>
        <w:numPr>
          <w:ilvl w:val="0"/>
          <w:numId w:val="0"/>
        </w:numPr>
        <w:spacing w:before="0" w:after="0"/>
      </w:pPr>
    </w:p>
    <w:p w14:paraId="35D39F5F" w14:textId="3734C120" w:rsidR="00E72E71" w:rsidRDefault="00E72E71" w:rsidP="00700701">
      <w:pPr>
        <w:pStyle w:val="WSParaNum"/>
        <w:spacing w:before="0" w:after="0"/>
      </w:pPr>
      <w:r>
        <w:t>These</w:t>
      </w:r>
      <w:r w:rsidR="006846FD">
        <w:t xml:space="preserve"> </w:t>
      </w:r>
      <w:r w:rsidR="006846FD" w:rsidRPr="006846FD">
        <w:t xml:space="preserve">hearsay exceptions clearly do not apply to Mr. Miller’s statement. The reliability of his statement could not be accepted without cross-examination because he was not a witness </w:t>
      </w:r>
      <w:r w:rsidR="006846FD" w:rsidRPr="006846FD">
        <w:lastRenderedPageBreak/>
        <w:t xml:space="preserve">and did not give evidence. He is neither a biologist nor ecologist. The circumstances in which Mr. Miller's statement came about are unknown. The date of the statement </w:t>
      </w:r>
      <w:r w:rsidR="0023159B">
        <w:t>was</w:t>
      </w:r>
      <w:r w:rsidR="006846FD" w:rsidRPr="006846FD">
        <w:t xml:space="preserve"> not provided, and the land survey from which Mr. Miller based his statement was not disclosed</w:t>
      </w:r>
      <w:r w:rsidR="006846FD">
        <w:t>.</w:t>
      </w:r>
    </w:p>
    <w:p w14:paraId="0A777BFB" w14:textId="77777777" w:rsidR="00206973" w:rsidRDefault="00206973" w:rsidP="00206973">
      <w:pPr>
        <w:pStyle w:val="WSParaNum"/>
        <w:numPr>
          <w:ilvl w:val="0"/>
          <w:numId w:val="0"/>
        </w:numPr>
        <w:spacing w:before="0" w:after="0"/>
      </w:pPr>
    </w:p>
    <w:p w14:paraId="4153305A" w14:textId="338B4FC4" w:rsidR="00517CAD" w:rsidRPr="004810D6" w:rsidRDefault="00700701" w:rsidP="00EB278C">
      <w:pPr>
        <w:pStyle w:val="Heading3"/>
        <w:spacing w:before="0" w:after="0"/>
        <w:rPr>
          <w:rFonts w:ascii="Times New Roman" w:hAnsi="Times New Roman"/>
          <w:bCs w:val="0"/>
          <w:sz w:val="24"/>
          <w:szCs w:val="24"/>
        </w:rPr>
      </w:pPr>
      <w:bookmarkStart w:id="21" w:name="_Toc220076111"/>
      <w:r w:rsidRPr="004810D6">
        <w:rPr>
          <w:rFonts w:ascii="Times New Roman" w:hAnsi="Times New Roman"/>
          <w:bCs w:val="0"/>
          <w:sz w:val="24"/>
          <w:szCs w:val="24"/>
        </w:rPr>
        <w:t xml:space="preserve">The </w:t>
      </w:r>
      <w:r w:rsidR="00FE7D80" w:rsidRPr="004810D6">
        <w:rPr>
          <w:rFonts w:ascii="Times New Roman" w:hAnsi="Times New Roman"/>
          <w:bCs w:val="0"/>
          <w:sz w:val="24"/>
          <w:szCs w:val="24"/>
        </w:rPr>
        <w:t>Crown’s expert witness could neither confirm nor prove that the Site was Blanding’s turtle habitat</w:t>
      </w:r>
      <w:bookmarkEnd w:id="21"/>
    </w:p>
    <w:p w14:paraId="27F71C0A" w14:textId="77777777" w:rsidR="00206973" w:rsidRPr="00206973" w:rsidRDefault="00206973" w:rsidP="00206973">
      <w:pPr>
        <w:spacing w:line="360" w:lineRule="auto"/>
      </w:pPr>
    </w:p>
    <w:p w14:paraId="7EE7BFA8" w14:textId="130444A9" w:rsidR="00517CAD" w:rsidRDefault="658BD2AA" w:rsidP="00664879">
      <w:pPr>
        <w:pStyle w:val="WSParaNum"/>
        <w:spacing w:before="0" w:after="0"/>
      </w:pPr>
      <w:r w:rsidRPr="00703C10">
        <w:t>An</w:t>
      </w:r>
      <w:r w:rsidR="00664879">
        <w:t xml:space="preserve"> expert witness’ primary role </w:t>
      </w:r>
      <w:r w:rsidR="5237A7CC">
        <w:t xml:space="preserve">at trial </w:t>
      </w:r>
      <w:r w:rsidR="00664879">
        <w:t xml:space="preserve">is to draw inferences and </w:t>
      </w:r>
      <w:r w:rsidR="237418CB">
        <w:t xml:space="preserve">provide </w:t>
      </w:r>
      <w:r w:rsidR="00664879">
        <w:t>their opinion.</w:t>
      </w:r>
      <w:r w:rsidR="00B44B85">
        <w:t xml:space="preserve"> I</w:t>
      </w:r>
      <w:r w:rsidR="32363437">
        <w:t xml:space="preserve">nstead of offering a definitive </w:t>
      </w:r>
      <w:r w:rsidR="338C84E6">
        <w:t>conclusion</w:t>
      </w:r>
      <w:r w:rsidR="32363437">
        <w:t xml:space="preserve"> that the Site was Blanding’s turtle habitat when given the chance to offer a “ready-made inference” </w:t>
      </w:r>
      <w:r w:rsidR="00B44B85">
        <w:t xml:space="preserve">at cross-examination, </w:t>
      </w:r>
      <w:r w:rsidR="32363437">
        <w:t xml:space="preserve">Mr. Snell presented reasons why </w:t>
      </w:r>
      <w:r w:rsidR="00E7429D">
        <w:t>Blanding’s</w:t>
      </w:r>
      <w:r w:rsidR="32363437">
        <w:t xml:space="preserve"> turtles need protection. He suggested that</w:t>
      </w:r>
      <w:r w:rsidR="000F30F2">
        <w:t xml:space="preserve"> </w:t>
      </w:r>
      <w:r w:rsidR="4A3FABF9">
        <w:t>protection must be in the areas or habitat on which the turtles are known to rely</w:t>
      </w:r>
      <w:r w:rsidR="00E7429D">
        <w:t xml:space="preserve"> </w:t>
      </w:r>
      <w:r w:rsidR="09FCE2D1">
        <w:t xml:space="preserve">but </w:t>
      </w:r>
      <w:r w:rsidR="00E7429D">
        <w:t xml:space="preserve">was </w:t>
      </w:r>
      <w:r w:rsidR="4A3FABF9">
        <w:t xml:space="preserve">unable to state that the site was </w:t>
      </w:r>
      <w:r w:rsidR="6695732C">
        <w:t>defined h</w:t>
      </w:r>
      <w:r w:rsidR="4A3FABF9">
        <w:t>abitat</w:t>
      </w:r>
      <w:r w:rsidR="23F1191C">
        <w:t xml:space="preserve"> under the </w:t>
      </w:r>
      <w:r w:rsidR="23F1191C" w:rsidRPr="0CED8193">
        <w:rPr>
          <w:i/>
          <w:iCs/>
        </w:rPr>
        <w:t>ESA</w:t>
      </w:r>
      <w:r w:rsidR="23F1191C">
        <w:t>.</w:t>
      </w:r>
    </w:p>
    <w:p w14:paraId="4AA9CADB" w14:textId="4F4C0BF2" w:rsidR="00677876" w:rsidRDefault="00677876" w:rsidP="00677876">
      <w:pPr>
        <w:pStyle w:val="WSParaNum"/>
        <w:numPr>
          <w:ilvl w:val="0"/>
          <w:numId w:val="0"/>
        </w:numPr>
        <w:spacing w:before="0" w:after="0" w:line="240" w:lineRule="auto"/>
        <w:ind w:firstLine="720"/>
      </w:pPr>
      <w:r>
        <w:rPr>
          <w:rStyle w:val="normaltextrun"/>
          <w:i/>
          <w:iCs/>
          <w:color w:val="000000"/>
          <w:sz w:val="20"/>
          <w:szCs w:val="20"/>
          <w:shd w:val="clear" w:color="auto" w:fill="FFFFFF"/>
          <w:lang w:val="en-GB"/>
        </w:rPr>
        <w:t>Abbey </w:t>
      </w:r>
      <w:r>
        <w:rPr>
          <w:rStyle w:val="normaltextrun"/>
          <w:color w:val="000000"/>
          <w:sz w:val="20"/>
          <w:szCs w:val="20"/>
          <w:shd w:val="clear" w:color="auto" w:fill="FFFFFF"/>
          <w:lang w:val="en-GB"/>
        </w:rPr>
        <w:t>at 42</w:t>
      </w:r>
      <w:r>
        <w:rPr>
          <w:sz w:val="20"/>
          <w:szCs w:val="20"/>
        </w:rPr>
        <w:t>.</w:t>
      </w:r>
    </w:p>
    <w:p w14:paraId="0C41458F" w14:textId="77777777" w:rsidR="00677876" w:rsidRPr="00677876" w:rsidRDefault="00677876" w:rsidP="00677876">
      <w:pPr>
        <w:pStyle w:val="WSParaNum"/>
        <w:numPr>
          <w:ilvl w:val="0"/>
          <w:numId w:val="0"/>
        </w:numPr>
        <w:spacing w:before="0" w:after="0" w:line="240" w:lineRule="auto"/>
        <w:ind w:firstLine="720"/>
      </w:pPr>
    </w:p>
    <w:p w14:paraId="5190CE2A" w14:textId="3A863B9D" w:rsidR="00CF3E4B" w:rsidRDefault="00CF3E4B" w:rsidP="00664879">
      <w:pPr>
        <w:pStyle w:val="WSParaNum"/>
        <w:numPr>
          <w:ilvl w:val="0"/>
          <w:numId w:val="0"/>
        </w:numPr>
        <w:spacing w:before="0" w:after="0"/>
        <w:ind w:firstLine="720"/>
      </w:pPr>
      <w:r>
        <w:rPr>
          <w:sz w:val="20"/>
          <w:szCs w:val="20"/>
        </w:rPr>
        <w:t xml:space="preserve">Trial decision at </w:t>
      </w:r>
      <w:r w:rsidR="00A32DFE">
        <w:rPr>
          <w:sz w:val="20"/>
          <w:szCs w:val="20"/>
        </w:rPr>
        <w:t>7–</w:t>
      </w:r>
      <w:r>
        <w:rPr>
          <w:sz w:val="20"/>
          <w:szCs w:val="20"/>
        </w:rPr>
        <w:t>8.</w:t>
      </w:r>
    </w:p>
    <w:p w14:paraId="5846B4F7" w14:textId="77777777" w:rsidR="00A32DFE" w:rsidRDefault="00A32DFE" w:rsidP="00A32DFE">
      <w:pPr>
        <w:pStyle w:val="WSParaNum"/>
        <w:numPr>
          <w:ilvl w:val="0"/>
          <w:numId w:val="0"/>
        </w:numPr>
        <w:spacing w:before="0" w:after="0"/>
      </w:pPr>
    </w:p>
    <w:p w14:paraId="04C3268D" w14:textId="197F19AE" w:rsidR="00A80505" w:rsidRDefault="0023159B" w:rsidP="00A80505">
      <w:pPr>
        <w:pStyle w:val="WSParaNum"/>
        <w:spacing w:before="0" w:after="0"/>
      </w:pPr>
      <w:r>
        <w:t>Furthermore, during cross</w:t>
      </w:r>
      <w:r w:rsidR="5AF508A0">
        <w:t>-examination</w:t>
      </w:r>
      <w:r w:rsidR="005B28E1">
        <w:t>,</w:t>
      </w:r>
      <w:r w:rsidR="00AC6E27">
        <w:t xml:space="preserve"> Mr. Snell conceded that he was unable to make the necessary circumstantial inference that the Site was habitat. Mr. Snell agreed with CHL’s counsel that he was unable to provide “any confirmation or proof that </w:t>
      </w:r>
      <w:r w:rsidR="00EF289A">
        <w:t>the Site</w:t>
      </w:r>
      <w:r w:rsidR="000F46F2">
        <w:t xml:space="preserve"> </w:t>
      </w:r>
      <w:r w:rsidR="00AC6E27">
        <w:t>was utilized for travel purposes, nesting, or thermogenic activities by Blanding’s turtles.”</w:t>
      </w:r>
    </w:p>
    <w:p w14:paraId="200E57D9" w14:textId="3A870AD1" w:rsidR="00A80505" w:rsidRDefault="00A80505" w:rsidP="00A80505">
      <w:pPr>
        <w:pStyle w:val="WSParaNum"/>
        <w:numPr>
          <w:ilvl w:val="0"/>
          <w:numId w:val="0"/>
        </w:numPr>
        <w:spacing w:before="0" w:after="0"/>
        <w:ind w:firstLine="720"/>
      </w:pPr>
      <w:r>
        <w:rPr>
          <w:sz w:val="20"/>
          <w:szCs w:val="20"/>
        </w:rPr>
        <w:t xml:space="preserve">OCJ decision at </w:t>
      </w:r>
      <w:r>
        <w:rPr>
          <w:rStyle w:val="normaltextrun"/>
          <w:color w:val="000000"/>
          <w:sz w:val="20"/>
          <w:szCs w:val="20"/>
          <w:shd w:val="clear" w:color="auto" w:fill="FFFFFF"/>
        </w:rPr>
        <w:t>12</w:t>
      </w:r>
      <w:r w:rsidR="0090399A">
        <w:rPr>
          <w:rStyle w:val="normaltextrun"/>
          <w:color w:val="000000"/>
          <w:sz w:val="20"/>
          <w:szCs w:val="20"/>
          <w:shd w:val="clear" w:color="auto" w:fill="FFFFFF"/>
        </w:rPr>
        <w:t>–</w:t>
      </w:r>
      <w:r>
        <w:rPr>
          <w:rStyle w:val="normaltextrun"/>
          <w:color w:val="000000"/>
          <w:sz w:val="20"/>
          <w:szCs w:val="20"/>
          <w:shd w:val="clear" w:color="auto" w:fill="FFFFFF"/>
        </w:rPr>
        <w:t>14</w:t>
      </w:r>
      <w:r>
        <w:rPr>
          <w:sz w:val="20"/>
          <w:szCs w:val="20"/>
        </w:rPr>
        <w:t>.</w:t>
      </w:r>
    </w:p>
    <w:p w14:paraId="52564E47" w14:textId="77777777" w:rsidR="00A80505" w:rsidRDefault="00A80505" w:rsidP="00A80505">
      <w:pPr>
        <w:pStyle w:val="WSParaNum"/>
        <w:numPr>
          <w:ilvl w:val="0"/>
          <w:numId w:val="0"/>
        </w:numPr>
        <w:spacing w:before="0" w:after="0"/>
      </w:pPr>
    </w:p>
    <w:p w14:paraId="17406B05" w14:textId="2CA9629D" w:rsidR="00FE7D80" w:rsidRPr="008B2AE1" w:rsidRDefault="00FE7D80" w:rsidP="00517CAD">
      <w:pPr>
        <w:pStyle w:val="WSParaNum"/>
        <w:spacing w:before="0" w:after="0"/>
        <w:rPr>
          <w:rStyle w:val="normaltextrun"/>
        </w:rPr>
      </w:pPr>
      <w:r>
        <w:t>The</w:t>
      </w:r>
      <w:r w:rsidR="00CF3E4B">
        <w:t xml:space="preserve"> </w:t>
      </w:r>
      <w:r w:rsidR="00CF3E4B">
        <w:rPr>
          <w:rStyle w:val="normaltextrun"/>
          <w:color w:val="000000"/>
          <w:shd w:val="clear" w:color="auto" w:fill="FFFFFF"/>
        </w:rPr>
        <w:t>OCJ was correct in finding that </w:t>
      </w:r>
      <w:r w:rsidR="00CF3E4B" w:rsidRPr="004253B8">
        <w:rPr>
          <w:rStyle w:val="normaltextrun"/>
          <w:color w:val="000000"/>
          <w:shd w:val="clear" w:color="auto" w:fill="FFFFFF"/>
        </w:rPr>
        <w:t>the Trial Justice</w:t>
      </w:r>
      <w:r w:rsidR="00CF3E4B" w:rsidRPr="547A7DD8">
        <w:rPr>
          <w:rStyle w:val="normaltextrun"/>
          <w:color w:val="000000" w:themeColor="text1"/>
        </w:rPr>
        <w:t xml:space="preserve"> </w:t>
      </w:r>
      <w:r w:rsidR="6D4F59E8" w:rsidRPr="547A7DD8">
        <w:rPr>
          <w:rStyle w:val="normaltextrun"/>
          <w:color w:val="000000" w:themeColor="text1"/>
        </w:rPr>
        <w:t xml:space="preserve">made an error of law </w:t>
      </w:r>
      <w:r w:rsidR="6D4F59E8" w:rsidRPr="4298461F">
        <w:rPr>
          <w:rStyle w:val="normaltextrun"/>
          <w:color w:val="000000" w:themeColor="text1"/>
        </w:rPr>
        <w:t>in</w:t>
      </w:r>
      <w:r w:rsidR="71CBFED6" w:rsidRPr="547A7DD8">
        <w:rPr>
          <w:rStyle w:val="normaltextrun"/>
          <w:color w:val="000000" w:themeColor="text1"/>
        </w:rPr>
        <w:t xml:space="preserve"> </w:t>
      </w:r>
      <w:r w:rsidR="00CF3E4B" w:rsidRPr="547A7DD8">
        <w:rPr>
          <w:rStyle w:val="normaltextrun"/>
          <w:color w:val="000000" w:themeColor="text1"/>
        </w:rPr>
        <w:t>relied on insufficient evidence to find CHL guilty of the alleged offence.</w:t>
      </w:r>
    </w:p>
    <w:p w14:paraId="711ED965" w14:textId="77777777" w:rsidR="008B2AE1" w:rsidRDefault="008B2AE1" w:rsidP="008B2AE1">
      <w:pPr>
        <w:pStyle w:val="WSParaNum"/>
        <w:numPr>
          <w:ilvl w:val="0"/>
          <w:numId w:val="0"/>
        </w:numPr>
        <w:spacing w:before="0" w:after="0"/>
      </w:pPr>
    </w:p>
    <w:p w14:paraId="276654FA" w14:textId="18DB49CF" w:rsidR="00D678D8" w:rsidRDefault="00A858FA" w:rsidP="004926F2">
      <w:pPr>
        <w:pStyle w:val="Heading2"/>
        <w:tabs>
          <w:tab w:val="num" w:pos="720"/>
        </w:tabs>
        <w:spacing w:before="0" w:after="0"/>
        <w:rPr>
          <w:rFonts w:ascii="Times New Roman" w:hAnsi="Times New Roman"/>
          <w:i w:val="0"/>
          <w:sz w:val="24"/>
          <w:szCs w:val="24"/>
        </w:rPr>
      </w:pPr>
      <w:bookmarkStart w:id="22" w:name="_Toc220076112"/>
      <w:r>
        <w:rPr>
          <w:rFonts w:ascii="Times New Roman" w:hAnsi="Times New Roman"/>
          <w:i w:val="0"/>
          <w:sz w:val="24"/>
          <w:szCs w:val="24"/>
        </w:rPr>
        <w:t xml:space="preserve">Issue 3: </w:t>
      </w:r>
      <w:r w:rsidR="000769D7" w:rsidRPr="000769D7">
        <w:rPr>
          <w:rFonts w:ascii="Times New Roman" w:hAnsi="Times New Roman"/>
          <w:i w:val="0"/>
          <w:sz w:val="24"/>
          <w:szCs w:val="24"/>
        </w:rPr>
        <w:t>The OCJ did not err in its interpretation of the statutory definition of “habitat”</w:t>
      </w:r>
      <w:bookmarkEnd w:id="22"/>
    </w:p>
    <w:p w14:paraId="453964C2" w14:textId="77777777" w:rsidR="00206973" w:rsidRPr="00206973" w:rsidRDefault="00206973" w:rsidP="00206973">
      <w:pPr>
        <w:spacing w:line="360" w:lineRule="auto"/>
      </w:pPr>
    </w:p>
    <w:p w14:paraId="19A3C059" w14:textId="59755D6E" w:rsidR="0007098C" w:rsidRDefault="005C3AA6" w:rsidP="0024187B">
      <w:pPr>
        <w:pStyle w:val="WSParaNum"/>
        <w:spacing w:before="0" w:after="0"/>
      </w:pPr>
      <w:r w:rsidRPr="005C3AA6">
        <w:t>The OCJ correctly gave effect to the statutory inclusion of indirect dependence by requiring proof that Blanding’s turtles relied, either directly or indirectly, on the Site at the time of the alleged offence.</w:t>
      </w:r>
    </w:p>
    <w:p w14:paraId="07CC0EC4" w14:textId="77777777" w:rsidR="00206973" w:rsidRPr="00D678D8" w:rsidRDefault="00206973" w:rsidP="00206973">
      <w:pPr>
        <w:pStyle w:val="WSParaNum"/>
        <w:numPr>
          <w:ilvl w:val="0"/>
          <w:numId w:val="0"/>
        </w:numPr>
        <w:spacing w:before="0" w:after="0"/>
      </w:pPr>
    </w:p>
    <w:p w14:paraId="69591E12" w14:textId="4F588A70" w:rsidR="4DE51A6B" w:rsidRDefault="4DE51A6B" w:rsidP="4DE51A6B">
      <w:pPr>
        <w:pStyle w:val="WSParaNum"/>
        <w:numPr>
          <w:ilvl w:val="0"/>
          <w:numId w:val="0"/>
        </w:numPr>
        <w:spacing w:before="0" w:after="0"/>
      </w:pPr>
    </w:p>
    <w:p w14:paraId="0CAA3030" w14:textId="783F9D4D" w:rsidR="008C63D1" w:rsidRPr="004810D6" w:rsidRDefault="008B2AE1" w:rsidP="008C63D1">
      <w:pPr>
        <w:pStyle w:val="Heading3"/>
        <w:spacing w:before="0" w:after="0" w:line="360" w:lineRule="auto"/>
        <w:rPr>
          <w:rFonts w:ascii="Times New Roman" w:hAnsi="Times New Roman"/>
          <w:bCs w:val="0"/>
          <w:sz w:val="24"/>
          <w:szCs w:val="24"/>
        </w:rPr>
      </w:pPr>
      <w:bookmarkStart w:id="23" w:name="_Toc220076113"/>
      <w:r w:rsidRPr="004810D6">
        <w:rPr>
          <w:rFonts w:ascii="Times New Roman" w:hAnsi="Times New Roman"/>
          <w:bCs w:val="0"/>
          <w:sz w:val="24"/>
          <w:szCs w:val="24"/>
        </w:rPr>
        <w:lastRenderedPageBreak/>
        <w:t>Indirect dependence requires proof of reliance rather than mere utility</w:t>
      </w:r>
      <w:bookmarkEnd w:id="23"/>
    </w:p>
    <w:p w14:paraId="6E131F1E" w14:textId="77777777" w:rsidR="00206973" w:rsidRPr="00206973" w:rsidRDefault="00206973" w:rsidP="00206973">
      <w:pPr>
        <w:spacing w:line="360" w:lineRule="auto"/>
      </w:pPr>
    </w:p>
    <w:p w14:paraId="209A0FDF" w14:textId="2A0B9F58" w:rsidR="008B2AE1" w:rsidRDefault="00D91661" w:rsidP="008B2AE1">
      <w:pPr>
        <w:pStyle w:val="WSParaNum"/>
        <w:spacing w:before="0" w:after="0"/>
      </w:pPr>
      <w:r w:rsidRPr="00F2658B">
        <w:rPr>
          <w:i/>
          <w:iCs/>
        </w:rPr>
        <w:t>ESA</w:t>
      </w:r>
      <w:r>
        <w:t xml:space="preserve"> </w:t>
      </w:r>
      <w:r w:rsidRPr="00D91661">
        <w:t xml:space="preserve">s. 2(1)(b) defines “habitat” as “an area on which a species depends, directly or indirectly, to carry on its life processes.” The operative concept is dependence, not function or usefulness. Indirect dependence does not transform every supporting area into a habitat. Habitat still requires proof of a relationship of </w:t>
      </w:r>
      <w:r w:rsidRPr="00A20CEB">
        <w:rPr>
          <w:b/>
          <w:bCs/>
        </w:rPr>
        <w:t>necessity and reliance</w:t>
      </w:r>
      <w:r w:rsidRPr="00D91661">
        <w:t xml:space="preserve"> between the area and the members of a species, which the Crown failed to show for Blanding’s turtle</w:t>
      </w:r>
      <w:r w:rsidR="00321FA9">
        <w:t>s</w:t>
      </w:r>
      <w:r w:rsidRPr="00D91661">
        <w:t xml:space="preserve"> and the Site</w:t>
      </w:r>
      <w:r>
        <w:t>.</w:t>
      </w:r>
    </w:p>
    <w:p w14:paraId="1AC4AA0D" w14:textId="0E3B0041" w:rsidR="00AF118B" w:rsidRPr="00D678D8" w:rsidRDefault="00AF118B" w:rsidP="00AF118B">
      <w:pPr>
        <w:pStyle w:val="WSParaNum"/>
        <w:numPr>
          <w:ilvl w:val="0"/>
          <w:numId w:val="0"/>
        </w:numPr>
        <w:spacing w:before="0" w:after="0" w:line="240" w:lineRule="auto"/>
        <w:ind w:left="720" w:right="720"/>
        <w:rPr>
          <w:sz w:val="20"/>
          <w:szCs w:val="20"/>
        </w:rPr>
      </w:pPr>
      <w:r>
        <w:rPr>
          <w:rStyle w:val="normaltextrun"/>
          <w:i/>
          <w:iCs/>
          <w:color w:val="1A1A1A"/>
          <w:sz w:val="20"/>
          <w:szCs w:val="20"/>
          <w:shd w:val="clear" w:color="auto" w:fill="FFFFFF"/>
          <w:lang w:val="en-GB"/>
        </w:rPr>
        <w:t>ESA</w:t>
      </w:r>
      <w:r>
        <w:rPr>
          <w:rStyle w:val="normaltextrun"/>
          <w:color w:val="1A1A1A"/>
          <w:sz w:val="20"/>
          <w:szCs w:val="20"/>
          <w:shd w:val="clear" w:color="auto" w:fill="FFFFFF"/>
          <w:lang w:val="en-GB"/>
        </w:rPr>
        <w:t>, s 2(1)(b)</w:t>
      </w:r>
      <w:r w:rsidRPr="00D678D8">
        <w:rPr>
          <w:sz w:val="20"/>
          <w:szCs w:val="20"/>
        </w:rPr>
        <w:t>.</w:t>
      </w:r>
    </w:p>
    <w:p w14:paraId="05BC7D8F" w14:textId="77777777" w:rsidR="00AF118B" w:rsidRPr="00D678D8" w:rsidRDefault="00AF118B" w:rsidP="00AF118B">
      <w:pPr>
        <w:pStyle w:val="WSParaNum"/>
        <w:numPr>
          <w:ilvl w:val="0"/>
          <w:numId w:val="0"/>
        </w:numPr>
        <w:spacing w:before="0" w:after="0" w:line="240" w:lineRule="auto"/>
        <w:ind w:left="720" w:right="720"/>
        <w:rPr>
          <w:sz w:val="20"/>
          <w:szCs w:val="20"/>
        </w:rPr>
      </w:pPr>
    </w:p>
    <w:p w14:paraId="2B297958" w14:textId="570393EF" w:rsidR="00AF118B" w:rsidRDefault="00583090" w:rsidP="0018036A">
      <w:pPr>
        <w:pStyle w:val="WSParaNum"/>
        <w:numPr>
          <w:ilvl w:val="0"/>
          <w:numId w:val="0"/>
        </w:numPr>
        <w:spacing w:before="0" w:after="0" w:line="240" w:lineRule="auto"/>
        <w:ind w:left="720"/>
        <w:rPr>
          <w:sz w:val="20"/>
          <w:szCs w:val="20"/>
        </w:rPr>
      </w:pPr>
      <w:r>
        <w:rPr>
          <w:rStyle w:val="normaltextrun"/>
          <w:color w:val="000000"/>
          <w:sz w:val="20"/>
          <w:szCs w:val="20"/>
          <w:shd w:val="clear" w:color="auto" w:fill="FFFFFF"/>
          <w:lang w:val="en-US"/>
        </w:rPr>
        <w:t>Ontario, Ministry of the Environment, Conservation and Parks, </w:t>
      </w:r>
      <w:r>
        <w:rPr>
          <w:rStyle w:val="normaltextrun"/>
          <w:i/>
          <w:iCs/>
          <w:color w:val="000000"/>
          <w:sz w:val="20"/>
          <w:szCs w:val="20"/>
          <w:shd w:val="clear" w:color="auto" w:fill="FFFFFF"/>
          <w:lang w:val="en-US"/>
        </w:rPr>
        <w:t>Categorizing and Protecting Habitat under the Endangered Species Act </w:t>
      </w:r>
      <w:r>
        <w:rPr>
          <w:rStyle w:val="normaltextrun"/>
          <w:color w:val="000000"/>
          <w:sz w:val="20"/>
          <w:szCs w:val="20"/>
          <w:shd w:val="clear" w:color="auto" w:fill="FFFFFF"/>
          <w:lang w:val="en-US"/>
        </w:rPr>
        <w:t>(Toronto: MECP, 2012) at 2</w:t>
      </w:r>
      <w:r w:rsidR="00AF118B" w:rsidRPr="00D678D8">
        <w:rPr>
          <w:sz w:val="20"/>
          <w:szCs w:val="20"/>
        </w:rPr>
        <w:t>.</w:t>
      </w:r>
    </w:p>
    <w:p w14:paraId="5CCD3FB9" w14:textId="77777777" w:rsidR="00AF118B" w:rsidRPr="00AF118B" w:rsidRDefault="00AF118B" w:rsidP="00AF118B">
      <w:pPr>
        <w:pStyle w:val="WSParaNum"/>
        <w:numPr>
          <w:ilvl w:val="0"/>
          <w:numId w:val="0"/>
        </w:numPr>
        <w:spacing w:before="0" w:after="0"/>
      </w:pPr>
    </w:p>
    <w:p w14:paraId="30EEC94F" w14:textId="10E787DC" w:rsidR="00AF1738" w:rsidRDefault="000578E8" w:rsidP="00CA72C7">
      <w:pPr>
        <w:pStyle w:val="WSParaNum"/>
        <w:spacing w:before="0" w:after="0"/>
      </w:pPr>
      <w:r>
        <w:t>The Crown’s</w:t>
      </w:r>
      <w:r w:rsidR="00F2658B">
        <w:t xml:space="preserve"> </w:t>
      </w:r>
      <w:r w:rsidR="00F2658B" w:rsidRPr="00F2658B">
        <w:t xml:space="preserve">interpretation of “habitat” risks expanding the statutory definition beyond what the </w:t>
      </w:r>
      <w:r w:rsidR="00F2658B" w:rsidRPr="00F2658B">
        <w:rPr>
          <w:i/>
          <w:iCs/>
        </w:rPr>
        <w:t>ESA</w:t>
      </w:r>
      <w:r w:rsidR="00F2658B" w:rsidRPr="00F2658B">
        <w:t xml:space="preserve"> permits. Under the Crown’s approach, any land that is beneficial or “contributing to the function of habitat” would qualify as a habitat. This interpretation is inconsistent with the statutory language and structure of the </w:t>
      </w:r>
      <w:r w:rsidR="00F2658B" w:rsidRPr="00F2658B">
        <w:rPr>
          <w:i/>
          <w:iCs/>
        </w:rPr>
        <w:t>ESA</w:t>
      </w:r>
      <w:r w:rsidR="00F2658B" w:rsidRPr="00F2658B">
        <w:t>.</w:t>
      </w:r>
      <w:r w:rsidR="005F43B6" w:rsidRPr="005F43B6">
        <w:t xml:space="preserve"> </w:t>
      </w:r>
      <w:r w:rsidR="005F43B6">
        <w:t xml:space="preserve">This broad </w:t>
      </w:r>
      <w:r w:rsidR="005F43B6" w:rsidRPr="00F2658B">
        <w:t>description would result in any land within an ecosystem being characterized as habitat, regardless of whether the species relies and depends on it.</w:t>
      </w:r>
    </w:p>
    <w:p w14:paraId="2AEE74BA" w14:textId="63EBD7E4" w:rsidR="35C83214" w:rsidRDefault="1CE06A47" w:rsidP="00AF1738">
      <w:pPr>
        <w:pStyle w:val="WSParaNum"/>
        <w:numPr>
          <w:ilvl w:val="0"/>
          <w:numId w:val="0"/>
        </w:numPr>
        <w:spacing w:before="0" w:after="0" w:line="240" w:lineRule="auto"/>
        <w:ind w:firstLine="720"/>
      </w:pPr>
      <w:r w:rsidRPr="6C25C231">
        <w:rPr>
          <w:sz w:val="20"/>
          <w:szCs w:val="20"/>
        </w:rPr>
        <w:t>OCJ decision at 13</w:t>
      </w:r>
      <w:r w:rsidR="008208A9">
        <w:rPr>
          <w:sz w:val="20"/>
          <w:szCs w:val="20"/>
        </w:rPr>
        <w:t>–</w:t>
      </w:r>
      <w:r w:rsidRPr="0A98642E">
        <w:rPr>
          <w:sz w:val="20"/>
          <w:szCs w:val="20"/>
        </w:rPr>
        <w:t>14</w:t>
      </w:r>
    </w:p>
    <w:p w14:paraId="21AC0DCB" w14:textId="590F834C" w:rsidR="00610070" w:rsidRDefault="00610070" w:rsidP="00610070">
      <w:pPr>
        <w:pStyle w:val="WSParaNum"/>
        <w:numPr>
          <w:ilvl w:val="0"/>
          <w:numId w:val="0"/>
        </w:numPr>
        <w:spacing w:before="0" w:after="0"/>
      </w:pPr>
    </w:p>
    <w:p w14:paraId="50C889B7" w14:textId="113544CD" w:rsidR="00F2658B" w:rsidRDefault="000578E8" w:rsidP="00501431">
      <w:pPr>
        <w:pStyle w:val="WSParaNum"/>
        <w:spacing w:before="0" w:after="0"/>
      </w:pPr>
      <w:r>
        <w:t>The OCJ</w:t>
      </w:r>
      <w:r w:rsidR="00501431">
        <w:t xml:space="preserve"> </w:t>
      </w:r>
      <w:r w:rsidR="00501431" w:rsidRPr="00501431">
        <w:t xml:space="preserve">correctly distinguished between utility and statutory dependence. An area may be beneficial or supportive without being one on which a species depends. While land other than the Site may be useful to Blanding’s turtles, usefulness alone does not establish that turtles relied on the Site to carry on the life processes specified in the </w:t>
      </w:r>
      <w:r w:rsidR="00501431" w:rsidRPr="00501431">
        <w:rPr>
          <w:i/>
          <w:iCs/>
        </w:rPr>
        <w:t>ESA</w:t>
      </w:r>
      <w:r w:rsidR="00501431" w:rsidRPr="00501431">
        <w:t>, including reproduction, rearing, hibernation, migration, or feeding.</w:t>
      </w:r>
    </w:p>
    <w:p w14:paraId="695134EB" w14:textId="4A8CAD00" w:rsidR="00610070" w:rsidRDefault="00610070" w:rsidP="00610070">
      <w:pPr>
        <w:pStyle w:val="WSParaNum"/>
        <w:numPr>
          <w:ilvl w:val="0"/>
          <w:numId w:val="0"/>
        </w:numPr>
        <w:spacing w:before="0" w:after="0"/>
        <w:ind w:firstLine="720"/>
      </w:pPr>
      <w:r>
        <w:rPr>
          <w:rStyle w:val="normaltextrun"/>
          <w:color w:val="000000"/>
          <w:sz w:val="20"/>
          <w:szCs w:val="20"/>
          <w:shd w:val="clear" w:color="auto" w:fill="FFFFFF"/>
          <w:lang w:val="en-GB"/>
        </w:rPr>
        <w:t>OCJ decision</w:t>
      </w:r>
      <w:r>
        <w:rPr>
          <w:rStyle w:val="normaltextrun"/>
          <w:i/>
          <w:iCs/>
          <w:color w:val="000000"/>
          <w:sz w:val="20"/>
          <w:szCs w:val="20"/>
          <w:shd w:val="clear" w:color="auto" w:fill="FFFFFF"/>
          <w:lang w:val="en-GB"/>
        </w:rPr>
        <w:t> </w:t>
      </w:r>
      <w:r>
        <w:rPr>
          <w:rStyle w:val="normaltextrun"/>
          <w:color w:val="000000"/>
          <w:sz w:val="20"/>
          <w:szCs w:val="20"/>
          <w:shd w:val="clear" w:color="auto" w:fill="FFFFFF"/>
          <w:lang w:val="en-GB"/>
        </w:rPr>
        <w:t>at 20</w:t>
      </w:r>
      <w:r>
        <w:rPr>
          <w:sz w:val="20"/>
          <w:szCs w:val="20"/>
        </w:rPr>
        <w:t>.</w:t>
      </w:r>
    </w:p>
    <w:p w14:paraId="18D28A05" w14:textId="77777777" w:rsidR="00610070" w:rsidRDefault="00610070" w:rsidP="00610070">
      <w:pPr>
        <w:pStyle w:val="WSParaNum"/>
        <w:numPr>
          <w:ilvl w:val="0"/>
          <w:numId w:val="0"/>
        </w:numPr>
        <w:spacing w:before="0" w:after="0"/>
      </w:pPr>
    </w:p>
    <w:p w14:paraId="2C5B4FDD" w14:textId="111B1F91" w:rsidR="00F2658B" w:rsidRDefault="00F2658B" w:rsidP="008B2AE1">
      <w:pPr>
        <w:pStyle w:val="WSParaNum"/>
        <w:spacing w:before="0" w:after="0"/>
      </w:pPr>
      <w:r>
        <w:t xml:space="preserve">“Dependence” </w:t>
      </w:r>
      <w:r w:rsidR="00501431" w:rsidRPr="00501431">
        <w:t xml:space="preserve">correctly distinguished between utility and statutory dependence. An area may be beneficial or supportive without being one on which a species depends. While land other than the Site may be useful to Blanding’s turtles, usefulness alone does not establish that turtles relied on the Site to carry on the life processes specified in the </w:t>
      </w:r>
      <w:r w:rsidR="00501431" w:rsidRPr="00501431">
        <w:rPr>
          <w:i/>
          <w:iCs/>
        </w:rPr>
        <w:t>ESA</w:t>
      </w:r>
      <w:r w:rsidR="00501431" w:rsidRPr="00501431">
        <w:t>, including reproduction, rearing, hibernation, migration, or feeding.</w:t>
      </w:r>
    </w:p>
    <w:p w14:paraId="3D20EED8" w14:textId="659B86E0" w:rsidR="00610070" w:rsidRDefault="007F54A8" w:rsidP="0018036A">
      <w:pPr>
        <w:pStyle w:val="WSParaNum"/>
        <w:numPr>
          <w:ilvl w:val="0"/>
          <w:numId w:val="0"/>
        </w:numPr>
        <w:spacing w:before="0" w:after="0" w:line="240" w:lineRule="auto"/>
        <w:ind w:left="720"/>
      </w:pPr>
      <w:r>
        <w:rPr>
          <w:rStyle w:val="normaltextrun"/>
          <w:color w:val="000000"/>
          <w:sz w:val="20"/>
          <w:szCs w:val="20"/>
          <w:shd w:val="clear" w:color="auto" w:fill="FFFFFF"/>
          <w:lang w:val="en-US"/>
        </w:rPr>
        <w:t>Michael Proffitt, ed, </w:t>
      </w:r>
      <w:r>
        <w:rPr>
          <w:rStyle w:val="normaltextrun"/>
          <w:i/>
          <w:iCs/>
          <w:color w:val="000000"/>
          <w:sz w:val="20"/>
          <w:szCs w:val="20"/>
          <w:shd w:val="clear" w:color="auto" w:fill="FFFFFF"/>
          <w:lang w:val="en-US"/>
        </w:rPr>
        <w:t>Oxford English Dictionary</w:t>
      </w:r>
      <w:r>
        <w:rPr>
          <w:rStyle w:val="normaltextrun"/>
          <w:color w:val="000000"/>
          <w:sz w:val="20"/>
          <w:szCs w:val="20"/>
          <w:shd w:val="clear" w:color="auto" w:fill="FFFFFF"/>
          <w:lang w:val="en-US"/>
        </w:rPr>
        <w:t>, 3rd ed (Oxford: Oxford University Press, 2025) </w:t>
      </w:r>
      <w:r>
        <w:rPr>
          <w:rStyle w:val="normaltextrun"/>
          <w:i/>
          <w:iCs/>
          <w:color w:val="000000"/>
          <w:sz w:val="20"/>
          <w:szCs w:val="20"/>
          <w:shd w:val="clear" w:color="auto" w:fill="FFFFFF"/>
          <w:lang w:val="en-US"/>
        </w:rPr>
        <w:t>sub verbo </w:t>
      </w:r>
      <w:r>
        <w:rPr>
          <w:rStyle w:val="normaltextrun"/>
          <w:color w:val="000000"/>
          <w:sz w:val="20"/>
          <w:szCs w:val="20"/>
          <w:shd w:val="clear" w:color="auto" w:fill="FFFFFF"/>
          <w:lang w:val="en-US"/>
        </w:rPr>
        <w:t>“dependent”</w:t>
      </w:r>
      <w:r w:rsidR="00610070">
        <w:rPr>
          <w:sz w:val="20"/>
          <w:szCs w:val="20"/>
        </w:rPr>
        <w:t>.</w:t>
      </w:r>
    </w:p>
    <w:p w14:paraId="4CDEE36D" w14:textId="77777777" w:rsidR="00610070" w:rsidRDefault="00610070" w:rsidP="00610070">
      <w:pPr>
        <w:pStyle w:val="WSParaNum"/>
        <w:numPr>
          <w:ilvl w:val="0"/>
          <w:numId w:val="0"/>
        </w:numPr>
        <w:spacing w:before="0" w:after="0"/>
      </w:pPr>
    </w:p>
    <w:p w14:paraId="56E2C597" w14:textId="25FEEE3E" w:rsidR="00501431" w:rsidRDefault="005F43B6" w:rsidP="00D179C6">
      <w:pPr>
        <w:pStyle w:val="WSParaNum"/>
        <w:spacing w:after="0"/>
      </w:pPr>
      <w:r>
        <w:t xml:space="preserve">The SCC has cautioned that statutory provisions must be interpreted in a manner that gives effect to their limiting language and avoids interpretations that defeat legislative intent. </w:t>
      </w:r>
      <w:r w:rsidR="00501431">
        <w:t>Courts</w:t>
      </w:r>
      <w:r w:rsidR="00454041">
        <w:t xml:space="preserve"> should avoid making statutory interpretations that create unjust or inequitable results. Interpreting indirect dependence to include any land that contributes to the ecosystem ignores the limits imposed by the </w:t>
      </w:r>
      <w:r w:rsidR="00454041" w:rsidRPr="00454041">
        <w:rPr>
          <w:i/>
          <w:iCs/>
        </w:rPr>
        <w:t>ESA</w:t>
      </w:r>
      <w:r w:rsidR="00454041">
        <w:t xml:space="preserve">, rendering the requirement of dependence meaningless. </w:t>
      </w:r>
    </w:p>
    <w:p w14:paraId="62090D56" w14:textId="235FA744" w:rsidR="007F54A8" w:rsidRDefault="00D179C6" w:rsidP="007F54A8">
      <w:pPr>
        <w:pStyle w:val="WSParaNum"/>
        <w:numPr>
          <w:ilvl w:val="0"/>
          <w:numId w:val="0"/>
        </w:numPr>
        <w:spacing w:before="0" w:after="0"/>
        <w:ind w:firstLine="720"/>
      </w:pPr>
      <w:r>
        <w:rPr>
          <w:rStyle w:val="normaltextrun"/>
          <w:i/>
          <w:iCs/>
          <w:color w:val="000000"/>
          <w:sz w:val="20"/>
          <w:szCs w:val="20"/>
          <w:shd w:val="clear" w:color="auto" w:fill="FFFFFF"/>
          <w:lang w:val="en-US"/>
        </w:rPr>
        <w:t>Ontario v Canadian Pacific Ltd</w:t>
      </w:r>
      <w:r>
        <w:rPr>
          <w:rStyle w:val="normaltextrun"/>
          <w:color w:val="000000"/>
          <w:sz w:val="20"/>
          <w:szCs w:val="20"/>
          <w:shd w:val="clear" w:color="auto" w:fill="FFFFFF"/>
          <w:lang w:val="en-US"/>
        </w:rPr>
        <w:t>, [1995] 2 SCR 1031, 1995 CanLII 112 (SCC) at para 65</w:t>
      </w:r>
      <w:r w:rsidR="007F54A8">
        <w:rPr>
          <w:sz w:val="20"/>
          <w:szCs w:val="20"/>
        </w:rPr>
        <w:t>.</w:t>
      </w:r>
    </w:p>
    <w:p w14:paraId="184D5C1F" w14:textId="77777777" w:rsidR="007F54A8" w:rsidRDefault="007F54A8" w:rsidP="00D179C6">
      <w:pPr>
        <w:pStyle w:val="WSParaNum"/>
        <w:numPr>
          <w:ilvl w:val="0"/>
          <w:numId w:val="0"/>
        </w:numPr>
        <w:spacing w:before="0" w:after="0"/>
      </w:pPr>
    </w:p>
    <w:p w14:paraId="1196BF2B" w14:textId="351063C0" w:rsidR="00501431" w:rsidRDefault="00501431" w:rsidP="008B2AE1">
      <w:pPr>
        <w:pStyle w:val="WSParaNum"/>
        <w:spacing w:before="0" w:after="0"/>
      </w:pPr>
      <w:r>
        <w:t>The OCJ’s</w:t>
      </w:r>
      <w:r w:rsidR="00454041">
        <w:t xml:space="preserve"> </w:t>
      </w:r>
      <w:r w:rsidR="00454041" w:rsidRPr="00454041">
        <w:t xml:space="preserve">approach respected this principle </w:t>
      </w:r>
      <w:r w:rsidR="00454041" w:rsidRPr="00D52B67">
        <w:t>by</w:t>
      </w:r>
      <w:r w:rsidR="00DD5C39" w:rsidRPr="00D52B67">
        <w:t xml:space="preserve"> </w:t>
      </w:r>
      <w:r w:rsidR="008D2BC7" w:rsidRPr="00D52B67">
        <w:t>not</w:t>
      </w:r>
      <w:r w:rsidR="00454041" w:rsidRPr="00D52B67">
        <w:t xml:space="preserve"> equat</w:t>
      </w:r>
      <w:r w:rsidR="008D2BC7" w:rsidRPr="00D52B67">
        <w:t>ing</w:t>
      </w:r>
      <w:r w:rsidR="00454041" w:rsidRPr="00D52B67">
        <w:t xml:space="preserve"> contribution and function</w:t>
      </w:r>
      <w:r w:rsidR="00454041" w:rsidRPr="00454041">
        <w:t xml:space="preserve"> with legal dependence, preserving the distinction the legislature drew between land that is contributory and land that qualifies as habitat under the </w:t>
      </w:r>
      <w:r w:rsidR="00454041" w:rsidRPr="00454041">
        <w:rPr>
          <w:i/>
          <w:iCs/>
        </w:rPr>
        <w:t>ESA</w:t>
      </w:r>
      <w:r w:rsidR="00454041" w:rsidRPr="00454041">
        <w:t xml:space="preserve">.  </w:t>
      </w:r>
    </w:p>
    <w:p w14:paraId="3D486C27" w14:textId="77777777" w:rsidR="009C3032" w:rsidRDefault="009C3032" w:rsidP="009C3032">
      <w:pPr>
        <w:pStyle w:val="WSParaNum"/>
        <w:numPr>
          <w:ilvl w:val="0"/>
          <w:numId w:val="0"/>
        </w:numPr>
        <w:spacing w:before="0" w:after="0"/>
      </w:pPr>
    </w:p>
    <w:p w14:paraId="082DA863" w14:textId="719C430C" w:rsidR="00501431" w:rsidRDefault="00501431" w:rsidP="008B2AE1">
      <w:pPr>
        <w:pStyle w:val="WSParaNum"/>
        <w:spacing w:before="0" w:after="0"/>
      </w:pPr>
      <w:r>
        <w:t>If the</w:t>
      </w:r>
      <w:r w:rsidR="00170062">
        <w:t xml:space="preserve"> </w:t>
      </w:r>
      <w:r w:rsidR="00170062" w:rsidRPr="00170062">
        <w:t xml:space="preserve">legislature wanted to expand the </w:t>
      </w:r>
      <w:r w:rsidR="00170062" w:rsidRPr="00454041">
        <w:rPr>
          <w:i/>
          <w:iCs/>
        </w:rPr>
        <w:t>ESA</w:t>
      </w:r>
      <w:r w:rsidR="00170062" w:rsidRPr="00170062">
        <w:t xml:space="preserve"> in the manner the Crown proposes, it would be explicitly mentioned. The preamble to the </w:t>
      </w:r>
      <w:r w:rsidR="00170062" w:rsidRPr="00454041">
        <w:rPr>
          <w:i/>
          <w:iCs/>
        </w:rPr>
        <w:t>ESA</w:t>
      </w:r>
      <w:r w:rsidR="00170062" w:rsidRPr="00170062">
        <w:t xml:space="preserve"> affirms that “the people of Ontario wish to do their part in protecting species at risk, with appropriate regard to social, economic, and cultural considerations.” Clearly, creating an overly broad definition of habitat could require vast swaths of the province to be protected as habitat, harming the economy and contravening the statute’s intention.</w:t>
      </w:r>
    </w:p>
    <w:p w14:paraId="06A64E0A" w14:textId="7EFDA699" w:rsidR="00D66477" w:rsidRDefault="00D66477" w:rsidP="00D66477">
      <w:pPr>
        <w:pStyle w:val="WSParaNum"/>
        <w:numPr>
          <w:ilvl w:val="0"/>
          <w:numId w:val="0"/>
        </w:numPr>
        <w:spacing w:before="0" w:after="0"/>
        <w:ind w:firstLine="720"/>
      </w:pPr>
      <w:r>
        <w:rPr>
          <w:rStyle w:val="normaltextrun"/>
          <w:i/>
          <w:iCs/>
          <w:color w:val="000000"/>
          <w:sz w:val="20"/>
          <w:szCs w:val="20"/>
          <w:shd w:val="clear" w:color="auto" w:fill="FFFFFF"/>
          <w:lang w:val="en-GB"/>
        </w:rPr>
        <w:t>ESA</w:t>
      </w:r>
      <w:r>
        <w:rPr>
          <w:rStyle w:val="normaltextrun"/>
          <w:color w:val="000000"/>
          <w:sz w:val="20"/>
          <w:szCs w:val="20"/>
          <w:shd w:val="clear" w:color="auto" w:fill="FFFFFF"/>
          <w:lang w:val="en-GB"/>
        </w:rPr>
        <w:t>, Preamble</w:t>
      </w:r>
      <w:r>
        <w:rPr>
          <w:sz w:val="20"/>
          <w:szCs w:val="20"/>
        </w:rPr>
        <w:t>.</w:t>
      </w:r>
    </w:p>
    <w:p w14:paraId="74DA226C" w14:textId="77777777" w:rsidR="00D179C6" w:rsidRDefault="00D179C6" w:rsidP="00D179C6">
      <w:pPr>
        <w:pStyle w:val="WSParaNum"/>
        <w:numPr>
          <w:ilvl w:val="0"/>
          <w:numId w:val="0"/>
        </w:numPr>
        <w:spacing w:before="0" w:after="0"/>
      </w:pPr>
    </w:p>
    <w:p w14:paraId="40C77E5F" w14:textId="727D8819" w:rsidR="00501431" w:rsidRDefault="00501431" w:rsidP="008B2AE1">
      <w:pPr>
        <w:pStyle w:val="WSParaNum"/>
        <w:spacing w:before="0" w:after="0"/>
      </w:pPr>
      <w:r>
        <w:t>The legislature</w:t>
      </w:r>
      <w:r w:rsidR="00170062">
        <w:t xml:space="preserve"> </w:t>
      </w:r>
      <w:r w:rsidR="00170062" w:rsidRPr="00170062">
        <w:t xml:space="preserve">deliberately adopted a broad definition of habitat in </w:t>
      </w:r>
      <w:r w:rsidR="00170062" w:rsidRPr="00454041">
        <w:rPr>
          <w:i/>
          <w:iCs/>
        </w:rPr>
        <w:t>ESA</w:t>
      </w:r>
      <w:r w:rsidR="00170062" w:rsidRPr="00170062">
        <w:t xml:space="preserve"> s. 2(1)(b) but imposed a clear limiting principle in s. 2(2). Habitat is not defined by general function or contribution to an ecosystem; rather, it is confined to areas on which a species depends to carry on life processes. If the legislature intended to extend habitat protection to any land that </w:t>
      </w:r>
      <w:r w:rsidR="00170062">
        <w:t>merely</w:t>
      </w:r>
      <w:r w:rsidR="00561E11">
        <w:t xml:space="preserve"> </w:t>
      </w:r>
      <w:r w:rsidR="00170062">
        <w:t>performs</w:t>
      </w:r>
      <w:r w:rsidR="00170062" w:rsidRPr="00170062">
        <w:t xml:space="preserve"> a functional or contributory role, it would not have anchored the definition to dependence and life processes.</w:t>
      </w:r>
    </w:p>
    <w:p w14:paraId="61F647B9" w14:textId="77777777" w:rsidR="009C3032" w:rsidRDefault="009C3032" w:rsidP="009C3032">
      <w:pPr>
        <w:pStyle w:val="WSParaNum"/>
        <w:numPr>
          <w:ilvl w:val="0"/>
          <w:numId w:val="0"/>
        </w:numPr>
        <w:spacing w:before="0" w:after="0"/>
      </w:pPr>
    </w:p>
    <w:p w14:paraId="515F9023" w14:textId="6226601C" w:rsidR="008B2AE1" w:rsidRPr="00162B9A" w:rsidRDefault="008B2AE1" w:rsidP="00A60CE3">
      <w:pPr>
        <w:pStyle w:val="Heading3"/>
        <w:spacing w:before="0" w:after="0" w:line="360" w:lineRule="auto"/>
        <w:rPr>
          <w:rFonts w:ascii="Times New Roman" w:hAnsi="Times New Roman"/>
          <w:bCs w:val="0"/>
          <w:sz w:val="24"/>
          <w:szCs w:val="24"/>
        </w:rPr>
      </w:pPr>
      <w:bookmarkStart w:id="24" w:name="_Toc220076114"/>
      <w:r w:rsidRPr="00162B9A">
        <w:rPr>
          <w:rFonts w:ascii="Times New Roman" w:hAnsi="Times New Roman"/>
          <w:bCs w:val="0"/>
          <w:sz w:val="24"/>
          <w:szCs w:val="24"/>
        </w:rPr>
        <w:t xml:space="preserve">The </w:t>
      </w:r>
      <w:r w:rsidR="00A60CE3" w:rsidRPr="00162B9A">
        <w:rPr>
          <w:rFonts w:ascii="Times New Roman" w:hAnsi="Times New Roman"/>
          <w:bCs w:val="0"/>
          <w:sz w:val="24"/>
          <w:szCs w:val="24"/>
        </w:rPr>
        <w:t>OCJ did not reject “indirect habitat” as a legal concept</w:t>
      </w:r>
      <w:bookmarkEnd w:id="24"/>
    </w:p>
    <w:p w14:paraId="370D2583" w14:textId="77777777" w:rsidR="009C3032" w:rsidRPr="009C3032" w:rsidRDefault="009C3032" w:rsidP="009C3032">
      <w:pPr>
        <w:spacing w:line="360" w:lineRule="auto"/>
      </w:pPr>
    </w:p>
    <w:p w14:paraId="3A26AA53" w14:textId="597D903B" w:rsidR="008C63D1" w:rsidRDefault="00C81ED5" w:rsidP="008B2AE1">
      <w:pPr>
        <w:pStyle w:val="WSParaNum"/>
        <w:spacing w:before="0" w:after="0"/>
      </w:pPr>
      <w:r>
        <w:lastRenderedPageBreak/>
        <w:t xml:space="preserve">The OCJ properly </w:t>
      </w:r>
      <w:r w:rsidRPr="009036C3">
        <w:t>interpreted the statutory definition of habitat in s. 2(1)(b), then assessed whether the Crown’s evidence satisfied that definition.</w:t>
      </w:r>
      <w:r>
        <w:t xml:space="preserve"> </w:t>
      </w:r>
      <w:r w:rsidR="009036C3">
        <w:t xml:space="preserve">The </w:t>
      </w:r>
      <w:r w:rsidR="009036C3" w:rsidRPr="009036C3">
        <w:t xml:space="preserve">OCJ did not interpret the </w:t>
      </w:r>
      <w:r w:rsidR="009036C3" w:rsidRPr="009036C3">
        <w:rPr>
          <w:i/>
          <w:iCs/>
        </w:rPr>
        <w:t>ESA</w:t>
      </w:r>
      <w:r w:rsidR="009036C3" w:rsidRPr="009036C3">
        <w:t xml:space="preserve"> to exclude habitat that a species indirectly relies upon, namely “indirect habitat.” </w:t>
      </w:r>
    </w:p>
    <w:p w14:paraId="4EB861B0" w14:textId="77777777" w:rsidR="009C3032" w:rsidRDefault="009C3032" w:rsidP="009C3032">
      <w:pPr>
        <w:pStyle w:val="WSParaNum"/>
        <w:numPr>
          <w:ilvl w:val="0"/>
          <w:numId w:val="0"/>
        </w:numPr>
        <w:spacing w:before="0" w:after="0"/>
      </w:pPr>
    </w:p>
    <w:p w14:paraId="26956553" w14:textId="5D10DF3D" w:rsidR="009036C3" w:rsidRDefault="3EB80246" w:rsidP="008B2AE1">
      <w:pPr>
        <w:pStyle w:val="WSParaNum"/>
        <w:spacing w:before="0" w:after="0"/>
      </w:pPr>
      <w:r>
        <w:t xml:space="preserve">The OCJ correctly concluded that the Crown’s evidence at trial failed to establish that Blanding’s turtles depended on the Site at the time of the alleged offence. The OCJ did not hold that habitat protection under the </w:t>
      </w:r>
      <w:r w:rsidRPr="75CB6DCF">
        <w:rPr>
          <w:i/>
          <w:iCs/>
        </w:rPr>
        <w:t>ESA</w:t>
      </w:r>
      <w:r>
        <w:t xml:space="preserve"> requires proof of direct physical use of the Site or contemporaneous occupation. Thi</w:t>
      </w:r>
      <w:r w:rsidR="1CF71D60">
        <w:t>s finding</w:t>
      </w:r>
      <w:r>
        <w:t xml:space="preserve"> a </w:t>
      </w:r>
      <w:r w:rsidR="31BA86FA">
        <w:t>purely a correct</w:t>
      </w:r>
      <w:r>
        <w:t xml:space="preserve"> determination regarding evidence, not a narrowing of the statutory definition.</w:t>
      </w:r>
    </w:p>
    <w:p w14:paraId="27C6AC71" w14:textId="6490BC8D" w:rsidR="00CB348D" w:rsidRDefault="00CB348D" w:rsidP="00CB348D">
      <w:pPr>
        <w:pStyle w:val="WSParaNum"/>
        <w:numPr>
          <w:ilvl w:val="0"/>
          <w:numId w:val="0"/>
        </w:numPr>
        <w:spacing w:before="0" w:after="0"/>
        <w:ind w:firstLine="720"/>
      </w:pPr>
      <w:r w:rsidRPr="7CCE03A4">
        <w:rPr>
          <w:rStyle w:val="normaltextrun"/>
          <w:color w:val="000000" w:themeColor="text1"/>
          <w:sz w:val="20"/>
          <w:szCs w:val="20"/>
          <w:lang w:val="en-GB"/>
        </w:rPr>
        <w:t>OCJ decision at 20</w:t>
      </w:r>
      <w:r>
        <w:rPr>
          <w:sz w:val="20"/>
          <w:szCs w:val="20"/>
        </w:rPr>
        <w:t>.</w:t>
      </w:r>
    </w:p>
    <w:p w14:paraId="53B24348" w14:textId="77777777" w:rsidR="00CB348D" w:rsidRDefault="00CB348D" w:rsidP="00CB348D">
      <w:pPr>
        <w:pStyle w:val="WSParaNum"/>
        <w:numPr>
          <w:ilvl w:val="0"/>
          <w:numId w:val="0"/>
        </w:numPr>
        <w:spacing w:before="0" w:after="0"/>
      </w:pPr>
    </w:p>
    <w:p w14:paraId="0D5EA41C" w14:textId="6BB2F5B6" w:rsidR="009036C3" w:rsidRDefault="009036C3" w:rsidP="008B2AE1">
      <w:pPr>
        <w:pStyle w:val="WSParaNum"/>
        <w:spacing w:before="0" w:after="0"/>
      </w:pPr>
      <w:r>
        <w:t>Under the</w:t>
      </w:r>
      <w:r w:rsidR="00B72AC7">
        <w:t xml:space="preserve"> </w:t>
      </w:r>
      <w:r w:rsidR="00B72AC7" w:rsidRPr="00B72AC7">
        <w:t xml:space="preserve">modern approach to statutory interpretation, courts must read statutory language in its entire context and apply it to the facts in a manner consistent with legislative intent. While the </w:t>
      </w:r>
      <w:r w:rsidR="00B72AC7" w:rsidRPr="00B72AC7">
        <w:rPr>
          <w:i/>
          <w:iCs/>
        </w:rPr>
        <w:t>ESA</w:t>
      </w:r>
      <w:r w:rsidR="00B72AC7" w:rsidRPr="00B72AC7">
        <w:t>’s definition of habitat permits the inclusion of indirect habitat, the statute nonetheless requires that the factual circumstances trigger the application of the legal rule. Here, they did not.</w:t>
      </w:r>
    </w:p>
    <w:p w14:paraId="5FF90A53" w14:textId="38A9B156" w:rsidR="00CB348D" w:rsidRDefault="000D61B2" w:rsidP="00CB348D">
      <w:pPr>
        <w:pStyle w:val="WSParaNum"/>
        <w:numPr>
          <w:ilvl w:val="0"/>
          <w:numId w:val="0"/>
        </w:numPr>
        <w:spacing w:before="0" w:after="0"/>
        <w:ind w:firstLine="720"/>
      </w:pPr>
      <w:r>
        <w:rPr>
          <w:rStyle w:val="normaltextrun"/>
          <w:i/>
          <w:iCs/>
          <w:color w:val="000000"/>
          <w:sz w:val="20"/>
          <w:szCs w:val="20"/>
          <w:shd w:val="clear" w:color="auto" w:fill="FFFFFF"/>
          <w:lang w:val="en-US"/>
        </w:rPr>
        <w:t>Rizzo &amp; Rizzo Shoes Ltd (Re)</w:t>
      </w:r>
      <w:r>
        <w:rPr>
          <w:rStyle w:val="normaltextrun"/>
          <w:color w:val="000000"/>
          <w:sz w:val="20"/>
          <w:szCs w:val="20"/>
          <w:shd w:val="clear" w:color="auto" w:fill="FFFFFF"/>
          <w:lang w:val="en-US"/>
        </w:rPr>
        <w:t>, [1998] 1 SCR 27, 1998 CanLII 837 (SCC) at para 21 [</w:t>
      </w:r>
      <w:r>
        <w:rPr>
          <w:rStyle w:val="normaltextrun"/>
          <w:i/>
          <w:iCs/>
          <w:color w:val="000000"/>
          <w:sz w:val="20"/>
          <w:szCs w:val="20"/>
          <w:shd w:val="clear" w:color="auto" w:fill="FFFFFF"/>
          <w:lang w:val="en-US"/>
        </w:rPr>
        <w:t>Rizzo</w:t>
      </w:r>
      <w:r>
        <w:rPr>
          <w:rStyle w:val="normaltextrun"/>
          <w:color w:val="000000"/>
          <w:sz w:val="20"/>
          <w:szCs w:val="20"/>
          <w:shd w:val="clear" w:color="auto" w:fill="FFFFFF"/>
          <w:lang w:val="en-US"/>
        </w:rPr>
        <w:t>]</w:t>
      </w:r>
      <w:r w:rsidR="00CB348D">
        <w:rPr>
          <w:sz w:val="20"/>
          <w:szCs w:val="20"/>
        </w:rPr>
        <w:t>.</w:t>
      </w:r>
    </w:p>
    <w:p w14:paraId="4716E150" w14:textId="77777777" w:rsidR="00CB348D" w:rsidRDefault="00CB348D" w:rsidP="00CB348D">
      <w:pPr>
        <w:pStyle w:val="WSParaNum"/>
        <w:numPr>
          <w:ilvl w:val="0"/>
          <w:numId w:val="0"/>
        </w:numPr>
        <w:spacing w:before="0" w:after="0"/>
      </w:pPr>
    </w:p>
    <w:p w14:paraId="40191FE1" w14:textId="2132B034" w:rsidR="009036C3" w:rsidRDefault="009036C3" w:rsidP="008B2AE1">
      <w:pPr>
        <w:pStyle w:val="WSParaNum"/>
        <w:spacing w:before="0" w:after="0"/>
      </w:pPr>
      <w:r>
        <w:t xml:space="preserve">The Crown </w:t>
      </w:r>
      <w:r w:rsidR="00B72AC7" w:rsidRPr="00B72AC7">
        <w:t xml:space="preserve">did not present any evidence at trial demonstrating Blanding’s turtles’ reliance on the </w:t>
      </w:r>
      <w:r w:rsidR="00B72AC7">
        <w:t>Sit</w:t>
      </w:r>
      <w:r w:rsidR="55F1A3E7">
        <w:t>e</w:t>
      </w:r>
      <w:r w:rsidR="00B72AC7" w:rsidRPr="00B72AC7">
        <w:t xml:space="preserve"> at the time of the alleged offence. At most, the Crown’s evidence suggests that the Site was near observed sightings and could support life processes. </w:t>
      </w:r>
      <w:r w:rsidR="001007D0">
        <w:t>T</w:t>
      </w:r>
      <w:r w:rsidR="00B72AC7" w:rsidRPr="00B72AC7">
        <w:t>his level of abstraction does not satisfy the statutory threshold of dependence.</w:t>
      </w:r>
    </w:p>
    <w:p w14:paraId="20C6BC67" w14:textId="2A801D05" w:rsidR="000D61B2" w:rsidRDefault="000D61B2" w:rsidP="000D61B2">
      <w:pPr>
        <w:pStyle w:val="WSParaNum"/>
        <w:numPr>
          <w:ilvl w:val="0"/>
          <w:numId w:val="0"/>
        </w:numPr>
        <w:spacing w:before="0" w:after="0"/>
        <w:ind w:firstLine="720"/>
      </w:pPr>
      <w:r>
        <w:rPr>
          <w:rStyle w:val="normaltextrun"/>
          <w:color w:val="000000"/>
          <w:sz w:val="20"/>
          <w:szCs w:val="20"/>
          <w:shd w:val="clear" w:color="auto" w:fill="FFFFFF"/>
          <w:lang w:val="en-GB"/>
        </w:rPr>
        <w:t>OCJ decision at 12–13</w:t>
      </w:r>
      <w:r>
        <w:rPr>
          <w:sz w:val="20"/>
          <w:szCs w:val="20"/>
        </w:rPr>
        <w:t>.</w:t>
      </w:r>
    </w:p>
    <w:p w14:paraId="2843D46D" w14:textId="77777777" w:rsidR="000D61B2" w:rsidRDefault="000D61B2" w:rsidP="000D61B2">
      <w:pPr>
        <w:pStyle w:val="WSParaNum"/>
        <w:numPr>
          <w:ilvl w:val="0"/>
          <w:numId w:val="0"/>
        </w:numPr>
        <w:spacing w:before="0" w:after="0"/>
      </w:pPr>
    </w:p>
    <w:p w14:paraId="4AC6141D" w14:textId="560E634E" w:rsidR="009036C3" w:rsidRDefault="009036C3" w:rsidP="008B2AE1">
      <w:pPr>
        <w:pStyle w:val="WSParaNum"/>
        <w:spacing w:before="0" w:after="0"/>
      </w:pPr>
      <w:r>
        <w:t>Habitat</w:t>
      </w:r>
      <w:r w:rsidR="00596D68">
        <w:t xml:space="preserve"> </w:t>
      </w:r>
      <w:r w:rsidR="00596D68" w:rsidRPr="00596D68">
        <w:t xml:space="preserve">exists where evidence indicates actual dependence. In </w:t>
      </w:r>
      <w:r w:rsidR="00596D68" w:rsidRPr="00596D68">
        <w:rPr>
          <w:i/>
          <w:iCs/>
        </w:rPr>
        <w:t>Marmora</w:t>
      </w:r>
      <w:r w:rsidR="00596D68" w:rsidRPr="00596D68">
        <w:t xml:space="preserve">, the defendant municipality was charged for contravening </w:t>
      </w:r>
      <w:r w:rsidR="00596D68" w:rsidRPr="00596D68">
        <w:rPr>
          <w:i/>
          <w:iCs/>
        </w:rPr>
        <w:t>ESA</w:t>
      </w:r>
      <w:r w:rsidR="00596D68" w:rsidRPr="00596D68">
        <w:t xml:space="preserve"> s. 10(1) by damaging the habitat of the mottled duskywing butterfly, an endangered species under the </w:t>
      </w:r>
      <w:r w:rsidR="00596D68" w:rsidRPr="00596D68">
        <w:rPr>
          <w:i/>
          <w:iCs/>
        </w:rPr>
        <w:t>Act</w:t>
      </w:r>
      <w:r w:rsidR="00596D68" w:rsidRPr="00596D68">
        <w:t>. Similarly to the Blanding’s turtle, the butterfly’s habitat was not defined by regulation</w:t>
      </w:r>
      <w:r w:rsidR="001A5826">
        <w:t xml:space="preserve"> and</w:t>
      </w:r>
      <w:r w:rsidR="00596D68" w:rsidRPr="00596D68">
        <w:t xml:space="preserve"> its habitat was captured </w:t>
      </w:r>
      <w:r w:rsidR="001A5826">
        <w:t>by</w:t>
      </w:r>
      <w:r w:rsidR="00596D68" w:rsidRPr="00596D68">
        <w:t xml:space="preserve"> s. 2(1)(b)</w:t>
      </w:r>
      <w:r w:rsidR="00596D68">
        <w:t>.</w:t>
      </w:r>
    </w:p>
    <w:p w14:paraId="149AC3F2" w14:textId="535B58EC" w:rsidR="000D61B2" w:rsidRDefault="0005046A" w:rsidP="0018036A">
      <w:pPr>
        <w:pStyle w:val="WSParaNum"/>
        <w:numPr>
          <w:ilvl w:val="0"/>
          <w:numId w:val="0"/>
        </w:numPr>
        <w:spacing w:before="0" w:after="0" w:line="240" w:lineRule="auto"/>
        <w:ind w:left="720"/>
      </w:pPr>
      <w:r>
        <w:rPr>
          <w:rStyle w:val="normaltextrun"/>
          <w:i/>
          <w:iCs/>
          <w:color w:val="000000"/>
          <w:sz w:val="20"/>
          <w:szCs w:val="20"/>
          <w:shd w:val="clear" w:color="auto" w:fill="FFFFFF"/>
          <w:lang w:val="en-US"/>
        </w:rPr>
        <w:t>The Corporation of the Municipality of Marmora and Lake v His Majesty the King in Right of Ontario</w:t>
      </w:r>
      <w:r>
        <w:rPr>
          <w:rStyle w:val="normaltextrun"/>
          <w:color w:val="000000"/>
          <w:sz w:val="20"/>
          <w:szCs w:val="20"/>
          <w:shd w:val="clear" w:color="auto" w:fill="FFFFFF"/>
          <w:lang w:val="en-US"/>
        </w:rPr>
        <w:t>, 2024 ONSC 2254 (CanLII) at paras 1, 6, 47–48, aff’d 2025 ONCA 10 (CanLII) [</w:t>
      </w:r>
      <w:r>
        <w:rPr>
          <w:rStyle w:val="normaltextrun"/>
          <w:i/>
          <w:iCs/>
          <w:color w:val="000000"/>
          <w:sz w:val="20"/>
          <w:szCs w:val="20"/>
          <w:shd w:val="clear" w:color="auto" w:fill="FFFFFF"/>
          <w:lang w:val="en-US"/>
        </w:rPr>
        <w:t>Marmora</w:t>
      </w:r>
      <w:r>
        <w:rPr>
          <w:rStyle w:val="normaltextrun"/>
          <w:color w:val="000000"/>
          <w:sz w:val="20"/>
          <w:szCs w:val="20"/>
          <w:shd w:val="clear" w:color="auto" w:fill="FFFFFF"/>
          <w:lang w:val="en-US"/>
        </w:rPr>
        <w:t>]</w:t>
      </w:r>
      <w:r w:rsidR="000D61B2">
        <w:rPr>
          <w:sz w:val="20"/>
          <w:szCs w:val="20"/>
        </w:rPr>
        <w:t>.</w:t>
      </w:r>
    </w:p>
    <w:p w14:paraId="4FFBF674" w14:textId="77777777" w:rsidR="000D61B2" w:rsidRDefault="000D61B2" w:rsidP="000D61B2">
      <w:pPr>
        <w:pStyle w:val="WSParaNum"/>
        <w:numPr>
          <w:ilvl w:val="0"/>
          <w:numId w:val="0"/>
        </w:numPr>
        <w:spacing w:before="0" w:after="0"/>
      </w:pPr>
    </w:p>
    <w:p w14:paraId="5372C699" w14:textId="3BF88854" w:rsidR="009036C3" w:rsidRDefault="009036C3" w:rsidP="008B2AE1">
      <w:pPr>
        <w:pStyle w:val="WSParaNum"/>
        <w:spacing w:before="0" w:after="0"/>
      </w:pPr>
      <w:r>
        <w:t>Unlike</w:t>
      </w:r>
      <w:r w:rsidR="00596D68">
        <w:t xml:space="preserve"> </w:t>
      </w:r>
      <w:r w:rsidR="00596D68" w:rsidRPr="00596D68">
        <w:t xml:space="preserve">the case at hand, the Crown in </w:t>
      </w:r>
      <w:r w:rsidR="00596D68" w:rsidRPr="00596D68">
        <w:rPr>
          <w:i/>
          <w:iCs/>
        </w:rPr>
        <w:t>Marmora</w:t>
      </w:r>
      <w:r w:rsidR="00596D68" w:rsidRPr="00596D68">
        <w:t xml:space="preserve"> presented accept</w:t>
      </w:r>
      <w:r w:rsidR="001A5826">
        <w:t>able</w:t>
      </w:r>
      <w:r w:rsidR="00596D68" w:rsidRPr="00596D68">
        <w:t xml:space="preserve"> evidence that the butterfly’s entire life cycle depends on a specific host plant growing alongside a short stretch of </w:t>
      </w:r>
      <w:r w:rsidR="00596D68" w:rsidRPr="00596D68">
        <w:lastRenderedPageBreak/>
        <w:t xml:space="preserve">highway, which the municipality had cleared to the bare soil. The Crown’s evidence clearly demonstrated that the butterfly directly depended on the host plants at the site in question at the time of the offence. The finding of habitat was grounded in clear, </w:t>
      </w:r>
      <w:r w:rsidR="00B561CE">
        <w:t>s</w:t>
      </w:r>
      <w:r w:rsidR="00596D68" w:rsidRPr="00596D68">
        <w:t>ite-specific evidence of reliance, not mere utility</w:t>
      </w:r>
      <w:r w:rsidR="00596D68">
        <w:t>.</w:t>
      </w:r>
    </w:p>
    <w:p w14:paraId="37AD3E8C" w14:textId="1DB74978" w:rsidR="00995C11" w:rsidRDefault="00455B33" w:rsidP="00995C11">
      <w:pPr>
        <w:pStyle w:val="WSParaNum"/>
        <w:numPr>
          <w:ilvl w:val="0"/>
          <w:numId w:val="0"/>
        </w:numPr>
        <w:spacing w:before="0" w:after="0"/>
        <w:ind w:firstLine="720"/>
      </w:pPr>
      <w:r>
        <w:rPr>
          <w:rStyle w:val="normaltextrun"/>
          <w:i/>
          <w:iCs/>
          <w:color w:val="000000"/>
          <w:sz w:val="20"/>
          <w:szCs w:val="20"/>
          <w:shd w:val="clear" w:color="auto" w:fill="FFFFFF"/>
          <w:lang w:val="en-US"/>
        </w:rPr>
        <w:t>Marmora</w:t>
      </w:r>
      <w:r>
        <w:rPr>
          <w:rStyle w:val="normaltextrun"/>
          <w:color w:val="000000"/>
          <w:sz w:val="20"/>
          <w:szCs w:val="20"/>
          <w:shd w:val="clear" w:color="auto" w:fill="FFFFFF"/>
          <w:lang w:val="en-US"/>
        </w:rPr>
        <w:t> at paras 2, 4, 6</w:t>
      </w:r>
      <w:r w:rsidR="00995C11">
        <w:rPr>
          <w:sz w:val="20"/>
          <w:szCs w:val="20"/>
        </w:rPr>
        <w:t>.</w:t>
      </w:r>
    </w:p>
    <w:p w14:paraId="6889058A" w14:textId="77777777" w:rsidR="00995C11" w:rsidRDefault="00995C11" w:rsidP="00995C11">
      <w:pPr>
        <w:pStyle w:val="WSParaNum"/>
        <w:numPr>
          <w:ilvl w:val="0"/>
          <w:numId w:val="0"/>
        </w:numPr>
        <w:spacing w:before="0" w:after="0"/>
      </w:pPr>
    </w:p>
    <w:p w14:paraId="6C8C65E1" w14:textId="2356EC6C" w:rsidR="009036C3" w:rsidRDefault="009036C3" w:rsidP="008B2AE1">
      <w:pPr>
        <w:pStyle w:val="WSParaNum"/>
        <w:spacing w:before="0" w:after="0"/>
      </w:pPr>
      <w:r>
        <w:t>In</w:t>
      </w:r>
      <w:r w:rsidR="00596D68">
        <w:t xml:space="preserve"> </w:t>
      </w:r>
      <w:r w:rsidR="00596D68" w:rsidRPr="00596D68">
        <w:t xml:space="preserve">contrast, no comparable site-specific or temporally connected evidence was presented at trial in this case. There was no proof that Blanding’s turtles necessarily relied on the site to carry on their life processes. </w:t>
      </w:r>
    </w:p>
    <w:p w14:paraId="011FEA12" w14:textId="77777777" w:rsidR="00D5666F" w:rsidRDefault="00D5666F" w:rsidP="00D5666F">
      <w:pPr>
        <w:pStyle w:val="WSParaNum"/>
        <w:numPr>
          <w:ilvl w:val="0"/>
          <w:numId w:val="0"/>
        </w:numPr>
        <w:spacing w:before="0" w:after="0"/>
      </w:pPr>
    </w:p>
    <w:p w14:paraId="3D66BF5F" w14:textId="4BCE5274" w:rsidR="00A60CE3" w:rsidRDefault="009036C3" w:rsidP="00D66477">
      <w:pPr>
        <w:pStyle w:val="WSParaNum"/>
        <w:spacing w:before="0" w:after="0"/>
      </w:pPr>
      <w:r>
        <w:t>Giving</w:t>
      </w:r>
      <w:r w:rsidR="00052CD8">
        <w:t xml:space="preserve"> </w:t>
      </w:r>
      <w:r w:rsidR="00052CD8" w:rsidRPr="00052CD8">
        <w:t xml:space="preserve">effect to the statute does not mean lowering or ignoring the requirement of proof. Indirect dependence still requires evidence that the area played a pivotal role on which existing members of the species relied. Reading “indirectly” to encompass land that merely could contribute to habitat without evidence of reliance by members of a species would </w:t>
      </w:r>
      <w:r w:rsidR="00AF12F4">
        <w:t xml:space="preserve">expand the scope to an extent that </w:t>
      </w:r>
      <w:r w:rsidR="00052CD8" w:rsidRPr="00052CD8">
        <w:t>render</w:t>
      </w:r>
      <w:r w:rsidR="00AF12F4">
        <w:t>s</w:t>
      </w:r>
      <w:r w:rsidR="00052CD8" w:rsidRPr="00052CD8">
        <w:t xml:space="preserve"> the limiting language in </w:t>
      </w:r>
      <w:r w:rsidR="00052CD8" w:rsidRPr="00052CD8">
        <w:rPr>
          <w:i/>
          <w:iCs/>
        </w:rPr>
        <w:t>ESA</w:t>
      </w:r>
      <w:r w:rsidR="00052CD8" w:rsidRPr="00052CD8">
        <w:t xml:space="preserve"> s. 2(2) meaningless</w:t>
      </w:r>
      <w:r w:rsidR="00052CD8">
        <w:t>.</w:t>
      </w:r>
    </w:p>
    <w:p w14:paraId="419A079E" w14:textId="77777777" w:rsidR="00D5666F" w:rsidRDefault="00D5666F" w:rsidP="00D5666F">
      <w:pPr>
        <w:pStyle w:val="WSParaNum"/>
        <w:numPr>
          <w:ilvl w:val="0"/>
          <w:numId w:val="0"/>
        </w:numPr>
        <w:spacing w:before="0" w:after="0"/>
      </w:pPr>
    </w:p>
    <w:p w14:paraId="29C86A5E" w14:textId="2F3774CC" w:rsidR="00A60CE3" w:rsidRPr="00C06BF7" w:rsidRDefault="00A60CE3" w:rsidP="00A60CE3">
      <w:pPr>
        <w:pStyle w:val="Heading3"/>
        <w:spacing w:before="0" w:after="0" w:line="360" w:lineRule="auto"/>
        <w:rPr>
          <w:rFonts w:ascii="Times New Roman" w:hAnsi="Times New Roman"/>
          <w:bCs w:val="0"/>
          <w:sz w:val="24"/>
          <w:szCs w:val="24"/>
        </w:rPr>
      </w:pPr>
      <w:bookmarkStart w:id="25" w:name="_Toc220076115"/>
      <w:r w:rsidRPr="00C06BF7">
        <w:rPr>
          <w:rFonts w:ascii="Times New Roman" w:hAnsi="Times New Roman"/>
          <w:bCs w:val="0"/>
          <w:sz w:val="24"/>
          <w:szCs w:val="24"/>
        </w:rPr>
        <w:t>A broad and purposive interpretation does not bridge evidentiary gaps</w:t>
      </w:r>
      <w:bookmarkEnd w:id="25"/>
    </w:p>
    <w:p w14:paraId="3476F5D7" w14:textId="77777777" w:rsidR="00D5666F" w:rsidRPr="00D5666F" w:rsidRDefault="00D5666F" w:rsidP="00D5666F">
      <w:pPr>
        <w:spacing w:line="360" w:lineRule="auto"/>
      </w:pPr>
    </w:p>
    <w:p w14:paraId="1CC4CC87" w14:textId="667CA32E" w:rsidR="6C09FACC" w:rsidRDefault="003E412E" w:rsidP="096ABB2F">
      <w:pPr>
        <w:pStyle w:val="WSParaNum"/>
        <w:spacing w:before="0" w:after="0"/>
      </w:pPr>
      <w:r>
        <w:t>The</w:t>
      </w:r>
      <w:r w:rsidR="00310BB7">
        <w:t xml:space="preserve"> </w:t>
      </w:r>
      <w:r w:rsidR="00310BB7" w:rsidRPr="00310BB7">
        <w:t xml:space="preserve">Trial Justice placed significant reliance on the protective and remedial purpose of the </w:t>
      </w:r>
      <w:r w:rsidR="00310BB7" w:rsidRPr="00052CD8">
        <w:rPr>
          <w:i/>
          <w:iCs/>
        </w:rPr>
        <w:t>ESA</w:t>
      </w:r>
      <w:r w:rsidR="00310BB7" w:rsidRPr="00052CD8">
        <w:t xml:space="preserve"> </w:t>
      </w:r>
      <w:r w:rsidR="00310BB7" w:rsidRPr="00310BB7">
        <w:t xml:space="preserve">to justify a broad interpretation of habitat. CHL does not dispute the remedial nature of the </w:t>
      </w:r>
      <w:r w:rsidR="00310BB7" w:rsidRPr="00052CD8">
        <w:rPr>
          <w:i/>
          <w:iCs/>
        </w:rPr>
        <w:t>ESA</w:t>
      </w:r>
      <w:r w:rsidR="614C930E" w:rsidRPr="13D609EF">
        <w:rPr>
          <w:i/>
          <w:iCs/>
        </w:rPr>
        <w:t xml:space="preserve">. </w:t>
      </w:r>
      <w:r w:rsidR="00207991">
        <w:t>H</w:t>
      </w:r>
      <w:r w:rsidR="0AA9C3FE" w:rsidRPr="2F00A0DA">
        <w:t>owever</w:t>
      </w:r>
      <w:r w:rsidR="614C930E" w:rsidRPr="54DAEC2E">
        <w:t xml:space="preserve">, the rule of law must be </w:t>
      </w:r>
      <w:r w:rsidR="614C930E" w:rsidRPr="6EEE3A5D">
        <w:t>maint</w:t>
      </w:r>
      <w:r w:rsidR="5A11EA4C" w:rsidRPr="6EEE3A5D">
        <w:t>ain</w:t>
      </w:r>
      <w:r w:rsidR="614C930E" w:rsidRPr="6EEE3A5D">
        <w:t>ed.</w:t>
      </w:r>
      <w:r w:rsidR="614C930E" w:rsidRPr="0BDF899E">
        <w:t xml:space="preserve"> </w:t>
      </w:r>
      <w:r w:rsidR="00207991">
        <w:t>A</w:t>
      </w:r>
      <w:r w:rsidR="614C930E" w:rsidRPr="7560CF09">
        <w:t xml:space="preserve"> finding of guilt despite a lack of proof for each statutory element is unjust and inconsistent with fundamental principles of fairness. This is especially significant in the context of a quasi-criminal prosecution, since the </w:t>
      </w:r>
      <w:r w:rsidR="614C930E" w:rsidRPr="00207991">
        <w:rPr>
          <w:i/>
          <w:iCs/>
        </w:rPr>
        <w:t>ESA</w:t>
      </w:r>
      <w:r w:rsidR="614C930E" w:rsidRPr="7560CF09">
        <w:t xml:space="preserve"> carries significant penal and reputational consequences.</w:t>
      </w:r>
    </w:p>
    <w:p w14:paraId="44E5E251" w14:textId="03B83263" w:rsidR="002004FC" w:rsidRPr="0016735C" w:rsidRDefault="0016735C" w:rsidP="002004FC">
      <w:pPr>
        <w:pStyle w:val="WSParaNum"/>
        <w:numPr>
          <w:ilvl w:val="0"/>
          <w:numId w:val="0"/>
        </w:numPr>
        <w:spacing w:before="0" w:after="0" w:line="240" w:lineRule="auto"/>
        <w:ind w:left="720" w:right="720"/>
        <w:rPr>
          <w:sz w:val="20"/>
          <w:szCs w:val="20"/>
        </w:rPr>
      </w:pPr>
      <w:r w:rsidRPr="0016735C">
        <w:rPr>
          <w:rStyle w:val="normaltextrun"/>
          <w:color w:val="000000"/>
          <w:sz w:val="20"/>
          <w:szCs w:val="20"/>
          <w:shd w:val="clear" w:color="auto" w:fill="FFFFFF"/>
          <w:lang w:val="en-GB"/>
        </w:rPr>
        <w:t>Trial decision at 12–13</w:t>
      </w:r>
      <w:r w:rsidR="002004FC" w:rsidRPr="0016735C">
        <w:rPr>
          <w:sz w:val="20"/>
          <w:szCs w:val="20"/>
        </w:rPr>
        <w:t>.</w:t>
      </w:r>
    </w:p>
    <w:p w14:paraId="422803DC" w14:textId="77777777" w:rsidR="002004FC" w:rsidRPr="00D678D8" w:rsidRDefault="002004FC" w:rsidP="002004FC">
      <w:pPr>
        <w:pStyle w:val="WSParaNum"/>
        <w:numPr>
          <w:ilvl w:val="0"/>
          <w:numId w:val="0"/>
        </w:numPr>
        <w:spacing w:before="0" w:after="0" w:line="240" w:lineRule="auto"/>
        <w:ind w:left="720" w:right="720"/>
        <w:rPr>
          <w:sz w:val="20"/>
          <w:szCs w:val="20"/>
        </w:rPr>
      </w:pPr>
    </w:p>
    <w:p w14:paraId="1428DEE0" w14:textId="412A579F" w:rsidR="002004FC" w:rsidRDefault="00AD1A56" w:rsidP="0018036A">
      <w:pPr>
        <w:pStyle w:val="WSParaNum"/>
        <w:numPr>
          <w:ilvl w:val="0"/>
          <w:numId w:val="0"/>
        </w:numPr>
        <w:spacing w:before="0" w:after="0" w:line="240" w:lineRule="auto"/>
        <w:ind w:left="720"/>
        <w:rPr>
          <w:sz w:val="20"/>
          <w:szCs w:val="20"/>
        </w:rPr>
      </w:pPr>
      <w:r>
        <w:rPr>
          <w:rStyle w:val="normaltextrun"/>
          <w:i/>
          <w:iCs/>
          <w:color w:val="000000"/>
          <w:sz w:val="20"/>
          <w:szCs w:val="20"/>
          <w:shd w:val="clear" w:color="auto" w:fill="FFFFFF"/>
          <w:lang w:val="en-US"/>
        </w:rPr>
        <w:t>Ontario (Natural Resources and Forestry) v South Bruce Peninsula (Town)</w:t>
      </w:r>
      <w:r>
        <w:rPr>
          <w:rStyle w:val="normaltextrun"/>
          <w:color w:val="000000"/>
          <w:sz w:val="20"/>
          <w:szCs w:val="20"/>
          <w:shd w:val="clear" w:color="auto" w:fill="FFFFFF"/>
          <w:lang w:val="en-US"/>
        </w:rPr>
        <w:t>, 2022 ONCA 315 (CanLII) at para 30</w:t>
      </w:r>
      <w:r w:rsidR="002004FC" w:rsidRPr="00D678D8">
        <w:rPr>
          <w:sz w:val="20"/>
          <w:szCs w:val="20"/>
        </w:rPr>
        <w:t>.</w:t>
      </w:r>
    </w:p>
    <w:p w14:paraId="7BE1C25C" w14:textId="77777777" w:rsidR="00006EE9" w:rsidRDefault="00006EE9" w:rsidP="00006EE9">
      <w:pPr>
        <w:pStyle w:val="WSParaNum"/>
        <w:numPr>
          <w:ilvl w:val="0"/>
          <w:numId w:val="0"/>
        </w:numPr>
        <w:spacing w:before="0" w:after="0"/>
      </w:pPr>
    </w:p>
    <w:p w14:paraId="794EDF01" w14:textId="4CE80C05" w:rsidR="005C3AA6" w:rsidRPr="00F135CB" w:rsidRDefault="003E412E" w:rsidP="00A60CE3">
      <w:pPr>
        <w:pStyle w:val="WSParaNum"/>
        <w:spacing w:before="0" w:after="0"/>
        <w:rPr>
          <w:rStyle w:val="normaltextrun"/>
        </w:rPr>
      </w:pPr>
      <w:r>
        <w:t>Statutory</w:t>
      </w:r>
      <w:r w:rsidR="00A074D7">
        <w:t xml:space="preserve"> </w:t>
      </w:r>
      <w:r w:rsidR="00A074D7">
        <w:rPr>
          <w:rStyle w:val="normaltextrun"/>
          <w:color w:val="000000"/>
          <w:shd w:val="clear" w:color="auto" w:fill="FFFFFF"/>
        </w:rPr>
        <w:t>purpose, however, is not fully determinative. The modern, purposive approach to statutory interpretation requires that the court’s interpretation is grounded in the statutory text and scheme and avoids outcomes that are unfair, unprincipled, or untethered from proof. Purpose informs meaning; it does not replace evidentiary requirements.</w:t>
      </w:r>
    </w:p>
    <w:p w14:paraId="4928F7A9" w14:textId="5E4269CC" w:rsidR="00F135CB" w:rsidRDefault="00A105FC" w:rsidP="0018036A">
      <w:pPr>
        <w:pStyle w:val="WSParaNum"/>
        <w:numPr>
          <w:ilvl w:val="0"/>
          <w:numId w:val="0"/>
        </w:numPr>
        <w:spacing w:before="0" w:after="0" w:line="240" w:lineRule="auto"/>
        <w:ind w:left="720"/>
      </w:pPr>
      <w:r>
        <w:rPr>
          <w:rStyle w:val="normaltextrun"/>
          <w:i/>
          <w:iCs/>
          <w:color w:val="000000"/>
          <w:sz w:val="20"/>
          <w:szCs w:val="20"/>
          <w:shd w:val="clear" w:color="auto" w:fill="FFFFFF"/>
          <w:lang w:val="en-US"/>
        </w:rPr>
        <w:lastRenderedPageBreak/>
        <w:t>Wawanesa Mutual Insurance Co v Axa Insurance (Canada)</w:t>
      </w:r>
      <w:r>
        <w:rPr>
          <w:rStyle w:val="normaltextrun"/>
          <w:color w:val="000000"/>
          <w:sz w:val="20"/>
          <w:szCs w:val="20"/>
          <w:shd w:val="clear" w:color="auto" w:fill="FFFFFF"/>
          <w:lang w:val="en-US"/>
        </w:rPr>
        <w:t>, 2012 ONCA 592 (CanLII) at para 34 [</w:t>
      </w:r>
      <w:r>
        <w:rPr>
          <w:rStyle w:val="normaltextrun"/>
          <w:i/>
          <w:iCs/>
          <w:color w:val="000000"/>
          <w:sz w:val="20"/>
          <w:szCs w:val="20"/>
          <w:shd w:val="clear" w:color="auto" w:fill="FFFFFF"/>
          <w:lang w:val="en-US"/>
        </w:rPr>
        <w:t>Wawanesa Mutual</w:t>
      </w:r>
      <w:r>
        <w:rPr>
          <w:rStyle w:val="normaltextrun"/>
          <w:color w:val="000000"/>
          <w:sz w:val="20"/>
          <w:szCs w:val="20"/>
          <w:shd w:val="clear" w:color="auto" w:fill="FFFFFF"/>
          <w:lang w:val="en-US"/>
        </w:rPr>
        <w:t>]</w:t>
      </w:r>
      <w:r w:rsidR="00F135CB">
        <w:rPr>
          <w:sz w:val="20"/>
          <w:szCs w:val="20"/>
        </w:rPr>
        <w:t>.</w:t>
      </w:r>
    </w:p>
    <w:p w14:paraId="1B472B58" w14:textId="77777777" w:rsidR="00F135CB" w:rsidRDefault="00F135CB" w:rsidP="00F135CB">
      <w:pPr>
        <w:pStyle w:val="WSParaNum"/>
        <w:numPr>
          <w:ilvl w:val="0"/>
          <w:numId w:val="0"/>
        </w:numPr>
        <w:spacing w:before="0" w:after="0"/>
      </w:pPr>
    </w:p>
    <w:p w14:paraId="0286715A" w14:textId="58666504" w:rsidR="003E412E" w:rsidRDefault="003E412E" w:rsidP="00A60CE3">
      <w:pPr>
        <w:pStyle w:val="WSParaNum"/>
        <w:spacing w:before="0" w:after="0"/>
      </w:pPr>
      <w:r>
        <w:t>In</w:t>
      </w:r>
      <w:r w:rsidR="00D71DCD">
        <w:t xml:space="preserve"> </w:t>
      </w:r>
      <w:r w:rsidR="00D71DCD" w:rsidRPr="00052CD8">
        <w:rPr>
          <w:i/>
          <w:iCs/>
        </w:rPr>
        <w:t>ESA</w:t>
      </w:r>
      <w:r w:rsidR="00D71DCD" w:rsidRPr="00D71DCD">
        <w:t xml:space="preserve"> s. 2(2), the legislature expressly conditioned habitat protection on proof of dependence by existing members of a species. This provision reflects an intentional policy choice to protect species robustly, rather than speculatively.</w:t>
      </w:r>
    </w:p>
    <w:p w14:paraId="2847B761" w14:textId="414B8F03" w:rsidR="00A105FC" w:rsidRDefault="00A105FC" w:rsidP="00A105FC">
      <w:pPr>
        <w:pStyle w:val="WSParaNum"/>
        <w:numPr>
          <w:ilvl w:val="0"/>
          <w:numId w:val="0"/>
        </w:numPr>
        <w:spacing w:before="0" w:after="0"/>
        <w:ind w:firstLine="720"/>
      </w:pPr>
      <w:r>
        <w:rPr>
          <w:rStyle w:val="normaltextrun"/>
          <w:i/>
          <w:iCs/>
          <w:color w:val="000000"/>
          <w:sz w:val="20"/>
          <w:szCs w:val="20"/>
          <w:shd w:val="clear" w:color="auto" w:fill="FFFFFF"/>
          <w:lang w:val="en-US"/>
        </w:rPr>
        <w:t>ESA</w:t>
      </w:r>
      <w:r>
        <w:rPr>
          <w:rStyle w:val="normaltextrun"/>
          <w:color w:val="000000"/>
          <w:sz w:val="20"/>
          <w:szCs w:val="20"/>
          <w:shd w:val="clear" w:color="auto" w:fill="FFFFFF"/>
          <w:lang w:val="en-US"/>
        </w:rPr>
        <w:t>, s 2(2)</w:t>
      </w:r>
      <w:r>
        <w:rPr>
          <w:sz w:val="20"/>
          <w:szCs w:val="20"/>
        </w:rPr>
        <w:t>.</w:t>
      </w:r>
    </w:p>
    <w:p w14:paraId="2350B616" w14:textId="77777777" w:rsidR="00A105FC" w:rsidRDefault="00A105FC" w:rsidP="00A105FC">
      <w:pPr>
        <w:pStyle w:val="WSParaNum"/>
        <w:numPr>
          <w:ilvl w:val="0"/>
          <w:numId w:val="0"/>
        </w:numPr>
        <w:spacing w:before="0" w:after="0"/>
      </w:pPr>
    </w:p>
    <w:p w14:paraId="50B5216D" w14:textId="03C8F282" w:rsidR="003E412E" w:rsidRDefault="003E412E" w:rsidP="00006EE9">
      <w:pPr>
        <w:pStyle w:val="WSParaNum"/>
        <w:spacing w:before="0" w:after="0"/>
      </w:pPr>
      <w:r>
        <w:t>Making</w:t>
      </w:r>
      <w:r w:rsidR="00006EE9">
        <w:t xml:space="preserve"> </w:t>
      </w:r>
      <w:r w:rsidR="00006EE9" w:rsidRPr="00006EE9">
        <w:t xml:space="preserve">a finding of guilt despite a lack of proof for each statutory element is unjust and inconsistent with fundamental principles of fairness. This determination is especially significant in the context of a quasi-criminal prosecution, since the </w:t>
      </w:r>
      <w:r w:rsidR="00006EE9" w:rsidRPr="00052CD8">
        <w:rPr>
          <w:i/>
          <w:iCs/>
        </w:rPr>
        <w:t>ESA</w:t>
      </w:r>
      <w:r w:rsidR="00006EE9" w:rsidRPr="00D71DCD">
        <w:t xml:space="preserve"> </w:t>
      </w:r>
      <w:r w:rsidR="00006EE9" w:rsidRPr="00006EE9">
        <w:t>carries significant penal and reputational consequences</w:t>
      </w:r>
      <w:r w:rsidR="00006EE9">
        <w:t>.</w:t>
      </w:r>
    </w:p>
    <w:p w14:paraId="41ADE103" w14:textId="2F9E7D8E" w:rsidR="03806916" w:rsidRDefault="03806916" w:rsidP="25886E69">
      <w:pPr>
        <w:pStyle w:val="WSParaNum"/>
        <w:numPr>
          <w:ilvl w:val="0"/>
          <w:numId w:val="0"/>
        </w:numPr>
        <w:spacing w:before="0" w:after="0"/>
      </w:pPr>
    </w:p>
    <w:p w14:paraId="5E918B4D" w14:textId="491D464D" w:rsidR="0099178B" w:rsidRDefault="2104D1A9" w:rsidP="00D22064">
      <w:pPr>
        <w:pStyle w:val="WSParaNum"/>
        <w:spacing w:before="0" w:after="0"/>
      </w:pPr>
      <w:r>
        <w:t xml:space="preserve">The OCJ did not err in its interpretation of habitat under </w:t>
      </w:r>
      <w:r w:rsidR="001344C5" w:rsidRPr="001344C5">
        <w:rPr>
          <w:i/>
          <w:iCs/>
        </w:rPr>
        <w:t>ESA</w:t>
      </w:r>
      <w:r w:rsidR="001344C5">
        <w:t xml:space="preserve"> s.</w:t>
      </w:r>
      <w:r w:rsidR="0099178B">
        <w:t xml:space="preserve"> </w:t>
      </w:r>
      <w:r>
        <w:t>2</w:t>
      </w:r>
      <w:r w:rsidR="0099178B">
        <w:t>(2). Its application of the statutory requirement of direct or indirect dependence was correct in law.</w:t>
      </w:r>
    </w:p>
    <w:p w14:paraId="45885CF0" w14:textId="2945EFEF" w:rsidR="00623B83" w:rsidRDefault="00623B83" w:rsidP="00623B83">
      <w:pPr>
        <w:pStyle w:val="WSParaNum"/>
        <w:numPr>
          <w:ilvl w:val="0"/>
          <w:numId w:val="0"/>
        </w:numPr>
        <w:spacing w:before="0" w:after="0"/>
      </w:pPr>
    </w:p>
    <w:p w14:paraId="786114E8" w14:textId="0EEC9E36" w:rsidR="00D678D8" w:rsidRDefault="00F500B6" w:rsidP="00060567">
      <w:pPr>
        <w:pStyle w:val="Heading2"/>
        <w:tabs>
          <w:tab w:val="num" w:pos="720"/>
        </w:tabs>
        <w:spacing w:before="0" w:after="0"/>
        <w:rPr>
          <w:rFonts w:ascii="Times New Roman" w:hAnsi="Times New Roman"/>
          <w:i w:val="0"/>
          <w:sz w:val="24"/>
          <w:szCs w:val="24"/>
        </w:rPr>
      </w:pPr>
      <w:bookmarkStart w:id="26" w:name="_Toc220076116"/>
      <w:r>
        <w:rPr>
          <w:rFonts w:ascii="Times New Roman" w:hAnsi="Times New Roman"/>
          <w:i w:val="0"/>
          <w:sz w:val="24"/>
          <w:szCs w:val="24"/>
        </w:rPr>
        <w:t xml:space="preserve">Issue 2: </w:t>
      </w:r>
      <w:r w:rsidR="00C9495A" w:rsidRPr="00C9495A">
        <w:rPr>
          <w:rFonts w:ascii="Times New Roman" w:hAnsi="Times New Roman"/>
          <w:i w:val="0"/>
          <w:sz w:val="24"/>
          <w:szCs w:val="24"/>
          <w:lang w:val="en-GB"/>
        </w:rPr>
        <w:t>The General Habitat Description </w:t>
      </w:r>
      <w:r w:rsidR="00C9495A" w:rsidRPr="00C9495A">
        <w:rPr>
          <w:rFonts w:ascii="Times New Roman" w:hAnsi="Times New Roman"/>
          <w:i w:val="0"/>
          <w:sz w:val="24"/>
          <w:szCs w:val="24"/>
        </w:rPr>
        <w:t>is neither a legal document nor legal instrument and does not conclusively prove that Blanding’s turtles used the Site at the time of CHL’s alleged offence</w:t>
      </w:r>
      <w:bookmarkEnd w:id="26"/>
    </w:p>
    <w:p w14:paraId="6FE40917" w14:textId="77777777" w:rsidR="00D5666F" w:rsidRPr="00D5666F" w:rsidRDefault="00D5666F" w:rsidP="00D5666F">
      <w:pPr>
        <w:spacing w:line="360" w:lineRule="auto"/>
      </w:pPr>
    </w:p>
    <w:p w14:paraId="54470F8F" w14:textId="4C1A3629" w:rsidR="002D0A80" w:rsidRDefault="002A069B" w:rsidP="0007098C">
      <w:pPr>
        <w:pStyle w:val="WSParaNum"/>
        <w:spacing w:before="0" w:after="0"/>
      </w:pPr>
      <w:r w:rsidRPr="002A069B">
        <w:t xml:space="preserve">As a threatened species under the </w:t>
      </w:r>
      <w:r w:rsidRPr="00052CD8">
        <w:rPr>
          <w:i/>
          <w:iCs/>
        </w:rPr>
        <w:t>ESA</w:t>
      </w:r>
      <w:r w:rsidRPr="002A069B">
        <w:t xml:space="preserve">, the Blanding’s turtle receives general habitat protection that the </w:t>
      </w:r>
      <w:r w:rsidR="007F282A">
        <w:t xml:space="preserve">MNRF </w:t>
      </w:r>
      <w:r w:rsidRPr="002A069B">
        <w:t xml:space="preserve">further clarifies through a species-specific GHD. The GHD is a generic, technical document that describes which areas of habitat would be protected for the Blanding’s turtle, based on the general habitat definition in the </w:t>
      </w:r>
      <w:r w:rsidR="00507221" w:rsidRPr="00052CD8">
        <w:rPr>
          <w:i/>
          <w:iCs/>
        </w:rPr>
        <w:t>ESA</w:t>
      </w:r>
      <w:r w:rsidRPr="002A069B">
        <w:t xml:space="preserve">. General habitat protection does not include areas where the turtles formerly occurred or have the potential to be reintroduced unless existing members of the species depend on that area to carry on their life processes, in accordance with </w:t>
      </w:r>
      <w:r w:rsidR="00507221" w:rsidRPr="00052CD8">
        <w:rPr>
          <w:i/>
          <w:iCs/>
        </w:rPr>
        <w:t>ESA</w:t>
      </w:r>
      <w:r w:rsidR="00507221" w:rsidRPr="002A069B">
        <w:t xml:space="preserve"> </w:t>
      </w:r>
      <w:r w:rsidRPr="002A069B">
        <w:t xml:space="preserve">s. 2(2).  </w:t>
      </w:r>
    </w:p>
    <w:p w14:paraId="7AA8DF58" w14:textId="75DCEA52" w:rsidR="002874B5" w:rsidRPr="0016735C" w:rsidRDefault="002874B5" w:rsidP="002874B5">
      <w:pPr>
        <w:pStyle w:val="WSParaNum"/>
        <w:numPr>
          <w:ilvl w:val="0"/>
          <w:numId w:val="0"/>
        </w:numPr>
        <w:spacing w:before="0" w:after="0" w:line="240" w:lineRule="auto"/>
        <w:ind w:left="720" w:right="720"/>
        <w:rPr>
          <w:sz w:val="20"/>
          <w:szCs w:val="20"/>
        </w:rPr>
      </w:pPr>
      <w:r>
        <w:rPr>
          <w:rStyle w:val="normaltextrun"/>
          <w:color w:val="000000"/>
          <w:sz w:val="20"/>
          <w:szCs w:val="20"/>
          <w:shd w:val="clear" w:color="auto" w:fill="FFFFFF"/>
          <w:lang w:val="en-GB"/>
        </w:rPr>
        <w:t>GHD</w:t>
      </w:r>
      <w:r w:rsidRPr="0016735C">
        <w:rPr>
          <w:rStyle w:val="normaltextrun"/>
          <w:color w:val="000000"/>
          <w:sz w:val="20"/>
          <w:szCs w:val="20"/>
          <w:shd w:val="clear" w:color="auto" w:fill="FFFFFF"/>
          <w:lang w:val="en-GB"/>
        </w:rPr>
        <w:t xml:space="preserve"> at </w:t>
      </w:r>
      <w:r>
        <w:rPr>
          <w:rStyle w:val="normaltextrun"/>
          <w:color w:val="000000"/>
          <w:sz w:val="20"/>
          <w:szCs w:val="20"/>
          <w:shd w:val="clear" w:color="auto" w:fill="FFFFFF"/>
          <w:lang w:val="en-GB"/>
        </w:rPr>
        <w:t>1</w:t>
      </w:r>
      <w:r w:rsidRPr="0016735C">
        <w:rPr>
          <w:sz w:val="20"/>
          <w:szCs w:val="20"/>
        </w:rPr>
        <w:t>.</w:t>
      </w:r>
    </w:p>
    <w:p w14:paraId="3B8D34F8" w14:textId="77777777" w:rsidR="002874B5" w:rsidRPr="00D678D8" w:rsidRDefault="002874B5" w:rsidP="002874B5">
      <w:pPr>
        <w:pStyle w:val="WSParaNum"/>
        <w:numPr>
          <w:ilvl w:val="0"/>
          <w:numId w:val="0"/>
        </w:numPr>
        <w:spacing w:before="0" w:after="0" w:line="240" w:lineRule="auto"/>
        <w:ind w:left="720" w:right="720"/>
        <w:rPr>
          <w:sz w:val="20"/>
          <w:szCs w:val="20"/>
        </w:rPr>
      </w:pPr>
    </w:p>
    <w:p w14:paraId="3335EDA1" w14:textId="10BE377F" w:rsidR="002874B5" w:rsidRDefault="002874B5" w:rsidP="002874B5">
      <w:pPr>
        <w:pStyle w:val="WSParaNum"/>
        <w:numPr>
          <w:ilvl w:val="0"/>
          <w:numId w:val="0"/>
        </w:numPr>
        <w:spacing w:before="0" w:after="0"/>
        <w:ind w:left="720"/>
        <w:rPr>
          <w:sz w:val="20"/>
          <w:szCs w:val="20"/>
        </w:rPr>
      </w:pPr>
      <w:r>
        <w:rPr>
          <w:rStyle w:val="normaltextrun"/>
          <w:i/>
          <w:iCs/>
          <w:color w:val="000000"/>
          <w:sz w:val="20"/>
          <w:szCs w:val="20"/>
          <w:shd w:val="clear" w:color="auto" w:fill="FFFFFF"/>
          <w:lang w:val="en-US"/>
        </w:rPr>
        <w:t>ESA</w:t>
      </w:r>
      <w:r>
        <w:rPr>
          <w:rStyle w:val="normaltextrun"/>
          <w:color w:val="000000"/>
          <w:sz w:val="20"/>
          <w:szCs w:val="20"/>
          <w:shd w:val="clear" w:color="auto" w:fill="FFFFFF"/>
          <w:lang w:val="en-US"/>
        </w:rPr>
        <w:t>, s 2(2)</w:t>
      </w:r>
      <w:r w:rsidRPr="00D678D8">
        <w:rPr>
          <w:sz w:val="20"/>
          <w:szCs w:val="20"/>
        </w:rPr>
        <w:t>.</w:t>
      </w:r>
    </w:p>
    <w:p w14:paraId="7C3F96CE" w14:textId="77777777" w:rsidR="002874B5" w:rsidRDefault="002874B5" w:rsidP="002874B5">
      <w:pPr>
        <w:pStyle w:val="WSParaNum"/>
        <w:numPr>
          <w:ilvl w:val="0"/>
          <w:numId w:val="0"/>
        </w:numPr>
        <w:spacing w:before="0" w:after="0"/>
      </w:pPr>
    </w:p>
    <w:p w14:paraId="452CD1DE" w14:textId="6754647E" w:rsidR="002D0A80" w:rsidRDefault="00507221" w:rsidP="0007098C">
      <w:pPr>
        <w:pStyle w:val="WSParaNum"/>
        <w:spacing w:before="0" w:after="0"/>
      </w:pPr>
      <w:r>
        <w:t>The</w:t>
      </w:r>
      <w:r w:rsidR="00567C86">
        <w:t xml:space="preserve"> </w:t>
      </w:r>
      <w:r w:rsidR="00567C86" w:rsidRPr="00567C86">
        <w:t xml:space="preserve">GHD is neither a legal document nor legal instrument. Rather, it is a non-binding, non-legal instrument issued by the executive to administer statutes and guide </w:t>
      </w:r>
      <w:r w:rsidR="00AF12F4">
        <w:t>policy</w:t>
      </w:r>
      <w:r w:rsidR="00AA1534">
        <w:t>—</w:t>
      </w:r>
      <w:r w:rsidR="00AF12F4">
        <w:t>not judicial</w:t>
      </w:r>
      <w:r w:rsidR="00AA1534">
        <w:t>—</w:t>
      </w:r>
      <w:r w:rsidR="00567C86" w:rsidRPr="00567C86">
        <w:t>decision-making.</w:t>
      </w:r>
    </w:p>
    <w:p w14:paraId="58545ED4" w14:textId="29450664" w:rsidR="002F6992" w:rsidRPr="0016735C" w:rsidRDefault="00B12451" w:rsidP="0018036A">
      <w:pPr>
        <w:pStyle w:val="WSParaNum"/>
        <w:numPr>
          <w:ilvl w:val="0"/>
          <w:numId w:val="0"/>
        </w:numPr>
        <w:spacing w:before="0" w:after="0" w:line="240" w:lineRule="auto"/>
        <w:ind w:left="720" w:right="720"/>
        <w:rPr>
          <w:sz w:val="20"/>
          <w:szCs w:val="20"/>
        </w:rPr>
      </w:pPr>
      <w:r>
        <w:rPr>
          <w:rStyle w:val="normaltextrun"/>
          <w:color w:val="000000"/>
          <w:sz w:val="20"/>
          <w:szCs w:val="20"/>
          <w:shd w:val="clear" w:color="auto" w:fill="FFFFFF"/>
          <w:lang w:val="en-GB"/>
        </w:rPr>
        <w:lastRenderedPageBreak/>
        <w:t>Friends</w:t>
      </w:r>
      <w:r w:rsidR="002F6992" w:rsidRPr="0016735C">
        <w:rPr>
          <w:rStyle w:val="normaltextrun"/>
          <w:color w:val="000000"/>
          <w:sz w:val="20"/>
          <w:szCs w:val="20"/>
          <w:shd w:val="clear" w:color="auto" w:fill="FFFFFF"/>
          <w:lang w:val="en-GB"/>
        </w:rPr>
        <w:t xml:space="preserve"> </w:t>
      </w:r>
      <w:r w:rsidR="0018036A" w:rsidRPr="0018036A">
        <w:rPr>
          <w:i/>
          <w:iCs/>
          <w:color w:val="000000"/>
          <w:sz w:val="20"/>
          <w:szCs w:val="20"/>
          <w:shd w:val="clear" w:color="auto" w:fill="FFFFFF"/>
        </w:rPr>
        <w:t>of the Oldman River Society v Canada (Minister of Transport)</w:t>
      </w:r>
      <w:r w:rsidR="0018036A" w:rsidRPr="0018036A">
        <w:rPr>
          <w:color w:val="000000"/>
          <w:sz w:val="20"/>
          <w:szCs w:val="20"/>
          <w:shd w:val="clear" w:color="auto" w:fill="FFFFFF"/>
        </w:rPr>
        <w:t>, [1992] 1 SCR 3 at 35, 1992 CanLII 110 (SCC) [</w:t>
      </w:r>
      <w:r w:rsidR="0018036A" w:rsidRPr="0018036A">
        <w:rPr>
          <w:i/>
          <w:iCs/>
          <w:color w:val="000000"/>
          <w:sz w:val="20"/>
          <w:szCs w:val="20"/>
          <w:shd w:val="clear" w:color="auto" w:fill="FFFFFF"/>
        </w:rPr>
        <w:t>Oldman River</w:t>
      </w:r>
      <w:r w:rsidR="0018036A" w:rsidRPr="0018036A">
        <w:rPr>
          <w:color w:val="000000"/>
          <w:sz w:val="20"/>
          <w:szCs w:val="20"/>
          <w:shd w:val="clear" w:color="auto" w:fill="FFFFFF"/>
        </w:rPr>
        <w:t>]</w:t>
      </w:r>
      <w:r w:rsidR="002F6992" w:rsidRPr="0016735C">
        <w:rPr>
          <w:sz w:val="20"/>
          <w:szCs w:val="20"/>
        </w:rPr>
        <w:t>.</w:t>
      </w:r>
    </w:p>
    <w:p w14:paraId="37C6E201" w14:textId="77777777" w:rsidR="002F6992" w:rsidRPr="00D678D8" w:rsidRDefault="002F6992" w:rsidP="002F6992">
      <w:pPr>
        <w:pStyle w:val="WSParaNum"/>
        <w:numPr>
          <w:ilvl w:val="0"/>
          <w:numId w:val="0"/>
        </w:numPr>
        <w:spacing w:before="0" w:after="0" w:line="240" w:lineRule="auto"/>
        <w:ind w:left="720" w:right="720"/>
        <w:rPr>
          <w:sz w:val="20"/>
          <w:szCs w:val="20"/>
        </w:rPr>
      </w:pPr>
    </w:p>
    <w:p w14:paraId="63D904EC" w14:textId="6FE7D4E0" w:rsidR="002F6992" w:rsidRDefault="00B12451" w:rsidP="00E15734">
      <w:pPr>
        <w:pStyle w:val="WSParaNum"/>
        <w:numPr>
          <w:ilvl w:val="0"/>
          <w:numId w:val="0"/>
        </w:numPr>
        <w:spacing w:before="0" w:after="0" w:line="240" w:lineRule="auto"/>
        <w:ind w:left="720"/>
        <w:rPr>
          <w:sz w:val="20"/>
          <w:szCs w:val="20"/>
        </w:rPr>
      </w:pPr>
      <w:r w:rsidRPr="00B12451">
        <w:rPr>
          <w:rStyle w:val="normaltextrun"/>
          <w:color w:val="000000"/>
          <w:sz w:val="20"/>
          <w:szCs w:val="20"/>
          <w:shd w:val="clear" w:color="auto" w:fill="FFFFFF"/>
          <w:lang w:val="en-US"/>
        </w:rPr>
        <w:t>Lorne Sossin &amp; Chantelle van Wiltenburg, “The Puzzle of Soft Law” (2021) 58:3 Osgoode Hall LJ 623 at 623</w:t>
      </w:r>
      <w:r w:rsidR="002F6992" w:rsidRPr="00D678D8">
        <w:rPr>
          <w:sz w:val="20"/>
          <w:szCs w:val="20"/>
        </w:rPr>
        <w:t>.</w:t>
      </w:r>
    </w:p>
    <w:p w14:paraId="659FCD95" w14:textId="77777777" w:rsidR="002F6992" w:rsidRDefault="002F6992" w:rsidP="002F6992">
      <w:pPr>
        <w:pStyle w:val="WSParaNum"/>
        <w:numPr>
          <w:ilvl w:val="0"/>
          <w:numId w:val="0"/>
        </w:numPr>
        <w:spacing w:before="0" w:after="0"/>
      </w:pPr>
    </w:p>
    <w:p w14:paraId="637C0138" w14:textId="7BEFB04E" w:rsidR="002D0A80" w:rsidRDefault="00AF12F4" w:rsidP="0007098C">
      <w:pPr>
        <w:pStyle w:val="WSParaNum"/>
        <w:spacing w:before="0" w:after="0"/>
      </w:pPr>
      <w:r>
        <w:t>C</w:t>
      </w:r>
      <w:r w:rsidR="004127DE" w:rsidRPr="004127DE">
        <w:t xml:space="preserve">ourts must clearly distinguish between </w:t>
      </w:r>
      <w:r w:rsidR="00C63DE0">
        <w:t>lega</w:t>
      </w:r>
      <w:r w:rsidR="00491E6A">
        <w:t xml:space="preserve">l and non-legal instruments, </w:t>
      </w:r>
      <w:r w:rsidR="004127DE" w:rsidRPr="004127DE">
        <w:t xml:space="preserve">since </w:t>
      </w:r>
      <w:r w:rsidR="00C75E8E">
        <w:t xml:space="preserve">non-legal </w:t>
      </w:r>
      <w:r w:rsidR="003D47D9">
        <w:t>instruments</w:t>
      </w:r>
      <w:r w:rsidR="00562673">
        <w:t xml:space="preserve"> </w:t>
      </w:r>
      <w:r w:rsidR="004127DE" w:rsidRPr="004127DE">
        <w:t>do not have the force of law.</w:t>
      </w:r>
    </w:p>
    <w:p w14:paraId="2860231F" w14:textId="094D1F1A" w:rsidR="00A6275F" w:rsidRDefault="000D2472" w:rsidP="000D2472">
      <w:pPr>
        <w:pStyle w:val="WSParaNum"/>
        <w:numPr>
          <w:ilvl w:val="0"/>
          <w:numId w:val="0"/>
        </w:numPr>
        <w:spacing w:before="0" w:after="0" w:line="240" w:lineRule="auto"/>
        <w:ind w:left="720"/>
      </w:pPr>
      <w:r>
        <w:rPr>
          <w:rStyle w:val="normaltextrun"/>
          <w:i/>
          <w:iCs/>
          <w:color w:val="000000"/>
          <w:sz w:val="20"/>
          <w:szCs w:val="20"/>
          <w:shd w:val="clear" w:color="auto" w:fill="FFFFFF"/>
        </w:rPr>
        <w:t>Greater Vancouver Transportation Authority v Canadian Federation of Students — British Columbia Component</w:t>
      </w:r>
      <w:r>
        <w:rPr>
          <w:rStyle w:val="normaltextrun"/>
          <w:color w:val="000000"/>
          <w:sz w:val="20"/>
          <w:szCs w:val="20"/>
          <w:shd w:val="clear" w:color="auto" w:fill="FFFFFF"/>
        </w:rPr>
        <w:t>, 2009 SCC 31 at para 58 [</w:t>
      </w:r>
      <w:r>
        <w:rPr>
          <w:rStyle w:val="normaltextrun"/>
          <w:i/>
          <w:iCs/>
          <w:color w:val="000000"/>
          <w:sz w:val="20"/>
          <w:szCs w:val="20"/>
          <w:shd w:val="clear" w:color="auto" w:fill="FFFFFF"/>
        </w:rPr>
        <w:t>Greater Vancouver Transportation Authority</w:t>
      </w:r>
      <w:r>
        <w:rPr>
          <w:rStyle w:val="normaltextrun"/>
          <w:color w:val="000000"/>
          <w:sz w:val="20"/>
          <w:szCs w:val="20"/>
          <w:shd w:val="clear" w:color="auto" w:fill="FFFFFF"/>
        </w:rPr>
        <w:t>]</w:t>
      </w:r>
      <w:r w:rsidR="00A6275F">
        <w:rPr>
          <w:sz w:val="20"/>
          <w:szCs w:val="20"/>
        </w:rPr>
        <w:t>.</w:t>
      </w:r>
    </w:p>
    <w:p w14:paraId="2FC8A358" w14:textId="77777777" w:rsidR="00A6275F" w:rsidRDefault="00A6275F" w:rsidP="00A6275F">
      <w:pPr>
        <w:pStyle w:val="WSParaNum"/>
        <w:numPr>
          <w:ilvl w:val="0"/>
          <w:numId w:val="0"/>
        </w:numPr>
        <w:spacing w:before="0" w:after="0"/>
      </w:pPr>
    </w:p>
    <w:p w14:paraId="2747BDCD" w14:textId="1EA22319" w:rsidR="002D0A80" w:rsidRDefault="00A6275F" w:rsidP="0007098C">
      <w:pPr>
        <w:pStyle w:val="WSParaNum"/>
        <w:spacing w:before="0" w:after="0"/>
      </w:pPr>
      <w:r>
        <w:t>Courts</w:t>
      </w:r>
      <w:r w:rsidR="00DA003F">
        <w:t xml:space="preserve"> </w:t>
      </w:r>
      <w:r w:rsidR="00DA003F" w:rsidRPr="00DA003F">
        <w:t xml:space="preserve">have commented on the distinction between legal and non-legal instruments in the environmental law context. In </w:t>
      </w:r>
      <w:r w:rsidR="00DA003F" w:rsidRPr="00DA003F">
        <w:rPr>
          <w:i/>
          <w:iCs/>
        </w:rPr>
        <w:t>Oldman River</w:t>
      </w:r>
      <w:r w:rsidR="00DA003F" w:rsidRPr="00DA003F">
        <w:t xml:space="preserve">, the SCC held that Parliament intended to provide the federal Minister of the Environment with the power to create legally binding guidelines through s. 6 of the </w:t>
      </w:r>
      <w:r w:rsidR="00DA003F" w:rsidRPr="00DA003F">
        <w:rPr>
          <w:i/>
          <w:iCs/>
        </w:rPr>
        <w:t>Department of the Environment Act</w:t>
      </w:r>
      <w:r w:rsidR="00DA003F" w:rsidRPr="00DA003F">
        <w:t xml:space="preserve">. The impugned guideline in </w:t>
      </w:r>
      <w:r w:rsidR="00DA003F" w:rsidRPr="00DA003F">
        <w:rPr>
          <w:i/>
          <w:iCs/>
        </w:rPr>
        <w:t>Oldman River</w:t>
      </w:r>
      <w:r w:rsidR="00DA003F" w:rsidRPr="00DA003F">
        <w:t xml:space="preserve"> was “not merely authorized by statute” but required to be formally enacted by </w:t>
      </w:r>
      <w:r w:rsidR="007320AC">
        <w:t xml:space="preserve">an </w:t>
      </w:r>
      <w:r w:rsidR="00AF12F4">
        <w:t>O</w:t>
      </w:r>
      <w:r w:rsidR="00DA003F" w:rsidRPr="00DA003F">
        <w:t xml:space="preserve">rder in Council. This was in “striking contrast” with </w:t>
      </w:r>
      <w:r w:rsidR="00193511">
        <w:t xml:space="preserve">a </w:t>
      </w:r>
      <w:r w:rsidR="00BA6A8E">
        <w:t>M</w:t>
      </w:r>
      <w:r w:rsidR="00193511">
        <w:t>inister’s</w:t>
      </w:r>
      <w:r w:rsidR="00DA003F" w:rsidRPr="00DA003F">
        <w:t xml:space="preserve"> implicit power to issue non-legal instruments for the administration of statutes.</w:t>
      </w:r>
    </w:p>
    <w:p w14:paraId="5087CB60" w14:textId="43A685D8" w:rsidR="0052383F" w:rsidRDefault="0052383F" w:rsidP="0052383F">
      <w:pPr>
        <w:pStyle w:val="WSParaNum"/>
        <w:numPr>
          <w:ilvl w:val="0"/>
          <w:numId w:val="0"/>
        </w:numPr>
        <w:spacing w:before="0" w:after="0"/>
        <w:ind w:firstLine="720"/>
      </w:pPr>
      <w:r>
        <w:rPr>
          <w:rStyle w:val="normaltextrun"/>
          <w:i/>
          <w:iCs/>
          <w:color w:val="000000"/>
          <w:sz w:val="20"/>
          <w:szCs w:val="20"/>
          <w:shd w:val="clear" w:color="auto" w:fill="FFFFFF"/>
        </w:rPr>
        <w:t>Oldman River </w:t>
      </w:r>
      <w:r>
        <w:rPr>
          <w:rStyle w:val="normaltextrun"/>
          <w:color w:val="000000"/>
          <w:sz w:val="20"/>
          <w:szCs w:val="20"/>
          <w:shd w:val="clear" w:color="auto" w:fill="FFFFFF"/>
        </w:rPr>
        <w:t>at paras 44–45</w:t>
      </w:r>
      <w:r>
        <w:rPr>
          <w:sz w:val="20"/>
          <w:szCs w:val="20"/>
        </w:rPr>
        <w:t>.</w:t>
      </w:r>
    </w:p>
    <w:p w14:paraId="42ED0566" w14:textId="77777777" w:rsidR="0052383F" w:rsidRDefault="0052383F" w:rsidP="0052383F">
      <w:pPr>
        <w:pStyle w:val="WSParaNum"/>
        <w:numPr>
          <w:ilvl w:val="0"/>
          <w:numId w:val="0"/>
        </w:numPr>
        <w:spacing w:before="0" w:after="0"/>
      </w:pPr>
    </w:p>
    <w:p w14:paraId="06493000" w14:textId="1FBCA9C3" w:rsidR="002D0A80" w:rsidRDefault="00DA003F" w:rsidP="0007098C">
      <w:pPr>
        <w:pStyle w:val="WSParaNum"/>
        <w:spacing w:before="0" w:after="0"/>
      </w:pPr>
      <w:r>
        <w:t xml:space="preserve">In </w:t>
      </w:r>
      <w:r w:rsidR="00B01AE3" w:rsidRPr="00B01AE3">
        <w:rPr>
          <w:i/>
          <w:iCs/>
        </w:rPr>
        <w:t>Mathur</w:t>
      </w:r>
      <w:r w:rsidR="00B01AE3" w:rsidRPr="00B01AE3">
        <w:t xml:space="preserve">, the Ontario Superior Court of Justice considered whether the Ontario government’s emissions reduction target and climate change plan were binding legal instruments. Both the target and plan were statutorily mandated by the </w:t>
      </w:r>
      <w:r w:rsidR="00B01AE3" w:rsidRPr="00B01AE3">
        <w:rPr>
          <w:i/>
          <w:iCs/>
        </w:rPr>
        <w:t>Cancellation Act</w:t>
      </w:r>
      <w:r w:rsidR="00B01AE3" w:rsidRPr="00B01AE3">
        <w:t xml:space="preserve">, which further sub-delegated the plan to the MECP and required it to be approved by the Lieutenant Governor in Council. The Court cited </w:t>
      </w:r>
      <w:r w:rsidR="00B01AE3" w:rsidRPr="00B01AE3">
        <w:rPr>
          <w:i/>
          <w:iCs/>
        </w:rPr>
        <w:t>Oldman River</w:t>
      </w:r>
      <w:r w:rsidR="00B01AE3" w:rsidRPr="00B01AE3">
        <w:t xml:space="preserve"> to suggest that the plan and target would therefore have the force of law.</w:t>
      </w:r>
    </w:p>
    <w:p w14:paraId="6E20E744" w14:textId="16E74280" w:rsidR="0052383F" w:rsidRDefault="00801CF2" w:rsidP="0052383F">
      <w:pPr>
        <w:pStyle w:val="WSParaNum"/>
        <w:numPr>
          <w:ilvl w:val="0"/>
          <w:numId w:val="0"/>
        </w:numPr>
        <w:spacing w:before="0" w:after="0"/>
        <w:ind w:firstLine="720"/>
      </w:pPr>
      <w:r>
        <w:rPr>
          <w:rStyle w:val="normaltextrun"/>
          <w:i/>
          <w:iCs/>
          <w:color w:val="000000"/>
          <w:sz w:val="20"/>
          <w:szCs w:val="20"/>
          <w:shd w:val="clear" w:color="auto" w:fill="FFFFFF"/>
        </w:rPr>
        <w:t>Mathur v Ontario</w:t>
      </w:r>
      <w:r>
        <w:rPr>
          <w:rStyle w:val="normaltextrun"/>
          <w:color w:val="000000"/>
          <w:sz w:val="20"/>
          <w:szCs w:val="20"/>
          <w:shd w:val="clear" w:color="auto" w:fill="FFFFFF"/>
        </w:rPr>
        <w:t>, 2020 ONSC 6918 (CanLII) at paras 46, 63, 70 [</w:t>
      </w:r>
      <w:r>
        <w:rPr>
          <w:rStyle w:val="normaltextrun"/>
          <w:i/>
          <w:iCs/>
          <w:color w:val="000000"/>
          <w:sz w:val="20"/>
          <w:szCs w:val="20"/>
          <w:shd w:val="clear" w:color="auto" w:fill="FFFFFF"/>
        </w:rPr>
        <w:t>Mathur</w:t>
      </w:r>
      <w:r>
        <w:rPr>
          <w:rStyle w:val="normaltextrun"/>
          <w:color w:val="000000"/>
          <w:sz w:val="20"/>
          <w:szCs w:val="20"/>
          <w:shd w:val="clear" w:color="auto" w:fill="FFFFFF"/>
        </w:rPr>
        <w:t>]</w:t>
      </w:r>
      <w:r w:rsidR="0052383F">
        <w:rPr>
          <w:sz w:val="20"/>
          <w:szCs w:val="20"/>
        </w:rPr>
        <w:t>.</w:t>
      </w:r>
    </w:p>
    <w:p w14:paraId="0776679D" w14:textId="77777777" w:rsidR="0052383F" w:rsidRDefault="0052383F" w:rsidP="0052383F">
      <w:pPr>
        <w:pStyle w:val="WSParaNum"/>
        <w:numPr>
          <w:ilvl w:val="0"/>
          <w:numId w:val="0"/>
        </w:numPr>
        <w:spacing w:before="0" w:after="0"/>
      </w:pPr>
    </w:p>
    <w:p w14:paraId="78A48494" w14:textId="2068B7E1" w:rsidR="00DA003F" w:rsidRDefault="00CA2715" w:rsidP="0007098C">
      <w:pPr>
        <w:pStyle w:val="WSParaNum"/>
        <w:spacing w:before="0" w:after="0"/>
      </w:pPr>
      <w:r>
        <w:t>The</w:t>
      </w:r>
      <w:r w:rsidR="00C5771E">
        <w:t xml:space="preserve"> </w:t>
      </w:r>
      <w:r w:rsidR="00C5771E" w:rsidRPr="00C5771E">
        <w:t xml:space="preserve">case at hand differs from </w:t>
      </w:r>
      <w:r w:rsidR="00C5771E" w:rsidRPr="00C5771E">
        <w:rPr>
          <w:i/>
          <w:iCs/>
        </w:rPr>
        <w:t>Oldman River</w:t>
      </w:r>
      <w:r w:rsidR="00C5771E" w:rsidRPr="00C5771E">
        <w:t xml:space="preserve"> and </w:t>
      </w:r>
      <w:r w:rsidR="00C5771E" w:rsidRPr="00C5771E">
        <w:rPr>
          <w:i/>
          <w:iCs/>
        </w:rPr>
        <w:t>Mathur</w:t>
      </w:r>
      <w:r w:rsidR="00C5771E" w:rsidRPr="00C5771E">
        <w:t xml:space="preserve">, since GHDs are neither legally binding nor mandated by the </w:t>
      </w:r>
      <w:r w:rsidR="00C5771E" w:rsidRPr="00C5771E">
        <w:rPr>
          <w:i/>
          <w:iCs/>
        </w:rPr>
        <w:t>ESA</w:t>
      </w:r>
      <w:r w:rsidR="00C5771E" w:rsidRPr="00C5771E">
        <w:t xml:space="preserve">. They are an interpretive aid in the application of the </w:t>
      </w:r>
      <w:r w:rsidR="00C5771E" w:rsidRPr="00C5771E">
        <w:rPr>
          <w:i/>
          <w:iCs/>
        </w:rPr>
        <w:t>ESA</w:t>
      </w:r>
      <w:r w:rsidR="00C5771E" w:rsidRPr="00C5771E">
        <w:t xml:space="preserve"> and provide</w:t>
      </w:r>
      <w:r w:rsidR="00006725">
        <w:t xml:space="preserve"> policy</w:t>
      </w:r>
      <w:r w:rsidR="00C5771E" w:rsidRPr="00C5771E">
        <w:t xml:space="preserve"> advice about activities regulated by the </w:t>
      </w:r>
      <w:r w:rsidR="00C5771E" w:rsidRPr="00C5771E">
        <w:rPr>
          <w:i/>
          <w:iCs/>
        </w:rPr>
        <w:t>Act</w:t>
      </w:r>
      <w:r w:rsidR="00C5771E" w:rsidRPr="00C5771E">
        <w:t>.</w:t>
      </w:r>
    </w:p>
    <w:p w14:paraId="45CAEA82" w14:textId="03D5C83D" w:rsidR="00801CF2" w:rsidRPr="0016735C" w:rsidRDefault="00544710" w:rsidP="00801CF2">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Greater Vancouver Transportation Authority</w:t>
      </w:r>
      <w:r>
        <w:rPr>
          <w:rStyle w:val="normaltextrun"/>
          <w:color w:val="000000"/>
          <w:sz w:val="20"/>
          <w:szCs w:val="20"/>
          <w:shd w:val="clear" w:color="auto" w:fill="FFFFFF"/>
        </w:rPr>
        <w:t> at para 63</w:t>
      </w:r>
      <w:r w:rsidR="00801CF2" w:rsidRPr="0016735C">
        <w:rPr>
          <w:sz w:val="20"/>
          <w:szCs w:val="20"/>
        </w:rPr>
        <w:t>.</w:t>
      </w:r>
    </w:p>
    <w:p w14:paraId="14934CBA" w14:textId="77777777" w:rsidR="00801CF2" w:rsidRPr="00D678D8" w:rsidRDefault="00801CF2" w:rsidP="00801CF2">
      <w:pPr>
        <w:pStyle w:val="WSParaNum"/>
        <w:numPr>
          <w:ilvl w:val="0"/>
          <w:numId w:val="0"/>
        </w:numPr>
        <w:spacing w:before="0" w:after="0" w:line="240" w:lineRule="auto"/>
        <w:ind w:left="720" w:right="720"/>
        <w:rPr>
          <w:sz w:val="20"/>
          <w:szCs w:val="20"/>
        </w:rPr>
      </w:pPr>
    </w:p>
    <w:p w14:paraId="71F34AB1" w14:textId="2B47ADE8" w:rsidR="00801CF2" w:rsidRDefault="009A5EB0" w:rsidP="00801CF2">
      <w:pPr>
        <w:pStyle w:val="WSParaNum"/>
        <w:numPr>
          <w:ilvl w:val="0"/>
          <w:numId w:val="0"/>
        </w:numPr>
        <w:spacing w:before="0" w:after="0"/>
        <w:ind w:left="720"/>
        <w:rPr>
          <w:sz w:val="20"/>
          <w:szCs w:val="20"/>
        </w:rPr>
      </w:pPr>
      <w:r>
        <w:rPr>
          <w:rStyle w:val="normaltextrun"/>
          <w:i/>
          <w:iCs/>
          <w:color w:val="000000"/>
          <w:sz w:val="20"/>
          <w:szCs w:val="20"/>
          <w:shd w:val="clear" w:color="auto" w:fill="FFFFFF"/>
        </w:rPr>
        <w:t>Mathur </w:t>
      </w:r>
      <w:r>
        <w:rPr>
          <w:rStyle w:val="normaltextrun"/>
          <w:color w:val="000000"/>
          <w:sz w:val="20"/>
          <w:szCs w:val="20"/>
          <w:shd w:val="clear" w:color="auto" w:fill="FFFFFF"/>
        </w:rPr>
        <w:t>at para 64</w:t>
      </w:r>
      <w:r w:rsidR="00801CF2" w:rsidRPr="00D678D8">
        <w:rPr>
          <w:sz w:val="20"/>
          <w:szCs w:val="20"/>
        </w:rPr>
        <w:t>.</w:t>
      </w:r>
    </w:p>
    <w:p w14:paraId="156F9AE4" w14:textId="77777777" w:rsidR="00801CF2" w:rsidRDefault="00801CF2" w:rsidP="00801CF2">
      <w:pPr>
        <w:pStyle w:val="WSParaNum"/>
        <w:numPr>
          <w:ilvl w:val="0"/>
          <w:numId w:val="0"/>
        </w:numPr>
        <w:spacing w:before="0" w:after="0"/>
      </w:pPr>
    </w:p>
    <w:p w14:paraId="05892635" w14:textId="4BC53F10" w:rsidR="00CA2715" w:rsidRDefault="00CA2715" w:rsidP="0007098C">
      <w:pPr>
        <w:pStyle w:val="WSParaNum"/>
        <w:spacing w:before="0" w:after="0"/>
      </w:pPr>
      <w:r>
        <w:lastRenderedPageBreak/>
        <w:t xml:space="preserve">The </w:t>
      </w:r>
      <w:r w:rsidR="00A671DC" w:rsidRPr="00C5771E">
        <w:rPr>
          <w:i/>
          <w:iCs/>
        </w:rPr>
        <w:t>ESA</w:t>
      </w:r>
      <w:r w:rsidR="00A671DC" w:rsidRPr="00A671DC">
        <w:t xml:space="preserve"> specifically provides for legal instruments to regulate habitat: under s. 56(1)(a), the Minister has the power to make species-specific habitat regulations prescribing an area as habitat for the purpose of clause (a) of the definition of habitat in s. 2(1). If no regulation exists for a species, its habitat is defined broadly under s. 2(1)(b). There is no habitat regulation for the Blanding’s turtle</w:t>
      </w:r>
      <w:r w:rsidR="00A671DC">
        <w:t>.</w:t>
      </w:r>
    </w:p>
    <w:p w14:paraId="4E1BEE26" w14:textId="5D6F50F7" w:rsidR="002232FA" w:rsidRPr="0016735C" w:rsidRDefault="006E653F" w:rsidP="002232FA">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ESA</w:t>
      </w:r>
      <w:r>
        <w:rPr>
          <w:rStyle w:val="normaltextrun"/>
          <w:color w:val="000000"/>
          <w:sz w:val="20"/>
          <w:szCs w:val="20"/>
          <w:shd w:val="clear" w:color="auto" w:fill="FFFFFF"/>
        </w:rPr>
        <w:t>, s 56(1)(a)</w:t>
      </w:r>
      <w:r w:rsidR="002232FA" w:rsidRPr="0016735C">
        <w:rPr>
          <w:sz w:val="20"/>
          <w:szCs w:val="20"/>
        </w:rPr>
        <w:t>.</w:t>
      </w:r>
    </w:p>
    <w:p w14:paraId="208C0731" w14:textId="77777777" w:rsidR="002232FA" w:rsidRPr="00D678D8" w:rsidRDefault="002232FA" w:rsidP="002232FA">
      <w:pPr>
        <w:pStyle w:val="WSParaNum"/>
        <w:numPr>
          <w:ilvl w:val="0"/>
          <w:numId w:val="0"/>
        </w:numPr>
        <w:spacing w:before="0" w:after="0" w:line="240" w:lineRule="auto"/>
        <w:ind w:left="720" w:right="720"/>
        <w:rPr>
          <w:sz w:val="20"/>
          <w:szCs w:val="20"/>
        </w:rPr>
      </w:pPr>
    </w:p>
    <w:p w14:paraId="36FC9F0B" w14:textId="730EC80E" w:rsidR="002232FA" w:rsidRDefault="002F6C8A" w:rsidP="002232FA">
      <w:pPr>
        <w:pStyle w:val="WSParaNum"/>
        <w:numPr>
          <w:ilvl w:val="0"/>
          <w:numId w:val="0"/>
        </w:numPr>
        <w:spacing w:before="0" w:after="0"/>
        <w:ind w:left="720"/>
        <w:rPr>
          <w:sz w:val="20"/>
          <w:szCs w:val="20"/>
        </w:rPr>
      </w:pPr>
      <w:r>
        <w:rPr>
          <w:rStyle w:val="normaltextrun"/>
          <w:color w:val="000000"/>
          <w:sz w:val="20"/>
          <w:szCs w:val="20"/>
          <w:bdr w:val="none" w:sz="0" w:space="0" w:color="auto" w:frame="1"/>
        </w:rPr>
        <w:t>O Reg 832/21</w:t>
      </w:r>
      <w:r w:rsidR="002232FA" w:rsidRPr="00D678D8">
        <w:rPr>
          <w:sz w:val="20"/>
          <w:szCs w:val="20"/>
        </w:rPr>
        <w:t>.</w:t>
      </w:r>
    </w:p>
    <w:p w14:paraId="4D8C2775" w14:textId="77777777" w:rsidR="002232FA" w:rsidRDefault="002232FA" w:rsidP="002232FA">
      <w:pPr>
        <w:pStyle w:val="WSParaNum"/>
        <w:numPr>
          <w:ilvl w:val="0"/>
          <w:numId w:val="0"/>
        </w:numPr>
        <w:spacing w:before="0" w:after="0"/>
      </w:pPr>
    </w:p>
    <w:p w14:paraId="53623BB5" w14:textId="392A4837" w:rsidR="00A671DC" w:rsidRDefault="00A671DC" w:rsidP="0007098C">
      <w:pPr>
        <w:pStyle w:val="WSParaNum"/>
        <w:spacing w:before="0" w:after="0"/>
      </w:pPr>
      <w:r>
        <w:t xml:space="preserve">Habitat </w:t>
      </w:r>
      <w:r w:rsidR="00AF0A38" w:rsidRPr="00AF0A38">
        <w:t xml:space="preserve">regulations provide greater legal certainty for </w:t>
      </w:r>
      <w:r w:rsidR="00AF0A38" w:rsidRPr="00C5771E">
        <w:rPr>
          <w:i/>
          <w:iCs/>
        </w:rPr>
        <w:t>ESA</w:t>
      </w:r>
      <w:r w:rsidR="00AF0A38" w:rsidRPr="00A671DC">
        <w:t xml:space="preserve"> </w:t>
      </w:r>
      <w:r w:rsidR="00AF0A38" w:rsidRPr="00AF0A38">
        <w:t>implementation and enforcement, since the areas they describe are definitively species habitat. A habitat regulation describes specific boundaries and features of areas where a species currently lives, previously lived, or is capable of living. These areas may be larger or smaller than that on which the species depends, directly or indirectly, to carry on its life processes, per s. 2(1)(b).</w:t>
      </w:r>
    </w:p>
    <w:p w14:paraId="4B80843C" w14:textId="2794DA2C" w:rsidR="00984D01" w:rsidRDefault="00ED33F4" w:rsidP="00984D01">
      <w:pPr>
        <w:pStyle w:val="WSParaNum"/>
        <w:numPr>
          <w:ilvl w:val="0"/>
          <w:numId w:val="0"/>
        </w:numPr>
        <w:spacing w:before="0" w:after="0"/>
        <w:ind w:firstLine="720"/>
      </w:pPr>
      <w:r>
        <w:rPr>
          <w:rStyle w:val="normaltextrun"/>
          <w:i/>
          <w:iCs/>
          <w:color w:val="000000"/>
          <w:sz w:val="20"/>
          <w:szCs w:val="20"/>
          <w:shd w:val="clear" w:color="auto" w:fill="FFFFFF"/>
          <w:lang w:val="en-US"/>
        </w:rPr>
        <w:t>ESA</w:t>
      </w:r>
      <w:r>
        <w:rPr>
          <w:rStyle w:val="normaltextrun"/>
          <w:color w:val="000000"/>
          <w:sz w:val="20"/>
          <w:szCs w:val="20"/>
          <w:shd w:val="clear" w:color="auto" w:fill="FFFFFF"/>
          <w:lang w:val="en-US"/>
        </w:rPr>
        <w:t>, s 2(1)(b), s 56(3)</w:t>
      </w:r>
      <w:r w:rsidR="00984D01">
        <w:rPr>
          <w:sz w:val="20"/>
          <w:szCs w:val="20"/>
        </w:rPr>
        <w:t>.</w:t>
      </w:r>
    </w:p>
    <w:p w14:paraId="79F6CF5D" w14:textId="77777777" w:rsidR="00984D01" w:rsidRDefault="00984D01" w:rsidP="00984D01">
      <w:pPr>
        <w:pStyle w:val="WSParaNum"/>
        <w:numPr>
          <w:ilvl w:val="0"/>
          <w:numId w:val="0"/>
        </w:numPr>
        <w:spacing w:before="0" w:after="0"/>
      </w:pPr>
    </w:p>
    <w:p w14:paraId="61DCCC84" w14:textId="719B374E" w:rsidR="00AF0A38" w:rsidRDefault="00AF0A38" w:rsidP="0007098C">
      <w:pPr>
        <w:pStyle w:val="WSParaNum"/>
        <w:spacing w:before="0" w:after="0"/>
      </w:pPr>
      <w:r>
        <w:t xml:space="preserve">The </w:t>
      </w:r>
      <w:r w:rsidR="006F498B">
        <w:t>OCJ</w:t>
      </w:r>
      <w:r w:rsidR="009E3442" w:rsidRPr="009E3442">
        <w:t xml:space="preserve"> </w:t>
      </w:r>
      <w:r w:rsidR="004C6E39">
        <w:t xml:space="preserve">correctly determined </w:t>
      </w:r>
      <w:r w:rsidR="009E3442" w:rsidRPr="009E3442">
        <w:t xml:space="preserve">that </w:t>
      </w:r>
      <w:r w:rsidR="009E3442" w:rsidRPr="00CE3AA7">
        <w:t xml:space="preserve">the </w:t>
      </w:r>
      <w:r w:rsidR="00CE3AA7" w:rsidRPr="00CE3AA7">
        <w:t>T</w:t>
      </w:r>
      <w:r w:rsidR="009E3442" w:rsidRPr="00CE3AA7">
        <w:t xml:space="preserve">rial </w:t>
      </w:r>
      <w:r w:rsidR="006F498B" w:rsidRPr="00CE3AA7">
        <w:t>Justice</w:t>
      </w:r>
      <w:r w:rsidR="009E3442" w:rsidRPr="00CE3AA7">
        <w:t xml:space="preserve"> erred</w:t>
      </w:r>
      <w:r w:rsidR="009E3442" w:rsidRPr="009E3442">
        <w:t xml:space="preserve"> by relying on the GHD. Since the GHD is not a legal instrument, it does not have the same force as a habitat regulation. The GHD does not conclusively prove that Blanding’s turtles were using the Site at the time of CHL’s alleged offence, only that the Site </w:t>
      </w:r>
      <w:r w:rsidR="009E3442" w:rsidRPr="006356B2">
        <w:rPr>
          <w:b/>
          <w:bCs/>
        </w:rPr>
        <w:t>might</w:t>
      </w:r>
      <w:r w:rsidR="009E3442" w:rsidRPr="009E3442">
        <w:t xml:space="preserve"> be used as habitat. It was therefore incorrect </w:t>
      </w:r>
      <w:r w:rsidR="00AC1DC1">
        <w:t xml:space="preserve">in law </w:t>
      </w:r>
      <w:r w:rsidR="009E3442" w:rsidRPr="009E3442">
        <w:t xml:space="preserve">for </w:t>
      </w:r>
      <w:r w:rsidR="009E3442" w:rsidRPr="00CE3AA7">
        <w:t xml:space="preserve">the </w:t>
      </w:r>
      <w:r w:rsidR="00CE3AA7" w:rsidRPr="00CE3AA7">
        <w:t>T</w:t>
      </w:r>
      <w:r w:rsidR="009E3442" w:rsidRPr="00CE3AA7">
        <w:t xml:space="preserve">rial </w:t>
      </w:r>
      <w:r w:rsidR="006F498B" w:rsidRPr="00CE3AA7">
        <w:t>Justice</w:t>
      </w:r>
      <w:r w:rsidR="009E3442" w:rsidRPr="00CE3AA7">
        <w:t xml:space="preserve"> to</w:t>
      </w:r>
      <w:r w:rsidR="009E3442" w:rsidRPr="009E3442">
        <w:t xml:space="preserve"> attach </w:t>
      </w:r>
      <w:r w:rsidR="004C6E39">
        <w:t xml:space="preserve">the same </w:t>
      </w:r>
      <w:r w:rsidR="009E3442" w:rsidRPr="009E3442">
        <w:t>weight to the GHD as if it were a legal instrument.</w:t>
      </w:r>
    </w:p>
    <w:p w14:paraId="6EBCD2D7" w14:textId="77777777" w:rsidR="001C5EC3" w:rsidRDefault="001C5EC3" w:rsidP="00060D89">
      <w:pPr>
        <w:pStyle w:val="WSParaNum"/>
        <w:numPr>
          <w:ilvl w:val="0"/>
          <w:numId w:val="0"/>
        </w:numPr>
        <w:spacing w:before="0" w:after="0"/>
      </w:pPr>
    </w:p>
    <w:p w14:paraId="62C52731" w14:textId="045CEE37" w:rsidR="002D0A80" w:rsidRDefault="00C9495A" w:rsidP="0023014F">
      <w:pPr>
        <w:pStyle w:val="Heading2"/>
        <w:tabs>
          <w:tab w:val="num" w:pos="720"/>
        </w:tabs>
        <w:spacing w:before="0" w:after="0"/>
        <w:rPr>
          <w:rFonts w:ascii="Times New Roman" w:hAnsi="Times New Roman"/>
          <w:i w:val="0"/>
          <w:sz w:val="24"/>
          <w:szCs w:val="24"/>
        </w:rPr>
      </w:pPr>
      <w:bookmarkStart w:id="27" w:name="_Toc220076117"/>
      <w:r>
        <w:rPr>
          <w:rFonts w:ascii="Times New Roman" w:hAnsi="Times New Roman"/>
          <w:i w:val="0"/>
          <w:sz w:val="24"/>
          <w:szCs w:val="24"/>
        </w:rPr>
        <w:t xml:space="preserve">Issue 4: </w:t>
      </w:r>
      <w:r w:rsidR="00D643BF" w:rsidRPr="00D643BF">
        <w:rPr>
          <w:rFonts w:ascii="Times New Roman" w:hAnsi="Times New Roman"/>
          <w:i w:val="0"/>
          <w:sz w:val="24"/>
          <w:szCs w:val="24"/>
        </w:rPr>
        <w:t>CHL would not have been convicted at trial if the new definition of “habitat” was in force when it was charged and tried</w:t>
      </w:r>
      <w:bookmarkEnd w:id="27"/>
    </w:p>
    <w:p w14:paraId="37438C54" w14:textId="77777777" w:rsidR="001C5EC3" w:rsidRPr="001C5EC3" w:rsidRDefault="001C5EC3" w:rsidP="001C5EC3">
      <w:pPr>
        <w:spacing w:line="360" w:lineRule="auto"/>
      </w:pPr>
    </w:p>
    <w:p w14:paraId="68B19D64" w14:textId="45B5A7DE" w:rsidR="44E4CFCF" w:rsidRDefault="00D3277D" w:rsidP="23EEAD6C">
      <w:pPr>
        <w:pStyle w:val="WSParaNum"/>
        <w:spacing w:before="0" w:after="0"/>
        <w:rPr>
          <w:color w:val="000000" w:themeColor="text1"/>
        </w:rPr>
      </w:pPr>
      <w:r w:rsidRPr="00D3277D">
        <w:rPr>
          <w:color w:val="000000" w:themeColor="text1"/>
        </w:rPr>
        <w:t xml:space="preserve">The new definition </w:t>
      </w:r>
      <w:r w:rsidR="00E26E21">
        <w:rPr>
          <w:color w:val="000000" w:themeColor="text1"/>
        </w:rPr>
        <w:t xml:space="preserve">of “habitat” </w:t>
      </w:r>
      <w:r w:rsidRPr="00D3277D">
        <w:rPr>
          <w:color w:val="000000" w:themeColor="text1"/>
        </w:rPr>
        <w:t xml:space="preserve">is part of an ongoing trend since 2019 that reflects the legislature’s intent to align the definition of “habitat” with the </w:t>
      </w:r>
      <w:r w:rsidRPr="00D3277D">
        <w:rPr>
          <w:i/>
          <w:iCs/>
          <w:color w:val="000000" w:themeColor="text1"/>
        </w:rPr>
        <w:t>ESA</w:t>
      </w:r>
      <w:r w:rsidRPr="00D3277D">
        <w:rPr>
          <w:color w:val="000000" w:themeColor="text1"/>
        </w:rPr>
        <w:t xml:space="preserve">’s purpose of balancing species protection with social and economic considerations. While the SCC was clear in </w:t>
      </w:r>
      <w:r w:rsidRPr="00D3277D">
        <w:rPr>
          <w:i/>
          <w:iCs/>
          <w:color w:val="000000" w:themeColor="text1"/>
        </w:rPr>
        <w:t>Castonguay Blasting</w:t>
      </w:r>
      <w:r w:rsidRPr="00D3277D">
        <w:rPr>
          <w:color w:val="000000" w:themeColor="text1"/>
        </w:rPr>
        <w:t xml:space="preserve"> that environmental protection statutes are entitled “to a generous interpretation,” where the legislature has clearly narrowed the scope of interpretation, its intent must be respected. The new definition of “habitat” in the </w:t>
      </w:r>
      <w:r w:rsidRPr="00131B4E">
        <w:rPr>
          <w:i/>
          <w:iCs/>
          <w:color w:val="000000" w:themeColor="text1"/>
        </w:rPr>
        <w:t>ESA</w:t>
      </w:r>
      <w:r w:rsidRPr="00D3277D">
        <w:rPr>
          <w:color w:val="000000" w:themeColor="text1"/>
        </w:rPr>
        <w:t xml:space="preserve"> does not leave any ambiguities requiring a generous interpretation</w:t>
      </w:r>
      <w:r w:rsidR="44E4CFCF" w:rsidRPr="23EEAD6C">
        <w:rPr>
          <w:color w:val="000000" w:themeColor="text1"/>
        </w:rPr>
        <w:t>.</w:t>
      </w:r>
    </w:p>
    <w:p w14:paraId="679B586C" w14:textId="5CED2473" w:rsidR="00D60DB1" w:rsidRDefault="00256444" w:rsidP="00D60DB1">
      <w:pPr>
        <w:pStyle w:val="WSParaNum"/>
        <w:numPr>
          <w:ilvl w:val="0"/>
          <w:numId w:val="0"/>
        </w:numPr>
        <w:spacing w:before="0" w:after="0"/>
        <w:ind w:firstLine="720"/>
      </w:pPr>
      <w:r>
        <w:rPr>
          <w:rStyle w:val="normaltextrun"/>
          <w:i/>
          <w:iCs/>
          <w:color w:val="000000"/>
          <w:sz w:val="20"/>
          <w:szCs w:val="20"/>
          <w:shd w:val="clear" w:color="auto" w:fill="FFFFFF"/>
          <w:lang w:val="en-US"/>
        </w:rPr>
        <w:t>Castonguay Blasting Ltd v Ontario (Environment)</w:t>
      </w:r>
      <w:r w:rsidR="00D60DB1">
        <w:rPr>
          <w:rStyle w:val="normaltextrun"/>
          <w:color w:val="000000"/>
          <w:sz w:val="20"/>
          <w:szCs w:val="20"/>
          <w:shd w:val="clear" w:color="auto" w:fill="FFFFFF"/>
          <w:lang w:val="en-US"/>
        </w:rPr>
        <w:t xml:space="preserve">, </w:t>
      </w:r>
      <w:r>
        <w:rPr>
          <w:rStyle w:val="normaltextrun"/>
          <w:color w:val="000000"/>
          <w:sz w:val="20"/>
          <w:szCs w:val="20"/>
          <w:shd w:val="clear" w:color="auto" w:fill="FFFFFF"/>
          <w:lang w:val="en-US"/>
        </w:rPr>
        <w:t xml:space="preserve">2013 SCC 52 at para </w:t>
      </w:r>
      <w:r w:rsidR="001E6ED0">
        <w:rPr>
          <w:rStyle w:val="normaltextrun"/>
          <w:color w:val="000000"/>
          <w:sz w:val="20"/>
          <w:szCs w:val="20"/>
          <w:shd w:val="clear" w:color="auto" w:fill="FFFFFF"/>
          <w:lang w:val="en-US"/>
        </w:rPr>
        <w:t>9</w:t>
      </w:r>
      <w:r w:rsidR="00D60DB1">
        <w:rPr>
          <w:sz w:val="20"/>
          <w:szCs w:val="20"/>
        </w:rPr>
        <w:t>.</w:t>
      </w:r>
    </w:p>
    <w:p w14:paraId="5745422C" w14:textId="2FDC5D65" w:rsidR="64D06045" w:rsidRPr="00D60DB1" w:rsidRDefault="64D06045" w:rsidP="64D06045">
      <w:pPr>
        <w:pStyle w:val="WSParaNum"/>
        <w:numPr>
          <w:ilvl w:val="0"/>
          <w:numId w:val="0"/>
        </w:numPr>
        <w:spacing w:before="0" w:after="0"/>
        <w:rPr>
          <w:rStyle w:val="eop"/>
          <w:color w:val="000000" w:themeColor="text1"/>
        </w:rPr>
      </w:pPr>
    </w:p>
    <w:p w14:paraId="407D7BBC" w14:textId="6698853A" w:rsidR="002D0A80" w:rsidRDefault="00066CC6" w:rsidP="0007098C">
      <w:pPr>
        <w:pStyle w:val="WSParaNum"/>
        <w:spacing w:before="0" w:after="0"/>
      </w:pPr>
      <w:r w:rsidRPr="00066CC6">
        <w:t>For an “animal species</w:t>
      </w:r>
      <w:r w:rsidR="00A13ABD">
        <w:t>,</w:t>
      </w:r>
      <w:r w:rsidRPr="00066CC6">
        <w:t>” the new definition of “habitat” refers to a dwelling-place and the immediate surrounding area that is occupied or habitually occupied by one or more members of a species for five specific purposes: breeding, rearing, staging, wintering, or hibernating. This does not include areas where a species formerly occurred or has the potential to be reintroduced unless existing members depend on that area to carry on their life processes.</w:t>
      </w:r>
    </w:p>
    <w:p w14:paraId="00BBCEF4" w14:textId="455432B0" w:rsidR="007119F6" w:rsidRDefault="007119F6" w:rsidP="007119F6">
      <w:pPr>
        <w:pStyle w:val="WSParaNum"/>
        <w:numPr>
          <w:ilvl w:val="0"/>
          <w:numId w:val="0"/>
        </w:numPr>
        <w:spacing w:before="0" w:after="0"/>
        <w:ind w:firstLine="720"/>
      </w:pPr>
      <w:r>
        <w:rPr>
          <w:rStyle w:val="normaltextrun"/>
          <w:i/>
          <w:iCs/>
          <w:color w:val="000000"/>
          <w:sz w:val="20"/>
          <w:szCs w:val="20"/>
          <w:shd w:val="clear" w:color="auto" w:fill="FFFFFF"/>
          <w:lang w:val="en-US"/>
        </w:rPr>
        <w:t>ESA</w:t>
      </w:r>
      <w:r>
        <w:rPr>
          <w:rStyle w:val="normaltextrun"/>
          <w:color w:val="000000"/>
          <w:sz w:val="20"/>
          <w:szCs w:val="20"/>
          <w:shd w:val="clear" w:color="auto" w:fill="FFFFFF"/>
          <w:lang w:val="en-US"/>
        </w:rPr>
        <w:t>, s 2(1)–(2)</w:t>
      </w:r>
      <w:r>
        <w:rPr>
          <w:sz w:val="20"/>
          <w:szCs w:val="20"/>
        </w:rPr>
        <w:t>.</w:t>
      </w:r>
    </w:p>
    <w:p w14:paraId="5E5679B8" w14:textId="77777777" w:rsidR="007119F6" w:rsidRDefault="007119F6" w:rsidP="007119F6">
      <w:pPr>
        <w:pStyle w:val="WSParaNum"/>
        <w:numPr>
          <w:ilvl w:val="0"/>
          <w:numId w:val="0"/>
        </w:numPr>
        <w:spacing w:before="0" w:after="0"/>
      </w:pPr>
    </w:p>
    <w:p w14:paraId="2900BB95" w14:textId="776A2023" w:rsidR="002D0A80" w:rsidRDefault="00604F62" w:rsidP="0007098C">
      <w:pPr>
        <w:pStyle w:val="WSParaNum"/>
        <w:spacing w:before="0" w:after="0"/>
      </w:pPr>
      <w:r>
        <w:t xml:space="preserve">The </w:t>
      </w:r>
      <w:r w:rsidR="00B73C66" w:rsidRPr="00B73C66">
        <w:t xml:space="preserve">new definition of “habitat” narrows the scope of the </w:t>
      </w:r>
      <w:r w:rsidR="00B73C66" w:rsidRPr="00B73C66">
        <w:rPr>
          <w:i/>
          <w:iCs/>
        </w:rPr>
        <w:t>ESA’s</w:t>
      </w:r>
      <w:r w:rsidR="00B73C66" w:rsidRPr="00B73C66">
        <w:t xml:space="preserve"> application</w:t>
      </w:r>
      <w:r w:rsidR="005F62CC">
        <w:t xml:space="preserve"> by enumerating</w:t>
      </w:r>
      <w:r w:rsidR="00B73C66" w:rsidRPr="00B73C66">
        <w:t xml:space="preserve"> five specific uses for which a</w:t>
      </w:r>
      <w:r w:rsidR="005F62CC">
        <w:t xml:space="preserve"> species must use an</w:t>
      </w:r>
      <w:r w:rsidR="00B73C66" w:rsidRPr="00B73C66">
        <w:t xml:space="preserve"> area. Migration was specifically excluded from the new definition. This is significant for the Blanding’s turtle, which favours migration and requires more than a single wetland to meet its needs.</w:t>
      </w:r>
    </w:p>
    <w:p w14:paraId="49BECB92" w14:textId="72B96FCA" w:rsidR="008861A0" w:rsidRDefault="008861A0" w:rsidP="008861A0">
      <w:pPr>
        <w:pStyle w:val="paragraph"/>
        <w:spacing w:before="0" w:beforeAutospacing="0" w:after="0" w:afterAutospacing="0"/>
        <w:ind w:left="720"/>
        <w:textAlignment w:val="baseline"/>
        <w:rPr>
          <w:rFonts w:ascii="Segoe UI" w:hAnsi="Segoe UI" w:cs="Segoe UI"/>
          <w:sz w:val="18"/>
          <w:szCs w:val="18"/>
        </w:rPr>
      </w:pPr>
      <w:r>
        <w:rPr>
          <w:rStyle w:val="normaltextrun"/>
          <w:color w:val="000000"/>
          <w:sz w:val="20"/>
          <w:szCs w:val="20"/>
          <w:shd w:val="clear" w:color="auto" w:fill="FFFFFF"/>
          <w:lang w:val="en-US"/>
        </w:rPr>
        <w:t>Ontario</w:t>
      </w:r>
      <w:r>
        <w:rPr>
          <w:rStyle w:val="normaltextrun"/>
          <w:color w:val="000000"/>
          <w:sz w:val="20"/>
          <w:szCs w:val="20"/>
        </w:rPr>
        <w:t>, Ministry of the Environment, Conservation and Parks, </w:t>
      </w:r>
      <w:r>
        <w:rPr>
          <w:rStyle w:val="normaltextrun"/>
          <w:i/>
          <w:iCs/>
          <w:color w:val="000000"/>
          <w:sz w:val="20"/>
          <w:szCs w:val="20"/>
        </w:rPr>
        <w:t>Blanding’s Turtle</w:t>
      </w:r>
      <w:r>
        <w:rPr>
          <w:rStyle w:val="eop"/>
          <w:color w:val="000000"/>
          <w:sz w:val="20"/>
          <w:szCs w:val="20"/>
        </w:rPr>
        <w:t> </w:t>
      </w:r>
    </w:p>
    <w:p w14:paraId="51768995" w14:textId="7B1A7F50" w:rsidR="007C68D1" w:rsidRPr="008861A0" w:rsidRDefault="008861A0" w:rsidP="008861A0">
      <w:pPr>
        <w:pStyle w:val="paragraph"/>
        <w:spacing w:before="0" w:beforeAutospacing="0" w:after="0" w:afterAutospacing="0"/>
        <w:ind w:left="720"/>
        <w:textAlignment w:val="baseline"/>
        <w:rPr>
          <w:rFonts w:ascii="Segoe UI" w:hAnsi="Segoe UI" w:cs="Segoe UI"/>
          <w:sz w:val="18"/>
          <w:szCs w:val="18"/>
        </w:rPr>
      </w:pPr>
      <w:r>
        <w:rPr>
          <w:rStyle w:val="normaltextrun"/>
          <w:i/>
          <w:iCs/>
          <w:color w:val="000000"/>
          <w:sz w:val="20"/>
          <w:szCs w:val="20"/>
        </w:rPr>
        <w:t>(Emydoidea blandingii) in Ontario</w:t>
      </w:r>
      <w:r>
        <w:rPr>
          <w:rStyle w:val="normaltextrun"/>
          <w:color w:val="000000"/>
          <w:sz w:val="20"/>
          <w:szCs w:val="20"/>
        </w:rPr>
        <w:t>, Ontario Recovery Strategy Series (Toronto: MECP, 2019) at 9 [</w:t>
      </w:r>
      <w:r>
        <w:rPr>
          <w:rStyle w:val="normaltextrun"/>
          <w:i/>
          <w:iCs/>
          <w:color w:val="000000"/>
          <w:sz w:val="20"/>
          <w:szCs w:val="20"/>
        </w:rPr>
        <w:t>Blanding’s Turtle Recovery Strategy</w:t>
      </w:r>
      <w:r>
        <w:rPr>
          <w:rStyle w:val="normaltextrun"/>
          <w:color w:val="000000"/>
          <w:sz w:val="20"/>
          <w:szCs w:val="20"/>
        </w:rPr>
        <w:t>].</w:t>
      </w:r>
    </w:p>
    <w:p w14:paraId="3BDBA566" w14:textId="77777777" w:rsidR="007C68D1" w:rsidRDefault="007C68D1" w:rsidP="008861A0">
      <w:pPr>
        <w:pStyle w:val="WSParaNum"/>
        <w:numPr>
          <w:ilvl w:val="0"/>
          <w:numId w:val="0"/>
        </w:numPr>
        <w:spacing w:before="0" w:after="0"/>
      </w:pPr>
    </w:p>
    <w:p w14:paraId="1F1F7CA4" w14:textId="3BE0F18D" w:rsidR="00604F62" w:rsidRDefault="00604F62" w:rsidP="0007098C">
      <w:pPr>
        <w:pStyle w:val="WSParaNum"/>
        <w:spacing w:before="0" w:after="0"/>
      </w:pPr>
      <w:r>
        <w:t>In</w:t>
      </w:r>
      <w:r w:rsidR="004472C2">
        <w:t xml:space="preserve"> </w:t>
      </w:r>
      <w:r w:rsidR="004472C2" w:rsidRPr="004472C2">
        <w:rPr>
          <w:i/>
          <w:iCs/>
        </w:rPr>
        <w:t>Ostrander</w:t>
      </w:r>
      <w:r w:rsidR="004472C2" w:rsidRPr="004472C2">
        <w:t>, the Ontario Court of Appeal accepted evidence that Blanding’s turtles travel long distances in search of nesting sites, food, and refuge. For example, female turtles can travel over 6,000 m during nesting migrations from May to July.</w:t>
      </w:r>
      <w:r w:rsidR="002E2075">
        <w:t xml:space="preserve"> </w:t>
      </w:r>
      <w:r w:rsidR="004F1A3E">
        <w:t>The observed home ranges for Blanding’s turtles</w:t>
      </w:r>
      <w:r w:rsidR="006B5C48">
        <w:t xml:space="preserve"> average between </w:t>
      </w:r>
      <w:r w:rsidR="006B5C48" w:rsidRPr="004E5D5E">
        <w:t>120,000 m</w:t>
      </w:r>
      <w:r w:rsidR="006B5C48" w:rsidRPr="00E24BA8">
        <w:rPr>
          <w:vertAlign w:val="superscript"/>
        </w:rPr>
        <w:t>2</w:t>
      </w:r>
      <w:r w:rsidR="006B5C48" w:rsidRPr="004E5D5E">
        <w:t xml:space="preserve"> and 600,000 m</w:t>
      </w:r>
      <w:r w:rsidR="006B5C48" w:rsidRPr="00E24BA8">
        <w:rPr>
          <w:vertAlign w:val="superscript"/>
        </w:rPr>
        <w:t>2</w:t>
      </w:r>
      <w:r w:rsidR="006B5C48" w:rsidRPr="004E5D5E">
        <w:t>.</w:t>
      </w:r>
      <w:r w:rsidR="006B5C48">
        <w:t xml:space="preserve"> </w:t>
      </w:r>
      <w:r w:rsidR="00C622F2">
        <w:t xml:space="preserve">In </w:t>
      </w:r>
      <w:r w:rsidR="00CA250D">
        <w:t>this case</w:t>
      </w:r>
      <w:r w:rsidR="00C622F2">
        <w:t xml:space="preserve">, the </w:t>
      </w:r>
      <w:r w:rsidR="005D1DD3">
        <w:t>Site measure</w:t>
      </w:r>
      <w:r w:rsidR="00A27CA1">
        <w:t>s a mere</w:t>
      </w:r>
      <w:r w:rsidR="005D1DD3">
        <w:t xml:space="preserve"> </w:t>
      </w:r>
      <w:r w:rsidR="005D1DD3" w:rsidRPr="004E5D5E">
        <w:t>1,857.5 m</w:t>
      </w:r>
      <w:r w:rsidR="005D1DD3" w:rsidRPr="00E24BA8">
        <w:rPr>
          <w:vertAlign w:val="superscript"/>
        </w:rPr>
        <w:t>2</w:t>
      </w:r>
      <w:r w:rsidR="0005004E">
        <w:t xml:space="preserve">, </w:t>
      </w:r>
      <w:r w:rsidR="00C8615F">
        <w:t xml:space="preserve">which </w:t>
      </w:r>
      <w:r w:rsidR="000820D7">
        <w:t>represents</w:t>
      </w:r>
      <w:r w:rsidR="007D4BA5">
        <w:t xml:space="preserve"> </w:t>
      </w:r>
      <w:r w:rsidR="00B57D56">
        <w:t>an insignificant portion of the Blanding’s turtles’ home range.</w:t>
      </w:r>
      <w:r w:rsidR="00D3201D">
        <w:t xml:space="preserve"> T</w:t>
      </w:r>
      <w:r w:rsidR="00A27CA1">
        <w:t>herefore</w:t>
      </w:r>
      <w:r w:rsidR="00D3201D">
        <w:t>,</w:t>
      </w:r>
      <w:r w:rsidR="00A27CA1">
        <w:t xml:space="preserve"> </w:t>
      </w:r>
      <w:r w:rsidR="00C77CE2">
        <w:t xml:space="preserve">a conviction </w:t>
      </w:r>
      <w:r w:rsidR="005845EF">
        <w:t xml:space="preserve">without </w:t>
      </w:r>
      <w:r w:rsidR="00B44134">
        <w:t xml:space="preserve">direct </w:t>
      </w:r>
      <w:r w:rsidR="005845EF">
        <w:t>evidence of</w:t>
      </w:r>
      <w:r w:rsidR="00B44134">
        <w:t xml:space="preserve"> </w:t>
      </w:r>
      <w:r w:rsidR="00D3201D">
        <w:t xml:space="preserve">Blanding’s turtles’ </w:t>
      </w:r>
      <w:r w:rsidR="00B44134">
        <w:t xml:space="preserve">continuous or habitual occupation </w:t>
      </w:r>
      <w:r w:rsidR="00D3201D">
        <w:t xml:space="preserve">of the Site </w:t>
      </w:r>
      <w:r w:rsidR="00CA250D">
        <w:t>is</w:t>
      </w:r>
      <w:r w:rsidR="00C77CE2">
        <w:t xml:space="preserve"> unreasonable</w:t>
      </w:r>
      <w:r w:rsidR="00D3201D">
        <w:t>.</w:t>
      </w:r>
    </w:p>
    <w:p w14:paraId="24783496" w14:textId="4CC1E964" w:rsidR="0039712B" w:rsidRPr="00D678D8" w:rsidRDefault="005C6A7F" w:rsidP="0039712B">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Prince Edward County Field Naturalists v Ostrander Point GP Inc</w:t>
      </w:r>
      <w:r>
        <w:rPr>
          <w:rStyle w:val="normaltextrun"/>
          <w:color w:val="000000"/>
          <w:sz w:val="20"/>
          <w:szCs w:val="20"/>
          <w:shd w:val="clear" w:color="auto" w:fill="FFFFFF"/>
        </w:rPr>
        <w:t>, 2015 ONCA 269 (CanLII) at paras 14–15, 28</w:t>
      </w:r>
      <w:r w:rsidR="0039712B" w:rsidRPr="00D678D8">
        <w:rPr>
          <w:sz w:val="20"/>
          <w:szCs w:val="20"/>
        </w:rPr>
        <w:t>.</w:t>
      </w:r>
    </w:p>
    <w:p w14:paraId="32862899" w14:textId="77777777" w:rsidR="0039712B" w:rsidRPr="00D678D8" w:rsidRDefault="0039712B" w:rsidP="0039712B">
      <w:pPr>
        <w:pStyle w:val="WSParaNum"/>
        <w:numPr>
          <w:ilvl w:val="0"/>
          <w:numId w:val="0"/>
        </w:numPr>
        <w:spacing w:before="0" w:after="0" w:line="240" w:lineRule="auto"/>
        <w:ind w:left="720" w:right="720"/>
        <w:rPr>
          <w:sz w:val="20"/>
          <w:szCs w:val="20"/>
        </w:rPr>
      </w:pPr>
    </w:p>
    <w:p w14:paraId="33E24555" w14:textId="77777777" w:rsidR="001B7797" w:rsidRDefault="001B7797" w:rsidP="001B7797">
      <w:pPr>
        <w:pStyle w:val="WSParaNum"/>
        <w:numPr>
          <w:ilvl w:val="0"/>
          <w:numId w:val="0"/>
        </w:numPr>
        <w:spacing w:before="0" w:after="0" w:line="240" w:lineRule="auto"/>
        <w:ind w:firstLine="720"/>
        <w:rPr>
          <w:sz w:val="20"/>
          <w:szCs w:val="20"/>
        </w:rPr>
      </w:pPr>
      <w:r>
        <w:rPr>
          <w:rStyle w:val="normaltextrun"/>
          <w:color w:val="000000"/>
          <w:sz w:val="20"/>
          <w:szCs w:val="20"/>
          <w:bdr w:val="none" w:sz="0" w:space="0" w:color="auto" w:frame="1"/>
        </w:rPr>
        <w:t>GHD at 3</w:t>
      </w:r>
      <w:r>
        <w:rPr>
          <w:sz w:val="20"/>
          <w:szCs w:val="20"/>
        </w:rPr>
        <w:t>.</w:t>
      </w:r>
    </w:p>
    <w:p w14:paraId="37B67C2C" w14:textId="77777777" w:rsidR="001B7797" w:rsidRPr="001B7797" w:rsidRDefault="001B7797" w:rsidP="001B7797">
      <w:pPr>
        <w:pStyle w:val="WSParaNum"/>
        <w:numPr>
          <w:ilvl w:val="0"/>
          <w:numId w:val="0"/>
        </w:numPr>
        <w:spacing w:before="0" w:after="0" w:line="240" w:lineRule="auto"/>
        <w:ind w:firstLine="720"/>
        <w:rPr>
          <w:rStyle w:val="normaltextrun"/>
          <w:color w:val="000000"/>
          <w:sz w:val="20"/>
          <w:szCs w:val="20"/>
          <w:shd w:val="clear" w:color="auto" w:fill="FFFFFF"/>
        </w:rPr>
      </w:pPr>
    </w:p>
    <w:p w14:paraId="5FD05018" w14:textId="7DBB374F" w:rsidR="0039712B" w:rsidRDefault="006C639B" w:rsidP="0039712B">
      <w:pPr>
        <w:pStyle w:val="WSParaNum"/>
        <w:numPr>
          <w:ilvl w:val="0"/>
          <w:numId w:val="0"/>
        </w:numPr>
        <w:spacing w:before="0" w:after="0" w:line="240" w:lineRule="auto"/>
        <w:ind w:firstLine="720"/>
        <w:rPr>
          <w:sz w:val="20"/>
          <w:szCs w:val="20"/>
        </w:rPr>
      </w:pPr>
      <w:r>
        <w:rPr>
          <w:rStyle w:val="normaltextrun"/>
          <w:i/>
          <w:iCs/>
          <w:color w:val="000000"/>
          <w:sz w:val="20"/>
          <w:szCs w:val="20"/>
          <w:shd w:val="clear" w:color="auto" w:fill="FFFFFF"/>
        </w:rPr>
        <w:t>Blanding’s Turtle Recovery Strategy</w:t>
      </w:r>
      <w:r>
        <w:rPr>
          <w:rStyle w:val="normaltextrun"/>
          <w:color w:val="000000"/>
          <w:sz w:val="20"/>
          <w:szCs w:val="20"/>
          <w:shd w:val="clear" w:color="auto" w:fill="FFFFFF"/>
        </w:rPr>
        <w:t> at 7</w:t>
      </w:r>
      <w:r w:rsidR="001B7797">
        <w:rPr>
          <w:rStyle w:val="normaltextrun"/>
          <w:color w:val="000000"/>
          <w:sz w:val="20"/>
          <w:szCs w:val="20"/>
          <w:shd w:val="clear" w:color="auto" w:fill="FFFFFF"/>
        </w:rPr>
        <w:t>, 9</w:t>
      </w:r>
      <w:r w:rsidR="0039712B" w:rsidRPr="00D678D8">
        <w:rPr>
          <w:sz w:val="20"/>
          <w:szCs w:val="20"/>
        </w:rPr>
        <w:t>.</w:t>
      </w:r>
    </w:p>
    <w:p w14:paraId="1A590AB0" w14:textId="77777777" w:rsidR="001B7797" w:rsidRDefault="001B7797" w:rsidP="0039712B">
      <w:pPr>
        <w:pStyle w:val="WSParaNum"/>
        <w:numPr>
          <w:ilvl w:val="0"/>
          <w:numId w:val="0"/>
        </w:numPr>
        <w:spacing w:before="0" w:after="0" w:line="240" w:lineRule="auto"/>
        <w:ind w:firstLine="720"/>
        <w:rPr>
          <w:sz w:val="20"/>
          <w:szCs w:val="20"/>
        </w:rPr>
      </w:pPr>
    </w:p>
    <w:p w14:paraId="559D92BE" w14:textId="4487D6B2" w:rsidR="0039712B" w:rsidRDefault="001B7797" w:rsidP="00B944F5">
      <w:pPr>
        <w:pStyle w:val="WSParaNum"/>
        <w:numPr>
          <w:ilvl w:val="0"/>
          <w:numId w:val="0"/>
        </w:numPr>
        <w:spacing w:before="0" w:after="0" w:line="240" w:lineRule="auto"/>
        <w:ind w:firstLine="720"/>
        <w:rPr>
          <w:sz w:val="20"/>
          <w:szCs w:val="20"/>
        </w:rPr>
      </w:pPr>
      <w:r>
        <w:rPr>
          <w:sz w:val="20"/>
          <w:szCs w:val="20"/>
        </w:rPr>
        <w:t>OCJ decision at 3.</w:t>
      </w:r>
    </w:p>
    <w:p w14:paraId="35FFE865" w14:textId="77777777" w:rsidR="002128FA" w:rsidRDefault="002128FA" w:rsidP="002128FA">
      <w:pPr>
        <w:pStyle w:val="WSParaNum"/>
        <w:numPr>
          <w:ilvl w:val="0"/>
          <w:numId w:val="0"/>
        </w:numPr>
        <w:spacing w:before="0" w:after="0"/>
      </w:pPr>
    </w:p>
    <w:p w14:paraId="3E434C36" w14:textId="2A8F9196" w:rsidR="00604F62" w:rsidRDefault="00604F62" w:rsidP="0007098C">
      <w:pPr>
        <w:pStyle w:val="WSParaNum"/>
        <w:spacing w:before="0" w:after="0"/>
      </w:pPr>
      <w:r>
        <w:t xml:space="preserve">The </w:t>
      </w:r>
      <w:r w:rsidR="004B6DD1" w:rsidRPr="004B6DD1">
        <w:t xml:space="preserve">Crown’s evidence does not prove that Blanding’s turtles were occupying the Site at the time of the alleged offence. However, the evidence may prove that turtles were habitually occupying the Site. Since “habitually” is not defined in the </w:t>
      </w:r>
      <w:r w:rsidR="004B6DD1" w:rsidRPr="004B6DD1">
        <w:rPr>
          <w:i/>
          <w:iCs/>
        </w:rPr>
        <w:t>ESA</w:t>
      </w:r>
      <w:r w:rsidR="004B6DD1" w:rsidRPr="004B6DD1">
        <w:t xml:space="preserve">, the modern approach to </w:t>
      </w:r>
      <w:r w:rsidR="004B6DD1" w:rsidRPr="004B6DD1">
        <w:lastRenderedPageBreak/>
        <w:t>statutory interpretation dictates that the ordinary meaning of the word should be considered within the context, scheme, and object of the act and the legislature’s intent.</w:t>
      </w:r>
    </w:p>
    <w:p w14:paraId="3D8BD860" w14:textId="50F118C6" w:rsidR="00615D90" w:rsidRPr="0016735C" w:rsidRDefault="00CA57D3" w:rsidP="00615D90">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Rizzo </w:t>
      </w:r>
      <w:r>
        <w:rPr>
          <w:rStyle w:val="normaltextrun"/>
          <w:color w:val="000000"/>
          <w:sz w:val="20"/>
          <w:szCs w:val="20"/>
          <w:shd w:val="clear" w:color="auto" w:fill="FFFFFF"/>
        </w:rPr>
        <w:t>at para 21</w:t>
      </w:r>
      <w:r w:rsidR="00615D90" w:rsidRPr="0016735C">
        <w:rPr>
          <w:sz w:val="20"/>
          <w:szCs w:val="20"/>
        </w:rPr>
        <w:t>.</w:t>
      </w:r>
    </w:p>
    <w:p w14:paraId="38F8B22B" w14:textId="77777777" w:rsidR="00615D90" w:rsidRPr="00D678D8" w:rsidRDefault="00615D90" w:rsidP="00615D90">
      <w:pPr>
        <w:pStyle w:val="WSParaNum"/>
        <w:numPr>
          <w:ilvl w:val="0"/>
          <w:numId w:val="0"/>
        </w:numPr>
        <w:spacing w:before="0" w:after="0" w:line="240" w:lineRule="auto"/>
        <w:ind w:left="720" w:right="720"/>
        <w:rPr>
          <w:sz w:val="20"/>
          <w:szCs w:val="20"/>
        </w:rPr>
      </w:pPr>
    </w:p>
    <w:p w14:paraId="37D7E68D" w14:textId="43FFC4D5" w:rsidR="00615D90" w:rsidRDefault="00A01D74" w:rsidP="00A01D74">
      <w:pPr>
        <w:pStyle w:val="WSParaNum"/>
        <w:numPr>
          <w:ilvl w:val="0"/>
          <w:numId w:val="0"/>
        </w:numPr>
        <w:spacing w:before="0" w:after="0" w:line="240" w:lineRule="auto"/>
        <w:ind w:left="720"/>
        <w:rPr>
          <w:sz w:val="20"/>
          <w:szCs w:val="20"/>
        </w:rPr>
      </w:pPr>
      <w:r>
        <w:rPr>
          <w:rStyle w:val="normaltextrun"/>
          <w:i/>
          <w:iCs/>
          <w:color w:val="000000"/>
          <w:sz w:val="20"/>
          <w:szCs w:val="20"/>
          <w:shd w:val="clear" w:color="auto" w:fill="FFFFFF"/>
          <w:lang w:val="en-US"/>
        </w:rPr>
        <w:t>Blue Star Trailer Rentals Inc v 407 ETR Concession Company Limited</w:t>
      </w:r>
      <w:r>
        <w:rPr>
          <w:rStyle w:val="normaltextrun"/>
          <w:color w:val="000000"/>
          <w:sz w:val="20"/>
          <w:szCs w:val="20"/>
          <w:shd w:val="clear" w:color="auto" w:fill="FFFFFF"/>
          <w:lang w:val="en-US"/>
        </w:rPr>
        <w:t>, 2008 ONCA 561 (CanLII) at paras 23–25</w:t>
      </w:r>
      <w:r w:rsidR="00615D90" w:rsidRPr="00D678D8">
        <w:rPr>
          <w:sz w:val="20"/>
          <w:szCs w:val="20"/>
        </w:rPr>
        <w:t>.</w:t>
      </w:r>
    </w:p>
    <w:p w14:paraId="4C34A612" w14:textId="77777777" w:rsidR="00615D90" w:rsidRDefault="00615D90" w:rsidP="00615D90">
      <w:pPr>
        <w:pStyle w:val="WSParaNum"/>
        <w:numPr>
          <w:ilvl w:val="0"/>
          <w:numId w:val="0"/>
        </w:numPr>
        <w:spacing w:before="0" w:after="0"/>
      </w:pPr>
    </w:p>
    <w:p w14:paraId="4F3D59B4" w14:textId="5C554F6F" w:rsidR="00604F62" w:rsidRDefault="00604F62" w:rsidP="0007098C">
      <w:pPr>
        <w:pStyle w:val="WSParaNum"/>
        <w:spacing w:before="0" w:after="0"/>
      </w:pPr>
      <w:r>
        <w:t>These</w:t>
      </w:r>
      <w:r w:rsidR="00043FCB">
        <w:t xml:space="preserve"> </w:t>
      </w:r>
      <w:r w:rsidR="00043FCB" w:rsidRPr="00043FCB">
        <w:t>factors do not need to be addressed separately in every case, as together they ultimately serve to ascertain and understand legislative intent, including changes to the rights and obligations of companies such as CHL</w:t>
      </w:r>
      <w:r w:rsidR="00A01D74">
        <w:t>.</w:t>
      </w:r>
    </w:p>
    <w:p w14:paraId="0560F32E" w14:textId="7DE1BA0A" w:rsidR="00A01D74" w:rsidRDefault="005C7389" w:rsidP="00A01D74">
      <w:pPr>
        <w:pStyle w:val="WSParaNum"/>
        <w:numPr>
          <w:ilvl w:val="0"/>
          <w:numId w:val="0"/>
        </w:numPr>
        <w:spacing w:before="0" w:after="0"/>
        <w:ind w:firstLine="720"/>
      </w:pPr>
      <w:r>
        <w:rPr>
          <w:rStyle w:val="normaltextrun"/>
          <w:i/>
          <w:iCs/>
          <w:color w:val="000000"/>
          <w:sz w:val="20"/>
          <w:szCs w:val="20"/>
          <w:shd w:val="clear" w:color="auto" w:fill="FFFFFF"/>
        </w:rPr>
        <w:t>R v Guerrier</w:t>
      </w:r>
      <w:r>
        <w:rPr>
          <w:rStyle w:val="normaltextrun"/>
          <w:color w:val="000000"/>
          <w:sz w:val="20"/>
          <w:szCs w:val="20"/>
          <w:shd w:val="clear" w:color="auto" w:fill="FFFFFF"/>
        </w:rPr>
        <w:t>, 2024 ONCA 838 (CanLII) at para 23</w:t>
      </w:r>
      <w:r w:rsidR="00A01D74">
        <w:rPr>
          <w:sz w:val="20"/>
          <w:szCs w:val="20"/>
        </w:rPr>
        <w:t>.</w:t>
      </w:r>
    </w:p>
    <w:p w14:paraId="4125E86E" w14:textId="77777777" w:rsidR="00A01D74" w:rsidRDefault="00A01D74" w:rsidP="00A01D74">
      <w:pPr>
        <w:pStyle w:val="WSParaNum"/>
        <w:numPr>
          <w:ilvl w:val="0"/>
          <w:numId w:val="0"/>
        </w:numPr>
        <w:spacing w:before="0" w:after="0"/>
      </w:pPr>
    </w:p>
    <w:p w14:paraId="5DCF7E11" w14:textId="5261BCE4" w:rsidR="00604F62" w:rsidRDefault="00604F62" w:rsidP="0007098C">
      <w:pPr>
        <w:pStyle w:val="WSParaNum"/>
        <w:spacing w:before="0" w:after="0"/>
      </w:pPr>
      <w:r>
        <w:t>Black’s</w:t>
      </w:r>
      <w:r w:rsidR="00A11EA5">
        <w:t xml:space="preserve"> </w:t>
      </w:r>
      <w:r w:rsidR="00A11EA5" w:rsidRPr="00A11EA5">
        <w:t>Law Dictionary defines “habitual” as “customary” or “usual.”</w:t>
      </w:r>
    </w:p>
    <w:p w14:paraId="70E07CCC" w14:textId="2CC592AF" w:rsidR="005C7389" w:rsidRDefault="004A60BD" w:rsidP="004A60BD">
      <w:pPr>
        <w:pStyle w:val="WSParaNum"/>
        <w:numPr>
          <w:ilvl w:val="0"/>
          <w:numId w:val="0"/>
        </w:numPr>
        <w:spacing w:before="0" w:after="0" w:line="240" w:lineRule="auto"/>
        <w:ind w:left="720"/>
      </w:pPr>
      <w:r>
        <w:rPr>
          <w:rStyle w:val="normaltextrun"/>
          <w:color w:val="000000"/>
          <w:sz w:val="20"/>
          <w:szCs w:val="20"/>
          <w:shd w:val="clear" w:color="auto" w:fill="FFFFFF"/>
        </w:rPr>
        <w:t>Bryan A Garner, ed, </w:t>
      </w:r>
      <w:r>
        <w:rPr>
          <w:rStyle w:val="normaltextrun"/>
          <w:i/>
          <w:iCs/>
          <w:color w:val="000000"/>
          <w:sz w:val="20"/>
          <w:szCs w:val="20"/>
          <w:shd w:val="clear" w:color="auto" w:fill="FFFFFF"/>
        </w:rPr>
        <w:t>Black’s Law Dictionary</w:t>
      </w:r>
      <w:r>
        <w:rPr>
          <w:rStyle w:val="normaltextrun"/>
          <w:color w:val="000000"/>
          <w:sz w:val="20"/>
          <w:szCs w:val="20"/>
          <w:shd w:val="clear" w:color="auto" w:fill="FFFFFF"/>
        </w:rPr>
        <w:t>, 12th ed (Toronto: Thomson Reuters, 2024) </w:t>
      </w:r>
      <w:r>
        <w:rPr>
          <w:rStyle w:val="normaltextrun"/>
          <w:i/>
          <w:iCs/>
          <w:color w:val="000000"/>
          <w:sz w:val="20"/>
          <w:szCs w:val="20"/>
          <w:shd w:val="clear" w:color="auto" w:fill="FFFFFF"/>
        </w:rPr>
        <w:t>sub verbo</w:t>
      </w:r>
      <w:r>
        <w:rPr>
          <w:rStyle w:val="normaltextrun"/>
          <w:color w:val="000000"/>
          <w:sz w:val="20"/>
          <w:szCs w:val="20"/>
          <w:shd w:val="clear" w:color="auto" w:fill="FFFFFF"/>
        </w:rPr>
        <w:t> “habitual”</w:t>
      </w:r>
      <w:r w:rsidR="005C7389">
        <w:rPr>
          <w:sz w:val="20"/>
          <w:szCs w:val="20"/>
        </w:rPr>
        <w:t>.</w:t>
      </w:r>
    </w:p>
    <w:p w14:paraId="4654112B" w14:textId="77777777" w:rsidR="005C7389" w:rsidRDefault="005C7389" w:rsidP="005C7389">
      <w:pPr>
        <w:pStyle w:val="WSParaNum"/>
        <w:numPr>
          <w:ilvl w:val="0"/>
          <w:numId w:val="0"/>
        </w:numPr>
        <w:spacing w:before="0" w:after="0"/>
      </w:pPr>
    </w:p>
    <w:p w14:paraId="38CA8539" w14:textId="3C5F7755" w:rsidR="00604F62" w:rsidRDefault="00604F62" w:rsidP="0007098C">
      <w:pPr>
        <w:pStyle w:val="WSParaNum"/>
        <w:spacing w:before="0" w:after="0"/>
      </w:pPr>
      <w:r>
        <w:t>The</w:t>
      </w:r>
      <w:r w:rsidR="00F86454">
        <w:t xml:space="preserve"> </w:t>
      </w:r>
      <w:r w:rsidR="00F86454" w:rsidRPr="00F86454">
        <w:rPr>
          <w:i/>
          <w:iCs/>
        </w:rPr>
        <w:t>ESA</w:t>
      </w:r>
      <w:r w:rsidR="00F86454" w:rsidRPr="00F86454">
        <w:t xml:space="preserve">’s purpose was also amended by the </w:t>
      </w:r>
      <w:r w:rsidR="00F86454" w:rsidRPr="00F86454">
        <w:rPr>
          <w:i/>
          <w:iCs/>
        </w:rPr>
        <w:t>Protect Ontario by Unleashing our Economy Act, 2025</w:t>
      </w:r>
      <w:r w:rsidR="00F86454" w:rsidRPr="00F86454">
        <w:t xml:space="preserve">. The old purpose was to identify and protect species at risk and their habitats as well as promote stewardship activities for the protection and recovery of these species. The preamble, however, acknowledged that protection must have “appropriate regard” to social and economic considerations, which is reflected in the </w:t>
      </w:r>
      <w:r w:rsidR="00F86454" w:rsidRPr="00F86454">
        <w:rPr>
          <w:i/>
          <w:iCs/>
        </w:rPr>
        <w:t>ESA</w:t>
      </w:r>
      <w:r w:rsidR="00F86454" w:rsidRPr="00F86454">
        <w:t>’s new purpose.</w:t>
      </w:r>
    </w:p>
    <w:p w14:paraId="14B7C813" w14:textId="2FAF7E21" w:rsidR="002B548C" w:rsidRDefault="00826D1C" w:rsidP="002B548C">
      <w:pPr>
        <w:pStyle w:val="WSParaNum"/>
        <w:numPr>
          <w:ilvl w:val="0"/>
          <w:numId w:val="0"/>
        </w:numPr>
        <w:spacing w:before="0" w:after="0"/>
        <w:ind w:firstLine="720"/>
      </w:pPr>
      <w:r>
        <w:rPr>
          <w:rStyle w:val="normaltextrun"/>
          <w:i/>
          <w:iCs/>
          <w:color w:val="000000"/>
          <w:sz w:val="20"/>
          <w:szCs w:val="20"/>
          <w:shd w:val="clear" w:color="auto" w:fill="FFFFFF"/>
        </w:rPr>
        <w:t>ESA</w:t>
      </w:r>
      <w:r>
        <w:rPr>
          <w:rStyle w:val="normaltextrun"/>
          <w:color w:val="000000"/>
          <w:sz w:val="20"/>
          <w:szCs w:val="20"/>
          <w:shd w:val="clear" w:color="auto" w:fill="FFFFFF"/>
        </w:rPr>
        <w:t>, Preamble, s 1 as it appeared on 20 August 2024</w:t>
      </w:r>
      <w:r w:rsidR="002B548C">
        <w:rPr>
          <w:sz w:val="20"/>
          <w:szCs w:val="20"/>
        </w:rPr>
        <w:t>.</w:t>
      </w:r>
    </w:p>
    <w:p w14:paraId="4847D292" w14:textId="77777777" w:rsidR="002B548C" w:rsidRDefault="002B548C" w:rsidP="002B548C">
      <w:pPr>
        <w:pStyle w:val="WSParaNum"/>
        <w:numPr>
          <w:ilvl w:val="0"/>
          <w:numId w:val="0"/>
        </w:numPr>
        <w:spacing w:before="0" w:after="0"/>
      </w:pPr>
    </w:p>
    <w:p w14:paraId="4A7FB8D9" w14:textId="088A9C3E" w:rsidR="00604F62" w:rsidRDefault="00604F62" w:rsidP="0007098C">
      <w:pPr>
        <w:pStyle w:val="WSParaNum"/>
        <w:spacing w:before="0" w:after="0"/>
      </w:pPr>
      <w:r>
        <w:t>The</w:t>
      </w:r>
      <w:r w:rsidR="00A94928">
        <w:t xml:space="preserve"> </w:t>
      </w:r>
      <w:r w:rsidR="00A94928" w:rsidRPr="00F86454">
        <w:rPr>
          <w:i/>
          <w:iCs/>
        </w:rPr>
        <w:t>ESA</w:t>
      </w:r>
      <w:r w:rsidR="00A94928" w:rsidRPr="00A94928">
        <w:t xml:space="preserve">’s new purpose is to identify, protect, and conserve species at risk while accounting for social and economic considerations, including the need for sustainable economic growth in Ontario. This demonstrates that the statute must balance species protection and economic development, rather than having the </w:t>
      </w:r>
      <w:r w:rsidR="004C6E39">
        <w:t xml:space="preserve">more narrow </w:t>
      </w:r>
      <w:r w:rsidR="00FE1768">
        <w:t xml:space="preserve">approach </w:t>
      </w:r>
      <w:r w:rsidR="00A94928" w:rsidRPr="00A94928">
        <w:t>of protection and conservation.</w:t>
      </w:r>
    </w:p>
    <w:p w14:paraId="19AFBCD4" w14:textId="60062319" w:rsidR="00286F79" w:rsidRPr="0016735C" w:rsidRDefault="0096242B" w:rsidP="00286F79">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ESA</w:t>
      </w:r>
      <w:r>
        <w:rPr>
          <w:rStyle w:val="normaltextrun"/>
          <w:color w:val="000000"/>
          <w:sz w:val="20"/>
          <w:szCs w:val="20"/>
          <w:shd w:val="clear" w:color="auto" w:fill="FFFFFF"/>
        </w:rPr>
        <w:t>, s 1</w:t>
      </w:r>
      <w:r w:rsidR="00131793">
        <w:rPr>
          <w:rStyle w:val="normaltextrun"/>
          <w:color w:val="000000"/>
          <w:sz w:val="20"/>
          <w:szCs w:val="20"/>
          <w:shd w:val="clear" w:color="auto" w:fill="FFFFFF"/>
        </w:rPr>
        <w:t xml:space="preserve">, </w:t>
      </w:r>
      <w:r w:rsidR="00131793" w:rsidRPr="00131793">
        <w:rPr>
          <w:rStyle w:val="normaltextrun"/>
          <w:color w:val="000000"/>
          <w:sz w:val="20"/>
          <w:szCs w:val="20"/>
          <w:shd w:val="clear" w:color="auto" w:fill="FFFFFF"/>
        </w:rPr>
        <w:t xml:space="preserve">as amended by the </w:t>
      </w:r>
      <w:r w:rsidR="00131793" w:rsidRPr="005A6DE8">
        <w:rPr>
          <w:rStyle w:val="normaltextrun"/>
          <w:i/>
          <w:iCs/>
          <w:color w:val="000000"/>
          <w:sz w:val="20"/>
          <w:szCs w:val="20"/>
          <w:shd w:val="clear" w:color="auto" w:fill="FFFFFF"/>
        </w:rPr>
        <w:t>Protect Ontario by Unleashing our Economy Act, 2025</w:t>
      </w:r>
      <w:r w:rsidR="00131793" w:rsidRPr="00131793">
        <w:rPr>
          <w:rStyle w:val="normaltextrun"/>
          <w:color w:val="000000"/>
          <w:sz w:val="20"/>
          <w:szCs w:val="20"/>
          <w:shd w:val="clear" w:color="auto" w:fill="FFFFFF"/>
        </w:rPr>
        <w:t>, S</w:t>
      </w:r>
      <w:r w:rsidR="005A6DE8">
        <w:rPr>
          <w:rStyle w:val="normaltextrun"/>
          <w:color w:val="000000"/>
          <w:sz w:val="20"/>
          <w:szCs w:val="20"/>
          <w:shd w:val="clear" w:color="auto" w:fill="FFFFFF"/>
        </w:rPr>
        <w:t>O</w:t>
      </w:r>
      <w:r w:rsidR="00131793" w:rsidRPr="00131793">
        <w:rPr>
          <w:rStyle w:val="normaltextrun"/>
          <w:color w:val="000000"/>
          <w:sz w:val="20"/>
          <w:szCs w:val="20"/>
          <w:shd w:val="clear" w:color="auto" w:fill="FFFFFF"/>
        </w:rPr>
        <w:t xml:space="preserve"> 2025, c 4 - Bill 5, Schedule 2</w:t>
      </w:r>
      <w:r w:rsidR="005A6DE8">
        <w:rPr>
          <w:rStyle w:val="normaltextrun"/>
          <w:color w:val="000000"/>
          <w:sz w:val="20"/>
          <w:szCs w:val="20"/>
          <w:shd w:val="clear" w:color="auto" w:fill="FFFFFF"/>
        </w:rPr>
        <w:t>.</w:t>
      </w:r>
    </w:p>
    <w:p w14:paraId="05EBBF7A" w14:textId="77777777" w:rsidR="00286F79" w:rsidRPr="00D678D8" w:rsidRDefault="00286F79" w:rsidP="00286F79">
      <w:pPr>
        <w:pStyle w:val="WSParaNum"/>
        <w:numPr>
          <w:ilvl w:val="0"/>
          <w:numId w:val="0"/>
        </w:numPr>
        <w:spacing w:before="0" w:after="0" w:line="240" w:lineRule="auto"/>
        <w:ind w:left="720" w:right="720"/>
        <w:rPr>
          <w:sz w:val="20"/>
          <w:szCs w:val="20"/>
        </w:rPr>
      </w:pPr>
    </w:p>
    <w:p w14:paraId="401D501C" w14:textId="48702A26" w:rsidR="00286F79" w:rsidRDefault="00AB715C" w:rsidP="00286F79">
      <w:pPr>
        <w:pStyle w:val="WSParaNum"/>
        <w:numPr>
          <w:ilvl w:val="0"/>
          <w:numId w:val="0"/>
        </w:numPr>
        <w:spacing w:before="0" w:after="0" w:line="240" w:lineRule="auto"/>
        <w:ind w:left="720"/>
        <w:rPr>
          <w:sz w:val="20"/>
          <w:szCs w:val="20"/>
        </w:rPr>
      </w:pPr>
      <w:r>
        <w:rPr>
          <w:rStyle w:val="normaltextrun"/>
          <w:i/>
          <w:iCs/>
          <w:color w:val="000000"/>
          <w:sz w:val="20"/>
          <w:szCs w:val="20"/>
          <w:shd w:val="clear" w:color="auto" w:fill="FFFFFF"/>
          <w:lang w:val="en-US"/>
        </w:rPr>
        <w:t>Wildlands League v Ontario (Natural Resources and Forestry)</w:t>
      </w:r>
      <w:r>
        <w:rPr>
          <w:rStyle w:val="normaltextrun"/>
          <w:color w:val="000000"/>
          <w:sz w:val="20"/>
          <w:szCs w:val="20"/>
          <w:shd w:val="clear" w:color="auto" w:fill="FFFFFF"/>
          <w:lang w:val="en-US"/>
        </w:rPr>
        <w:t>, 2016 ONCA 741 (CanLII) at paras 8, 83 [</w:t>
      </w:r>
      <w:r>
        <w:rPr>
          <w:rStyle w:val="normaltextrun"/>
          <w:i/>
          <w:iCs/>
          <w:color w:val="000000"/>
          <w:sz w:val="20"/>
          <w:szCs w:val="20"/>
          <w:shd w:val="clear" w:color="auto" w:fill="FFFFFF"/>
          <w:lang w:val="en-US"/>
        </w:rPr>
        <w:t>Wildlands</w:t>
      </w:r>
      <w:r>
        <w:rPr>
          <w:rStyle w:val="normaltextrun"/>
          <w:color w:val="000000"/>
          <w:sz w:val="20"/>
          <w:szCs w:val="20"/>
          <w:shd w:val="clear" w:color="auto" w:fill="FFFFFF"/>
          <w:lang w:val="en-US"/>
        </w:rPr>
        <w:t>]</w:t>
      </w:r>
      <w:r w:rsidR="00286F79" w:rsidRPr="00D678D8">
        <w:rPr>
          <w:sz w:val="20"/>
          <w:szCs w:val="20"/>
        </w:rPr>
        <w:t>.</w:t>
      </w:r>
    </w:p>
    <w:p w14:paraId="0CBF0053" w14:textId="77777777" w:rsidR="00286F79" w:rsidRDefault="00286F79" w:rsidP="00286F79">
      <w:pPr>
        <w:pStyle w:val="WSParaNum"/>
        <w:numPr>
          <w:ilvl w:val="0"/>
          <w:numId w:val="0"/>
        </w:numPr>
        <w:spacing w:before="0" w:after="0"/>
      </w:pPr>
    </w:p>
    <w:p w14:paraId="2F1A9328" w14:textId="1F084CA6" w:rsidR="00604F62" w:rsidRDefault="00604F62" w:rsidP="0007098C">
      <w:pPr>
        <w:pStyle w:val="WSParaNum"/>
        <w:spacing w:before="0" w:after="0"/>
      </w:pPr>
      <w:r>
        <w:t>Through</w:t>
      </w:r>
      <w:r w:rsidR="0028315A">
        <w:t xml:space="preserve"> </w:t>
      </w:r>
      <w:r w:rsidR="0028315A" w:rsidRPr="0028315A">
        <w:t xml:space="preserve">its amendments to the </w:t>
      </w:r>
      <w:r w:rsidR="0028315A" w:rsidRPr="0028315A">
        <w:rPr>
          <w:i/>
          <w:iCs/>
        </w:rPr>
        <w:t>ESA</w:t>
      </w:r>
      <w:r w:rsidR="0028315A" w:rsidRPr="0028315A">
        <w:t xml:space="preserve">, the legislature is clearly indicating that species protection and economic development in Ontario must coexist. This means that the </w:t>
      </w:r>
      <w:r w:rsidR="0028315A" w:rsidRPr="00F86454">
        <w:rPr>
          <w:i/>
          <w:iCs/>
        </w:rPr>
        <w:t>ESA</w:t>
      </w:r>
      <w:r w:rsidR="0028315A" w:rsidRPr="00A94928">
        <w:t>’s</w:t>
      </w:r>
      <w:r w:rsidR="0028315A" w:rsidRPr="0028315A">
        <w:t xml:space="preserve"> </w:t>
      </w:r>
      <w:r w:rsidR="0028315A" w:rsidRPr="0028315A">
        <w:lastRenderedPageBreak/>
        <w:t xml:space="preserve">protection of individual species members and their habitats is not absolute. The </w:t>
      </w:r>
      <w:r w:rsidR="0028315A" w:rsidRPr="00F86454">
        <w:rPr>
          <w:i/>
          <w:iCs/>
        </w:rPr>
        <w:t>ESA</w:t>
      </w:r>
      <w:r w:rsidR="0028315A" w:rsidRPr="00A94928">
        <w:t>’s</w:t>
      </w:r>
      <w:r w:rsidR="0028315A" w:rsidRPr="0028315A">
        <w:t xml:space="preserve"> scheme is to provide a presumption of protection with tools to address social and economic conditions, recognizing that protection occurs within the context of human activities. </w:t>
      </w:r>
      <w:r w:rsidR="0028315A" w:rsidRPr="0028315A">
        <w:rPr>
          <w:i/>
          <w:iCs/>
        </w:rPr>
        <w:t>ESA</w:t>
      </w:r>
      <w:r w:rsidR="0028315A" w:rsidRPr="0028315A">
        <w:t xml:space="preserve"> s. 10(1) is a broad prohibition against damaging or destroying the habitat of species at risk, but the </w:t>
      </w:r>
      <w:r w:rsidR="0028315A" w:rsidRPr="00207991">
        <w:rPr>
          <w:i/>
          <w:iCs/>
        </w:rPr>
        <w:t>Act</w:t>
      </w:r>
      <w:r w:rsidR="0028315A" w:rsidRPr="0028315A">
        <w:t xml:space="preserve"> provides for exemptions through permits, agreements, and other instruments.</w:t>
      </w:r>
    </w:p>
    <w:p w14:paraId="511521CA" w14:textId="7311139A" w:rsidR="00A57A53" w:rsidRDefault="00BD4521" w:rsidP="00A57A53">
      <w:pPr>
        <w:pStyle w:val="WSParaNum"/>
        <w:numPr>
          <w:ilvl w:val="0"/>
          <w:numId w:val="0"/>
        </w:numPr>
        <w:spacing w:before="0" w:after="0"/>
        <w:ind w:firstLine="720"/>
      </w:pPr>
      <w:r>
        <w:rPr>
          <w:rStyle w:val="normaltextrun"/>
          <w:i/>
          <w:iCs/>
          <w:color w:val="000000"/>
          <w:sz w:val="20"/>
          <w:szCs w:val="20"/>
          <w:shd w:val="clear" w:color="auto" w:fill="FFFFFF"/>
          <w:lang w:val="en-US"/>
        </w:rPr>
        <w:t>Wildlands </w:t>
      </w:r>
      <w:r>
        <w:rPr>
          <w:rStyle w:val="normaltextrun"/>
          <w:color w:val="000000"/>
          <w:sz w:val="20"/>
          <w:szCs w:val="20"/>
          <w:shd w:val="clear" w:color="auto" w:fill="FFFFFF"/>
          <w:lang w:val="en-US"/>
        </w:rPr>
        <w:t>at paras 91–92</w:t>
      </w:r>
      <w:r w:rsidR="00A57A53">
        <w:rPr>
          <w:sz w:val="20"/>
          <w:szCs w:val="20"/>
        </w:rPr>
        <w:t>.</w:t>
      </w:r>
    </w:p>
    <w:p w14:paraId="3ADDB418" w14:textId="77777777" w:rsidR="00A57A53" w:rsidRDefault="00A57A53" w:rsidP="00A57A53">
      <w:pPr>
        <w:pStyle w:val="WSParaNum"/>
        <w:numPr>
          <w:ilvl w:val="0"/>
          <w:numId w:val="0"/>
        </w:numPr>
        <w:spacing w:before="0" w:after="0"/>
      </w:pPr>
    </w:p>
    <w:p w14:paraId="7A3BE846" w14:textId="72AA1AC5" w:rsidR="00604F62" w:rsidRDefault="00604F62" w:rsidP="0007098C">
      <w:pPr>
        <w:pStyle w:val="WSParaNum"/>
        <w:spacing w:before="0" w:after="0"/>
      </w:pPr>
      <w:r>
        <w:t xml:space="preserve">Beyond </w:t>
      </w:r>
      <w:r w:rsidR="00BF4322" w:rsidRPr="00BF4322">
        <w:t>the purpose clause in legislation, the SCC has stated that indications of legislative intent can be gleaned from debates in the Legislative Assembly of Ontario. Using legislative history as a tool to determine legislative intent is “an entirely appropriate exercise” and has often been employed by the SCC.</w:t>
      </w:r>
    </w:p>
    <w:p w14:paraId="7316277F" w14:textId="7578014C" w:rsidR="00BD4521" w:rsidRPr="0016735C" w:rsidRDefault="00484724" w:rsidP="00BD4521">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1704604 Ontario Ltd v Pointes Protection Association</w:t>
      </w:r>
      <w:r>
        <w:rPr>
          <w:rStyle w:val="normaltextrun"/>
          <w:color w:val="000000"/>
          <w:sz w:val="20"/>
          <w:szCs w:val="20"/>
          <w:shd w:val="clear" w:color="auto" w:fill="FFFFFF"/>
        </w:rPr>
        <w:t>, 2020 SCC 22 at para 12</w:t>
      </w:r>
      <w:r w:rsidR="00BD4521" w:rsidRPr="0016735C">
        <w:rPr>
          <w:sz w:val="20"/>
          <w:szCs w:val="20"/>
        </w:rPr>
        <w:t>.</w:t>
      </w:r>
    </w:p>
    <w:p w14:paraId="33F62EFF" w14:textId="77777777" w:rsidR="00BD4521" w:rsidRPr="00D678D8" w:rsidRDefault="00BD4521" w:rsidP="00BD4521">
      <w:pPr>
        <w:pStyle w:val="WSParaNum"/>
        <w:numPr>
          <w:ilvl w:val="0"/>
          <w:numId w:val="0"/>
        </w:numPr>
        <w:spacing w:before="0" w:after="0" w:line="240" w:lineRule="auto"/>
        <w:ind w:left="720" w:right="720"/>
        <w:rPr>
          <w:sz w:val="20"/>
          <w:szCs w:val="20"/>
        </w:rPr>
      </w:pPr>
    </w:p>
    <w:p w14:paraId="0675A9DB" w14:textId="4F582839" w:rsidR="00BD4521" w:rsidRDefault="00D622D8" w:rsidP="00BD4521">
      <w:pPr>
        <w:pStyle w:val="WSParaNum"/>
        <w:numPr>
          <w:ilvl w:val="0"/>
          <w:numId w:val="0"/>
        </w:numPr>
        <w:spacing w:before="0" w:after="0" w:line="240" w:lineRule="auto"/>
        <w:ind w:left="720"/>
        <w:rPr>
          <w:sz w:val="20"/>
          <w:szCs w:val="20"/>
        </w:rPr>
      </w:pPr>
      <w:r>
        <w:rPr>
          <w:rStyle w:val="normaltextrun"/>
          <w:i/>
          <w:iCs/>
          <w:color w:val="000000"/>
          <w:sz w:val="20"/>
          <w:szCs w:val="20"/>
          <w:shd w:val="clear" w:color="auto" w:fill="FFFFFF"/>
        </w:rPr>
        <w:t>R v Summers</w:t>
      </w:r>
      <w:r>
        <w:rPr>
          <w:rStyle w:val="normaltextrun"/>
          <w:color w:val="000000"/>
          <w:sz w:val="20"/>
          <w:szCs w:val="20"/>
          <w:shd w:val="clear" w:color="auto" w:fill="FFFFFF"/>
        </w:rPr>
        <w:t>, 2014 SCC 26 at para 51 [</w:t>
      </w:r>
      <w:r>
        <w:rPr>
          <w:rStyle w:val="normaltextrun"/>
          <w:i/>
          <w:iCs/>
          <w:color w:val="000000"/>
          <w:sz w:val="20"/>
          <w:szCs w:val="20"/>
          <w:shd w:val="clear" w:color="auto" w:fill="FFFFFF"/>
        </w:rPr>
        <w:t>Summers</w:t>
      </w:r>
      <w:r>
        <w:rPr>
          <w:rStyle w:val="normaltextrun"/>
          <w:color w:val="000000"/>
          <w:sz w:val="20"/>
          <w:szCs w:val="20"/>
          <w:shd w:val="clear" w:color="auto" w:fill="FFFFFF"/>
        </w:rPr>
        <w:t>]</w:t>
      </w:r>
      <w:r w:rsidR="00BD4521" w:rsidRPr="00D678D8">
        <w:rPr>
          <w:sz w:val="20"/>
          <w:szCs w:val="20"/>
        </w:rPr>
        <w:t>.</w:t>
      </w:r>
    </w:p>
    <w:p w14:paraId="1CC0DF95" w14:textId="77777777" w:rsidR="00BD4521" w:rsidRDefault="00BD4521" w:rsidP="00BD4521">
      <w:pPr>
        <w:pStyle w:val="WSParaNum"/>
        <w:numPr>
          <w:ilvl w:val="0"/>
          <w:numId w:val="0"/>
        </w:numPr>
        <w:spacing w:before="0" w:after="0" w:line="240" w:lineRule="auto"/>
        <w:ind w:left="720" w:right="720"/>
        <w:rPr>
          <w:rStyle w:val="normaltextrun"/>
          <w:i/>
          <w:iCs/>
          <w:color w:val="000000"/>
          <w:sz w:val="20"/>
          <w:szCs w:val="20"/>
          <w:shd w:val="clear" w:color="auto" w:fill="FFFFFF"/>
        </w:rPr>
      </w:pPr>
    </w:p>
    <w:p w14:paraId="6B01F964" w14:textId="361FAFEF" w:rsidR="00BD4521" w:rsidRPr="0016735C" w:rsidRDefault="004A7984" w:rsidP="00BD4521">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R v Gladue</w:t>
      </w:r>
      <w:r>
        <w:rPr>
          <w:rStyle w:val="normaltextrun"/>
          <w:color w:val="000000"/>
          <w:sz w:val="20"/>
          <w:szCs w:val="20"/>
          <w:shd w:val="clear" w:color="auto" w:fill="FFFFFF"/>
        </w:rPr>
        <w:t>, [1999] 1 SCR 688, 1999 CanLII 679 (SCC) at para 25</w:t>
      </w:r>
      <w:r w:rsidR="00BD4521" w:rsidRPr="0016735C">
        <w:rPr>
          <w:sz w:val="20"/>
          <w:szCs w:val="20"/>
        </w:rPr>
        <w:t>.</w:t>
      </w:r>
    </w:p>
    <w:p w14:paraId="45C9726E" w14:textId="77777777" w:rsidR="00BD4521" w:rsidRPr="00D678D8" w:rsidRDefault="00BD4521" w:rsidP="00BD4521">
      <w:pPr>
        <w:pStyle w:val="WSParaNum"/>
        <w:numPr>
          <w:ilvl w:val="0"/>
          <w:numId w:val="0"/>
        </w:numPr>
        <w:spacing w:before="0" w:after="0" w:line="240" w:lineRule="auto"/>
        <w:ind w:left="720" w:right="720"/>
        <w:rPr>
          <w:sz w:val="20"/>
          <w:szCs w:val="20"/>
        </w:rPr>
      </w:pPr>
    </w:p>
    <w:p w14:paraId="5C37BE9A" w14:textId="4AB2843E" w:rsidR="00BD4521" w:rsidRDefault="00ED5E25" w:rsidP="00BD4521">
      <w:pPr>
        <w:pStyle w:val="WSParaNum"/>
        <w:numPr>
          <w:ilvl w:val="0"/>
          <w:numId w:val="0"/>
        </w:numPr>
        <w:spacing w:before="0" w:after="0" w:line="240" w:lineRule="auto"/>
        <w:ind w:left="720"/>
        <w:rPr>
          <w:sz w:val="20"/>
          <w:szCs w:val="20"/>
        </w:rPr>
      </w:pPr>
      <w:r>
        <w:rPr>
          <w:rStyle w:val="normaltextrun"/>
          <w:i/>
          <w:iCs/>
          <w:color w:val="000000"/>
          <w:sz w:val="20"/>
          <w:szCs w:val="20"/>
          <w:shd w:val="clear" w:color="auto" w:fill="FFFFFF"/>
        </w:rPr>
        <w:t>Rizzo </w:t>
      </w:r>
      <w:r>
        <w:rPr>
          <w:rStyle w:val="normaltextrun"/>
          <w:color w:val="000000"/>
          <w:sz w:val="20"/>
          <w:szCs w:val="20"/>
          <w:shd w:val="clear" w:color="auto" w:fill="FFFFFF"/>
        </w:rPr>
        <w:t>at para 31</w:t>
      </w:r>
      <w:r w:rsidR="00BD4521" w:rsidRPr="00D678D8">
        <w:rPr>
          <w:sz w:val="20"/>
          <w:szCs w:val="20"/>
        </w:rPr>
        <w:t>.</w:t>
      </w:r>
    </w:p>
    <w:p w14:paraId="25F07FCB" w14:textId="77777777" w:rsidR="00BD4521" w:rsidRDefault="00BD4521" w:rsidP="00BD4521">
      <w:pPr>
        <w:pStyle w:val="WSParaNum"/>
        <w:numPr>
          <w:ilvl w:val="0"/>
          <w:numId w:val="0"/>
        </w:numPr>
        <w:spacing w:before="0" w:after="0"/>
      </w:pPr>
    </w:p>
    <w:p w14:paraId="2184B5A5" w14:textId="1D4BE726" w:rsidR="00604F62" w:rsidRDefault="00604F62" w:rsidP="0007098C">
      <w:pPr>
        <w:pStyle w:val="WSParaNum"/>
        <w:spacing w:before="0" w:after="0"/>
      </w:pPr>
      <w:r>
        <w:t>The</w:t>
      </w:r>
      <w:r w:rsidR="00BA7E3A">
        <w:t xml:space="preserve"> </w:t>
      </w:r>
      <w:r w:rsidR="00BA7E3A" w:rsidRPr="00BA7E3A">
        <w:t xml:space="preserve">legislature is presumed to know the legal context in which it legislates. During the second reading for the </w:t>
      </w:r>
      <w:r w:rsidR="00BA7E3A" w:rsidRPr="00BA7E3A">
        <w:rPr>
          <w:i/>
          <w:iCs/>
        </w:rPr>
        <w:t>Protect Ontario by Unleashing our Economy Act, 2025</w:t>
      </w:r>
      <w:r w:rsidR="00BA7E3A" w:rsidRPr="00BA7E3A">
        <w:t xml:space="preserve">, the </w:t>
      </w:r>
      <w:r w:rsidR="00AA04F3">
        <w:t xml:space="preserve">MECP </w:t>
      </w:r>
      <w:r w:rsidR="00BA7E3A" w:rsidRPr="00BA7E3A">
        <w:t xml:space="preserve">asserted that the government must “protect Ontario from global economic uncertainty” by accelerating environmental approvals. He stated that in these “unprecedented times,” projects cannot wait for approvals while competitors in other jurisdictions </w:t>
      </w:r>
      <w:r w:rsidR="0060199D">
        <w:t>advance</w:t>
      </w:r>
      <w:r w:rsidR="00BA7E3A" w:rsidRPr="00BA7E3A">
        <w:t>.</w:t>
      </w:r>
    </w:p>
    <w:p w14:paraId="779CB256" w14:textId="6F96799C" w:rsidR="00ED5E25" w:rsidRPr="0016735C" w:rsidRDefault="00413774" w:rsidP="00ED5E25">
      <w:pPr>
        <w:pStyle w:val="WSParaNum"/>
        <w:numPr>
          <w:ilvl w:val="0"/>
          <w:numId w:val="0"/>
        </w:numPr>
        <w:spacing w:before="0" w:after="0" w:line="240" w:lineRule="auto"/>
        <w:ind w:left="720" w:right="720"/>
        <w:rPr>
          <w:sz w:val="20"/>
          <w:szCs w:val="20"/>
        </w:rPr>
      </w:pPr>
      <w:r>
        <w:rPr>
          <w:rStyle w:val="normaltextrun"/>
          <w:i/>
          <w:iCs/>
          <w:color w:val="000000"/>
          <w:sz w:val="20"/>
          <w:szCs w:val="20"/>
          <w:shd w:val="clear" w:color="auto" w:fill="FFFFFF"/>
        </w:rPr>
        <w:t>Summers </w:t>
      </w:r>
      <w:r>
        <w:rPr>
          <w:rStyle w:val="normaltextrun"/>
          <w:color w:val="000000"/>
          <w:sz w:val="20"/>
          <w:szCs w:val="20"/>
          <w:shd w:val="clear" w:color="auto" w:fill="FFFFFF"/>
        </w:rPr>
        <w:t>at para 55</w:t>
      </w:r>
      <w:r w:rsidR="00ED5E25" w:rsidRPr="0016735C">
        <w:rPr>
          <w:sz w:val="20"/>
          <w:szCs w:val="20"/>
        </w:rPr>
        <w:t>.</w:t>
      </w:r>
    </w:p>
    <w:p w14:paraId="51728175" w14:textId="77777777" w:rsidR="00ED5E25" w:rsidRPr="00D678D8" w:rsidRDefault="00ED5E25" w:rsidP="00ED5E25">
      <w:pPr>
        <w:pStyle w:val="WSParaNum"/>
        <w:numPr>
          <w:ilvl w:val="0"/>
          <w:numId w:val="0"/>
        </w:numPr>
        <w:spacing w:before="0" w:after="0" w:line="240" w:lineRule="auto"/>
        <w:ind w:left="720" w:right="720"/>
        <w:rPr>
          <w:sz w:val="20"/>
          <w:szCs w:val="20"/>
        </w:rPr>
      </w:pPr>
    </w:p>
    <w:p w14:paraId="30DD34DB" w14:textId="2CF9477F" w:rsidR="00ED5E25" w:rsidRDefault="006A7C50" w:rsidP="00ED5E25">
      <w:pPr>
        <w:pStyle w:val="WSParaNum"/>
        <w:numPr>
          <w:ilvl w:val="0"/>
          <w:numId w:val="0"/>
        </w:numPr>
        <w:spacing w:before="0" w:after="0" w:line="240" w:lineRule="auto"/>
        <w:ind w:left="720"/>
        <w:rPr>
          <w:sz w:val="20"/>
          <w:szCs w:val="20"/>
        </w:rPr>
      </w:pPr>
      <w:r>
        <w:rPr>
          <w:rStyle w:val="normaltextrun"/>
          <w:color w:val="000000"/>
          <w:sz w:val="20"/>
          <w:szCs w:val="20"/>
          <w:shd w:val="clear" w:color="auto" w:fill="FFFFFF"/>
        </w:rPr>
        <w:t>“Bill 5, Protect Ontario by Unleashing our Economy Act, 2025”, 2nd reading, Legislative Assembly of Ontario, </w:t>
      </w:r>
      <w:r>
        <w:rPr>
          <w:rStyle w:val="normaltextrun"/>
          <w:i/>
          <w:iCs/>
          <w:color w:val="000000"/>
          <w:sz w:val="20"/>
          <w:szCs w:val="20"/>
          <w:shd w:val="clear" w:color="auto" w:fill="FFFFFF"/>
        </w:rPr>
        <w:t>Official Report of Debates (Hansard)</w:t>
      </w:r>
      <w:r>
        <w:rPr>
          <w:rStyle w:val="normaltextrun"/>
          <w:color w:val="000000"/>
          <w:sz w:val="20"/>
          <w:szCs w:val="20"/>
          <w:shd w:val="clear" w:color="auto" w:fill="FFFFFF"/>
        </w:rPr>
        <w:t>, 44-1, No 5 (29 April 2025) at 0950 (Hon Todd J McCarthy) [Bill 5 Hansard</w:t>
      </w:r>
      <w:r w:rsidR="00ED5E25">
        <w:rPr>
          <w:rStyle w:val="normaltextrun"/>
          <w:color w:val="000000"/>
          <w:sz w:val="20"/>
          <w:szCs w:val="20"/>
          <w:shd w:val="clear" w:color="auto" w:fill="FFFFFF"/>
          <w:lang w:val="en-US"/>
        </w:rPr>
        <w:t>]</w:t>
      </w:r>
      <w:r w:rsidR="00ED5E25" w:rsidRPr="00D678D8">
        <w:rPr>
          <w:sz w:val="20"/>
          <w:szCs w:val="20"/>
        </w:rPr>
        <w:t>.</w:t>
      </w:r>
    </w:p>
    <w:p w14:paraId="733F7340" w14:textId="77777777" w:rsidR="00ED5E25" w:rsidRDefault="00ED5E25" w:rsidP="00ED5E25">
      <w:pPr>
        <w:pStyle w:val="WSParaNum"/>
        <w:numPr>
          <w:ilvl w:val="0"/>
          <w:numId w:val="0"/>
        </w:numPr>
        <w:spacing w:before="0" w:after="0"/>
      </w:pPr>
    </w:p>
    <w:p w14:paraId="3A30291F" w14:textId="235BB51B" w:rsidR="00604F62" w:rsidRDefault="00604F62" w:rsidP="0007098C">
      <w:pPr>
        <w:pStyle w:val="WSParaNum"/>
        <w:spacing w:before="0" w:after="0"/>
      </w:pPr>
      <w:r>
        <w:t xml:space="preserve">The </w:t>
      </w:r>
      <w:r w:rsidR="00777657" w:rsidRPr="00777657">
        <w:t xml:space="preserve">Minister maintained that the previous approach to species protection and conservation was too complicated and lengthy, failing to deliver “the outcomes that Ontarians expect.” The MECP’s updated approach upholds the province’s environmental laws, ensuring that “strict environmental protections” do not impede investment but drive “economic prosperity.” These changes </w:t>
      </w:r>
      <w:r w:rsidR="0060199D">
        <w:t>reflect</w:t>
      </w:r>
      <w:r w:rsidR="00777657" w:rsidRPr="00777657">
        <w:t xml:space="preserve"> the government’s intentions of enabling concurrent economic growth and species protection.</w:t>
      </w:r>
    </w:p>
    <w:p w14:paraId="7795168D" w14:textId="2DAB361F" w:rsidR="00C52473" w:rsidRDefault="00C52473" w:rsidP="00C52473">
      <w:pPr>
        <w:pStyle w:val="WSParaNum"/>
        <w:numPr>
          <w:ilvl w:val="0"/>
          <w:numId w:val="0"/>
        </w:numPr>
        <w:spacing w:before="0" w:after="0"/>
        <w:ind w:firstLine="720"/>
      </w:pPr>
      <w:r>
        <w:rPr>
          <w:rStyle w:val="normaltextrun"/>
          <w:color w:val="000000"/>
          <w:sz w:val="20"/>
          <w:szCs w:val="20"/>
          <w:bdr w:val="none" w:sz="0" w:space="0" w:color="auto" w:frame="1"/>
        </w:rPr>
        <w:t>Bill 5 Hansard at 0950 (Hon Todd J McCarthy)</w:t>
      </w:r>
      <w:r>
        <w:rPr>
          <w:sz w:val="20"/>
          <w:szCs w:val="20"/>
        </w:rPr>
        <w:t>.</w:t>
      </w:r>
    </w:p>
    <w:p w14:paraId="5737A421" w14:textId="77777777" w:rsidR="00C52473" w:rsidRDefault="00C52473" w:rsidP="00C52473">
      <w:pPr>
        <w:pStyle w:val="WSParaNum"/>
        <w:numPr>
          <w:ilvl w:val="0"/>
          <w:numId w:val="0"/>
        </w:numPr>
        <w:spacing w:before="0" w:after="0"/>
      </w:pPr>
    </w:p>
    <w:p w14:paraId="30447D02" w14:textId="0E0D04FA" w:rsidR="00BE0239" w:rsidRDefault="00BE0239" w:rsidP="0007098C">
      <w:pPr>
        <w:pStyle w:val="WSParaNum"/>
        <w:spacing w:before="0" w:after="0"/>
      </w:pPr>
      <w:r>
        <w:t>In</w:t>
      </w:r>
      <w:r w:rsidR="00CE26E8">
        <w:t xml:space="preserve"> </w:t>
      </w:r>
      <w:r w:rsidR="00CE26E8" w:rsidRPr="00CE26E8">
        <w:t xml:space="preserve">2019, the government made several amendments to the </w:t>
      </w:r>
      <w:r w:rsidR="00CE26E8" w:rsidRPr="00CE26E8">
        <w:rPr>
          <w:i/>
          <w:iCs/>
        </w:rPr>
        <w:t>ESA</w:t>
      </w:r>
      <w:r w:rsidR="00CE26E8" w:rsidRPr="00CE26E8">
        <w:t xml:space="preserve"> in the </w:t>
      </w:r>
      <w:r w:rsidR="00CE26E8" w:rsidRPr="00CE26E8">
        <w:rPr>
          <w:i/>
          <w:iCs/>
        </w:rPr>
        <w:t>More Homes, More Choices Act</w:t>
      </w:r>
      <w:r w:rsidR="006133D8">
        <w:rPr>
          <w:i/>
          <w:iCs/>
        </w:rPr>
        <w:t>, 2019</w:t>
      </w:r>
      <w:r w:rsidR="00CE26E8" w:rsidRPr="00CE26E8">
        <w:t xml:space="preserve">. This </w:t>
      </w:r>
      <w:r w:rsidR="00CE26E8" w:rsidRPr="00CE26E8">
        <w:rPr>
          <w:i/>
          <w:iCs/>
        </w:rPr>
        <w:t>Act</w:t>
      </w:r>
      <w:r w:rsidR="00CE26E8" w:rsidRPr="00CE26E8">
        <w:t xml:space="preserve">, </w:t>
      </w:r>
      <w:r w:rsidR="0060199D">
        <w:t>which encourages</w:t>
      </w:r>
      <w:r w:rsidR="00CE26E8" w:rsidRPr="00CE26E8">
        <w:t xml:space="preserve"> housing developers like CHL, empowered the Minister to issue permits authorizing activities that would otherwise be prohibited by </w:t>
      </w:r>
      <w:r w:rsidR="00CE26E8" w:rsidRPr="00CE26E8">
        <w:rPr>
          <w:i/>
          <w:iCs/>
        </w:rPr>
        <w:t>ESA</w:t>
      </w:r>
      <w:r w:rsidR="00CE26E8" w:rsidRPr="00CE26E8">
        <w:t xml:space="preserve"> s. 10 if the Minister opined that the main purpose of the activity would result in a significant economic benefit to Ontario and would not jeopardize a species’ survival or recovery. This legislative change</w:t>
      </w:r>
      <w:r w:rsidR="0060199D">
        <w:t xml:space="preserve"> </w:t>
      </w:r>
      <w:r w:rsidR="00CE26E8" w:rsidRPr="00CE26E8">
        <w:t>reflect</w:t>
      </w:r>
      <w:r w:rsidR="0068033E">
        <w:t>s</w:t>
      </w:r>
      <w:r w:rsidR="00CE26E8" w:rsidRPr="00CE26E8">
        <w:t xml:space="preserve"> an ongoing policy shift towards greater accommodation of economic development within Ontario’s species protection scheme.</w:t>
      </w:r>
    </w:p>
    <w:p w14:paraId="2B66BA73" w14:textId="6A945AD9" w:rsidR="00C52473" w:rsidRDefault="000B1DAE" w:rsidP="00C52473">
      <w:pPr>
        <w:pStyle w:val="WSParaNum"/>
        <w:numPr>
          <w:ilvl w:val="0"/>
          <w:numId w:val="0"/>
        </w:numPr>
        <w:spacing w:before="0" w:after="0"/>
        <w:ind w:firstLine="720"/>
      </w:pPr>
      <w:r>
        <w:rPr>
          <w:rStyle w:val="normaltextrun"/>
          <w:i/>
          <w:iCs/>
          <w:color w:val="000000"/>
          <w:sz w:val="20"/>
          <w:szCs w:val="20"/>
          <w:shd w:val="clear" w:color="auto" w:fill="FFFFFF"/>
        </w:rPr>
        <w:t>More Homes, More Choice Act, 2019,</w:t>
      </w:r>
      <w:r>
        <w:rPr>
          <w:rStyle w:val="normaltextrun"/>
          <w:color w:val="000000"/>
          <w:sz w:val="20"/>
          <w:szCs w:val="20"/>
          <w:shd w:val="clear" w:color="auto" w:fill="FFFFFF"/>
        </w:rPr>
        <w:t> SO 2019, c 9</w:t>
      </w:r>
      <w:r w:rsidR="00E251C8">
        <w:rPr>
          <w:rStyle w:val="normaltextrun"/>
          <w:color w:val="000000"/>
          <w:sz w:val="20"/>
          <w:szCs w:val="20"/>
          <w:shd w:val="clear" w:color="auto" w:fill="FFFFFF"/>
        </w:rPr>
        <w:t xml:space="preserve"> - Bill 108</w:t>
      </w:r>
      <w:r>
        <w:rPr>
          <w:rStyle w:val="normaltextrun"/>
          <w:color w:val="000000"/>
          <w:sz w:val="20"/>
          <w:szCs w:val="20"/>
          <w:shd w:val="clear" w:color="auto" w:fill="FFFFFF"/>
        </w:rPr>
        <w:t>, Sched</w:t>
      </w:r>
      <w:r w:rsidR="00E251C8">
        <w:rPr>
          <w:rStyle w:val="normaltextrun"/>
          <w:color w:val="000000"/>
          <w:sz w:val="20"/>
          <w:szCs w:val="20"/>
          <w:shd w:val="clear" w:color="auto" w:fill="FFFFFF"/>
        </w:rPr>
        <w:t>ule</w:t>
      </w:r>
      <w:r>
        <w:rPr>
          <w:rStyle w:val="normaltextrun"/>
          <w:color w:val="000000"/>
          <w:sz w:val="20"/>
          <w:szCs w:val="20"/>
          <w:shd w:val="clear" w:color="auto" w:fill="FFFFFF"/>
        </w:rPr>
        <w:t xml:space="preserve"> 5, s 15(1</w:t>
      </w:r>
      <w:r w:rsidR="00C52473">
        <w:rPr>
          <w:rStyle w:val="normaltextrun"/>
          <w:color w:val="000000"/>
          <w:sz w:val="20"/>
          <w:szCs w:val="20"/>
          <w:bdr w:val="none" w:sz="0" w:space="0" w:color="auto" w:frame="1"/>
        </w:rPr>
        <w:t>)</w:t>
      </w:r>
      <w:r w:rsidR="00C52473">
        <w:rPr>
          <w:sz w:val="20"/>
          <w:szCs w:val="20"/>
        </w:rPr>
        <w:t>.</w:t>
      </w:r>
    </w:p>
    <w:p w14:paraId="05A98597" w14:textId="77777777" w:rsidR="00C52473" w:rsidRDefault="00C52473" w:rsidP="00C52473">
      <w:pPr>
        <w:pStyle w:val="WSParaNum"/>
        <w:numPr>
          <w:ilvl w:val="0"/>
          <w:numId w:val="0"/>
        </w:numPr>
        <w:spacing w:before="0" w:after="0"/>
      </w:pPr>
    </w:p>
    <w:p w14:paraId="1DC2C1D6" w14:textId="4EE560CA" w:rsidR="00CE26E8" w:rsidRDefault="00CE26E8" w:rsidP="0007098C">
      <w:pPr>
        <w:pStyle w:val="WSParaNum"/>
        <w:spacing w:before="0" w:after="0"/>
      </w:pPr>
      <w:r>
        <w:t xml:space="preserve">The </w:t>
      </w:r>
      <w:r w:rsidR="004E3A3B" w:rsidRPr="004E3A3B">
        <w:t xml:space="preserve">interpretation of “habitually” as “customary” or “usual” is reasonable, advances the purpose of the </w:t>
      </w:r>
      <w:r w:rsidR="004E3A3B" w:rsidRPr="004E3A3B">
        <w:rPr>
          <w:i/>
          <w:iCs/>
        </w:rPr>
        <w:t>ESA</w:t>
      </w:r>
      <w:r w:rsidR="004E3A3B" w:rsidRPr="004E3A3B">
        <w:t xml:space="preserve">, and reflects the legislature’s intent. Nonetheless, the Crown’s evidence still does not prove beyond a reasonable doubt that Blanding’s turtles were habitually occupying the Site.  </w:t>
      </w:r>
    </w:p>
    <w:p w14:paraId="7CA31C59" w14:textId="7EC6F109" w:rsidR="000B1DAE" w:rsidRDefault="00FD7C6A" w:rsidP="000B1DAE">
      <w:pPr>
        <w:pStyle w:val="WSParaNum"/>
        <w:numPr>
          <w:ilvl w:val="0"/>
          <w:numId w:val="0"/>
        </w:numPr>
        <w:spacing w:before="0" w:after="0"/>
        <w:ind w:firstLine="720"/>
      </w:pPr>
      <w:r>
        <w:rPr>
          <w:rStyle w:val="normaltextrun"/>
          <w:i/>
          <w:iCs/>
          <w:color w:val="000000"/>
          <w:sz w:val="20"/>
          <w:szCs w:val="20"/>
          <w:shd w:val="clear" w:color="auto" w:fill="FFFFFF"/>
        </w:rPr>
        <w:t>Wawanesa Mutual</w:t>
      </w:r>
      <w:r>
        <w:rPr>
          <w:rStyle w:val="normaltextrun"/>
          <w:color w:val="000000"/>
          <w:sz w:val="20"/>
          <w:szCs w:val="20"/>
          <w:shd w:val="clear" w:color="auto" w:fill="FFFFFF"/>
        </w:rPr>
        <w:t> at para 35</w:t>
      </w:r>
      <w:r w:rsidR="000B1DAE">
        <w:rPr>
          <w:sz w:val="20"/>
          <w:szCs w:val="20"/>
        </w:rPr>
        <w:t>.</w:t>
      </w:r>
    </w:p>
    <w:p w14:paraId="43A81C37" w14:textId="77777777" w:rsidR="000B1DAE" w:rsidRDefault="000B1DAE" w:rsidP="000B1DAE">
      <w:pPr>
        <w:pStyle w:val="WSParaNum"/>
        <w:numPr>
          <w:ilvl w:val="0"/>
          <w:numId w:val="0"/>
        </w:numPr>
        <w:spacing w:before="0" w:after="0"/>
      </w:pPr>
    </w:p>
    <w:p w14:paraId="4C9C3923" w14:textId="42CEE22F" w:rsidR="00BE0239" w:rsidRDefault="00DC28E2" w:rsidP="0007098C">
      <w:pPr>
        <w:pStyle w:val="WSParaNum"/>
        <w:spacing w:before="0" w:after="0"/>
      </w:pPr>
      <w:r>
        <w:t xml:space="preserve">Mr. </w:t>
      </w:r>
      <w:r w:rsidR="006002B3" w:rsidRPr="006002B3">
        <w:t xml:space="preserve">Snell’s testimony demonstrated that he did not have any confirmation or proof that Blanding’s turtles used the Site for nesting or thermogenic activities, which encompass the five uses in </w:t>
      </w:r>
      <w:r w:rsidR="00F757FF" w:rsidRPr="00F757FF">
        <w:rPr>
          <w:i/>
          <w:iCs/>
        </w:rPr>
        <w:t>ESA</w:t>
      </w:r>
      <w:r w:rsidR="00F757FF">
        <w:t xml:space="preserve"> </w:t>
      </w:r>
      <w:r w:rsidR="006002B3" w:rsidRPr="006002B3">
        <w:t>s. 2(1)(b). Given that there is no evidence that existing members of the species depend on the Site to carry on their life processes, s. 2(2) does not apply</w:t>
      </w:r>
      <w:r w:rsidR="006002B3">
        <w:t>.</w:t>
      </w:r>
    </w:p>
    <w:p w14:paraId="0AD4EC90" w14:textId="3F99EFC1" w:rsidR="00FD7C6A" w:rsidRDefault="00FD7C6A" w:rsidP="00FD7C6A">
      <w:pPr>
        <w:pStyle w:val="WSParaNum"/>
        <w:numPr>
          <w:ilvl w:val="0"/>
          <w:numId w:val="0"/>
        </w:numPr>
        <w:spacing w:before="0" w:after="0"/>
        <w:ind w:firstLine="720"/>
      </w:pPr>
      <w:r>
        <w:rPr>
          <w:rStyle w:val="normaltextrun"/>
          <w:color w:val="000000"/>
          <w:sz w:val="20"/>
          <w:szCs w:val="20"/>
          <w:shd w:val="clear" w:color="auto" w:fill="FFFFFF"/>
        </w:rPr>
        <w:t>OCJ Decision at 14, 17</w:t>
      </w:r>
      <w:r>
        <w:rPr>
          <w:sz w:val="20"/>
          <w:szCs w:val="20"/>
        </w:rPr>
        <w:t>.</w:t>
      </w:r>
    </w:p>
    <w:p w14:paraId="7486A0D5" w14:textId="77777777" w:rsidR="00FD7C6A" w:rsidRDefault="00FD7C6A" w:rsidP="00FD7C6A">
      <w:pPr>
        <w:pStyle w:val="WSParaNum"/>
        <w:numPr>
          <w:ilvl w:val="0"/>
          <w:numId w:val="0"/>
        </w:numPr>
        <w:spacing w:before="0" w:after="0"/>
      </w:pPr>
    </w:p>
    <w:p w14:paraId="0DF9FFF0" w14:textId="17B93407" w:rsidR="00DC28E2" w:rsidRDefault="00DC28E2" w:rsidP="0007098C">
      <w:pPr>
        <w:pStyle w:val="WSParaNum"/>
        <w:spacing w:before="0" w:after="0"/>
      </w:pPr>
      <w:r>
        <w:t>The</w:t>
      </w:r>
      <w:r w:rsidR="00457985">
        <w:t xml:space="preserve"> </w:t>
      </w:r>
      <w:r w:rsidR="00457985" w:rsidRPr="00457985">
        <w:t>Crown’s evidence does not support CHL’s conviction under the new definition of “habitat” in light of the legislature’s intent to facilitate concurrent species protection and economic development.</w:t>
      </w:r>
    </w:p>
    <w:p w14:paraId="4178696B" w14:textId="77777777" w:rsidR="000942CA" w:rsidRPr="00D678D8" w:rsidRDefault="000942CA" w:rsidP="000942CA">
      <w:pPr>
        <w:pStyle w:val="WSParaNum"/>
        <w:numPr>
          <w:ilvl w:val="0"/>
          <w:numId w:val="0"/>
        </w:numPr>
        <w:spacing w:before="0" w:after="0"/>
      </w:pPr>
    </w:p>
    <w:p w14:paraId="1C290644"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28" w:name="_Toc271703735"/>
      <w:bookmarkStart w:id="29" w:name="_Toc220076118"/>
      <w:r w:rsidRPr="00D678D8">
        <w:rPr>
          <w:rFonts w:ascii="Times New Roman" w:hAnsi="Times New Roman"/>
          <w:sz w:val="24"/>
          <w:szCs w:val="24"/>
        </w:rPr>
        <w:t>SUBMISSIONS IN SUPPORT OF COSTS</w:t>
      </w:r>
      <w:bookmarkEnd w:id="28"/>
      <w:bookmarkEnd w:id="29"/>
    </w:p>
    <w:p w14:paraId="6CE22EF3" w14:textId="6756CAA4" w:rsidR="00DD6E8C" w:rsidRDefault="00D020CD" w:rsidP="00DD6E8C">
      <w:pPr>
        <w:pStyle w:val="WSParaNum"/>
        <w:spacing w:before="0" w:after="0"/>
      </w:pPr>
      <w:r>
        <w:t>The Respondent</w:t>
      </w:r>
      <w:r w:rsidR="002334C2">
        <w:t xml:space="preserve"> </w:t>
      </w:r>
      <w:r>
        <w:t xml:space="preserve">request that </w:t>
      </w:r>
      <w:r w:rsidR="006050A6">
        <w:t>costs be awarded against the Appellants in accordance with the SEMCC’s Rules.</w:t>
      </w:r>
    </w:p>
    <w:p w14:paraId="6A5AC7B1" w14:textId="77777777" w:rsidR="00B51D5C" w:rsidRPr="00D678D8" w:rsidRDefault="00B51D5C" w:rsidP="00B51D5C">
      <w:pPr>
        <w:pStyle w:val="WSParaNum"/>
        <w:numPr>
          <w:ilvl w:val="0"/>
          <w:numId w:val="0"/>
        </w:numPr>
        <w:spacing w:before="0" w:after="0"/>
      </w:pPr>
    </w:p>
    <w:p w14:paraId="2B33941B" w14:textId="77777777" w:rsidR="00DD6E8C" w:rsidRPr="00D678D8" w:rsidRDefault="0024187B" w:rsidP="00DD6E8C">
      <w:pPr>
        <w:pStyle w:val="Heading1"/>
        <w:tabs>
          <w:tab w:val="num" w:pos="720"/>
        </w:tabs>
        <w:spacing w:before="0" w:after="0" w:line="360" w:lineRule="auto"/>
        <w:ind w:left="720" w:hanging="720"/>
        <w:rPr>
          <w:rFonts w:ascii="Times New Roman" w:hAnsi="Times New Roman"/>
          <w:sz w:val="24"/>
          <w:szCs w:val="24"/>
        </w:rPr>
      </w:pPr>
      <w:bookmarkStart w:id="30" w:name="_Toc271703736"/>
      <w:bookmarkStart w:id="31" w:name="_Toc220076119"/>
      <w:r w:rsidRPr="00D678D8">
        <w:rPr>
          <w:rFonts w:ascii="Times New Roman" w:hAnsi="Times New Roman"/>
          <w:sz w:val="24"/>
          <w:szCs w:val="24"/>
        </w:rPr>
        <w:lastRenderedPageBreak/>
        <w:t>ORDER</w:t>
      </w:r>
      <w:r w:rsidR="00DD6E8C" w:rsidRPr="00D678D8">
        <w:rPr>
          <w:rFonts w:ascii="Times New Roman" w:hAnsi="Times New Roman"/>
          <w:sz w:val="24"/>
          <w:szCs w:val="24"/>
        </w:rPr>
        <w:t xml:space="preserve"> SOUGHT</w:t>
      </w:r>
      <w:bookmarkEnd w:id="30"/>
      <w:bookmarkEnd w:id="31"/>
    </w:p>
    <w:p w14:paraId="5EA1FB74" w14:textId="15CFA928" w:rsidR="00F25319" w:rsidRDefault="008A7E09" w:rsidP="00DD6E8C">
      <w:pPr>
        <w:pStyle w:val="WSParaNum"/>
        <w:spacing w:before="0" w:after="0"/>
      </w:pPr>
      <w:r>
        <w:t>The Respondent</w:t>
      </w:r>
      <w:r w:rsidR="00EC505A">
        <w:t xml:space="preserve"> </w:t>
      </w:r>
      <w:r w:rsidR="005F43B6">
        <w:t xml:space="preserve">requests that the appeal be </w:t>
      </w:r>
      <w:r w:rsidR="000C2FD8">
        <w:t>dismiss</w:t>
      </w:r>
      <w:r w:rsidR="005F43B6">
        <w:t>ed</w:t>
      </w:r>
      <w:r w:rsidR="000C2FD8">
        <w:t xml:space="preserve"> </w:t>
      </w:r>
      <w:r w:rsidR="003D7DDC">
        <w:t>and</w:t>
      </w:r>
      <w:r w:rsidR="005F43B6">
        <w:t xml:space="preserve"> in doing so, </w:t>
      </w:r>
      <w:r w:rsidR="003D7DDC">
        <w:t>uphold the</w:t>
      </w:r>
      <w:r w:rsidR="00F25319">
        <w:t xml:space="preserve"> acquittal entered by the OCJ.</w:t>
      </w:r>
    </w:p>
    <w:p w14:paraId="4CC19C47" w14:textId="77777777" w:rsidR="00B51D5C" w:rsidRDefault="00B51D5C" w:rsidP="00DD6E8C">
      <w:pPr>
        <w:spacing w:line="360" w:lineRule="auto"/>
      </w:pPr>
    </w:p>
    <w:p w14:paraId="57C7D2D4" w14:textId="77777777" w:rsidR="00B51D5C" w:rsidRDefault="00B51D5C" w:rsidP="00DD6E8C">
      <w:pPr>
        <w:spacing w:line="360" w:lineRule="auto"/>
      </w:pPr>
    </w:p>
    <w:p w14:paraId="63045001" w14:textId="77777777" w:rsidR="00560101" w:rsidRDefault="00560101" w:rsidP="00DD6E8C">
      <w:pPr>
        <w:spacing w:line="360" w:lineRule="auto"/>
      </w:pPr>
    </w:p>
    <w:p w14:paraId="2967C577" w14:textId="2CBFF570" w:rsidR="00DD6E8C" w:rsidRPr="00D678D8" w:rsidRDefault="00DD6E8C" w:rsidP="00DD6E8C">
      <w:pPr>
        <w:spacing w:line="360" w:lineRule="auto"/>
      </w:pPr>
      <w:r w:rsidRPr="00D678D8">
        <w:t>ALL OF WHICH IS</w:t>
      </w:r>
      <w:r w:rsidR="0003757F">
        <w:t xml:space="preserve"> RESPECTFULLY SUBMITTED this </w:t>
      </w:r>
      <w:r w:rsidR="0077021E">
        <w:fldChar w:fldCharType="begin">
          <w:ffData>
            <w:name w:val="Text6"/>
            <w:enabled/>
            <w:calcOnExit w:val="0"/>
            <w:textInput>
              <w:default w:val="23rd"/>
            </w:textInput>
          </w:ffData>
        </w:fldChar>
      </w:r>
      <w:bookmarkStart w:id="32" w:name="Text6"/>
      <w:r w:rsidR="0077021E">
        <w:instrText xml:space="preserve"> FORMTEXT </w:instrText>
      </w:r>
      <w:r w:rsidR="0077021E">
        <w:fldChar w:fldCharType="separate"/>
      </w:r>
      <w:r w:rsidR="005907C5">
        <w:rPr>
          <w:noProof/>
        </w:rPr>
        <w:t>23rd</w:t>
      </w:r>
      <w:r w:rsidR="0077021E">
        <w:fldChar w:fldCharType="end"/>
      </w:r>
      <w:bookmarkEnd w:id="32"/>
      <w:r w:rsidRPr="00D678D8">
        <w:t xml:space="preserve"> day of</w:t>
      </w:r>
      <w:r w:rsidR="0003757F">
        <w:t xml:space="preserve"> </w:t>
      </w:r>
      <w:r w:rsidR="003177A6">
        <w:fldChar w:fldCharType="begin">
          <w:ffData>
            <w:name w:val="Text7"/>
            <w:enabled/>
            <w:calcOnExit w:val="0"/>
            <w:textInput>
              <w:default w:val="January"/>
            </w:textInput>
          </w:ffData>
        </w:fldChar>
      </w:r>
      <w:bookmarkStart w:id="33" w:name="Text7"/>
      <w:r w:rsidR="003177A6">
        <w:instrText xml:space="preserve"> FORMTEXT </w:instrText>
      </w:r>
      <w:r w:rsidR="003177A6">
        <w:fldChar w:fldCharType="separate"/>
      </w:r>
      <w:r w:rsidR="005907C5">
        <w:rPr>
          <w:noProof/>
        </w:rPr>
        <w:t>January</w:t>
      </w:r>
      <w:r w:rsidR="003177A6">
        <w:fldChar w:fldCharType="end"/>
      </w:r>
      <w:bookmarkEnd w:id="33"/>
      <w:r w:rsidR="00C606E4">
        <w:t xml:space="preserve">, </w:t>
      </w:r>
      <w:r w:rsidR="00915A04">
        <w:t>202</w:t>
      </w:r>
      <w:r w:rsidR="00B72782">
        <w:t>6</w:t>
      </w:r>
      <w:r w:rsidRPr="00D678D8">
        <w:t>.</w:t>
      </w:r>
    </w:p>
    <w:p w14:paraId="0D0F3608" w14:textId="77777777" w:rsidR="00334F22" w:rsidRPr="00D678D8" w:rsidRDefault="00334F22" w:rsidP="00DD6E8C">
      <w:pPr>
        <w:spacing w:line="360" w:lineRule="auto"/>
      </w:pPr>
    </w:p>
    <w:p w14:paraId="1B98958B" w14:textId="77777777" w:rsidR="00334F22" w:rsidRPr="00DD6E8C" w:rsidRDefault="00334F22" w:rsidP="003822BD">
      <w:pPr>
        <w:jc w:val="right"/>
      </w:pPr>
      <w:r>
        <w:t>_______________________________</w:t>
      </w:r>
    </w:p>
    <w:p w14:paraId="47ADB7A8" w14:textId="1CDDCB89" w:rsidR="00A85602" w:rsidRPr="00DD6E8C" w:rsidRDefault="00C501E7" w:rsidP="003822BD">
      <w:pPr>
        <w:jc w:val="right"/>
      </w:pPr>
      <w:r>
        <w:fldChar w:fldCharType="begin">
          <w:ffData>
            <w:name w:val="Text3"/>
            <w:enabled/>
            <w:calcOnExit w:val="0"/>
            <w:textInput>
              <w:default w:val="Henry Challen"/>
            </w:textInput>
          </w:ffData>
        </w:fldChar>
      </w:r>
      <w:bookmarkStart w:id="34" w:name="Text3"/>
      <w:r>
        <w:instrText xml:space="preserve"> FORMTEXT </w:instrText>
      </w:r>
      <w:r>
        <w:fldChar w:fldCharType="separate"/>
      </w:r>
      <w:r w:rsidR="005907C5">
        <w:rPr>
          <w:noProof/>
        </w:rPr>
        <w:t>Henry Challen</w:t>
      </w:r>
      <w:r>
        <w:fldChar w:fldCharType="end"/>
      </w:r>
      <w:bookmarkEnd w:id="34"/>
    </w:p>
    <w:p w14:paraId="6E6B90C7" w14:textId="77777777" w:rsidR="00A85602" w:rsidRDefault="00A85602" w:rsidP="003822BD"/>
    <w:p w14:paraId="2F9E1FF3" w14:textId="77777777" w:rsidR="00334F22" w:rsidRDefault="00334F22" w:rsidP="003822BD"/>
    <w:p w14:paraId="603C7847" w14:textId="77777777" w:rsidR="00334F22" w:rsidRPr="00DD6E8C" w:rsidRDefault="00334F22" w:rsidP="003822BD">
      <w:pPr>
        <w:jc w:val="right"/>
      </w:pPr>
      <w:r>
        <w:t>_______________________________</w:t>
      </w:r>
    </w:p>
    <w:p w14:paraId="0ADF352E" w14:textId="27FE3BA6" w:rsidR="00334F22" w:rsidRPr="00DD6E8C" w:rsidRDefault="00C501E7" w:rsidP="003822BD">
      <w:pPr>
        <w:jc w:val="right"/>
      </w:pPr>
      <w:r>
        <w:fldChar w:fldCharType="begin">
          <w:ffData>
            <w:name w:val=""/>
            <w:enabled/>
            <w:calcOnExit w:val="0"/>
            <w:textInput>
              <w:default w:val="Shuaib Chauhan"/>
            </w:textInput>
          </w:ffData>
        </w:fldChar>
      </w:r>
      <w:r>
        <w:instrText xml:space="preserve"> FORMTEXT </w:instrText>
      </w:r>
      <w:r>
        <w:fldChar w:fldCharType="separate"/>
      </w:r>
      <w:r w:rsidR="005907C5">
        <w:rPr>
          <w:noProof/>
        </w:rPr>
        <w:t>Shuaib Chauhan</w:t>
      </w:r>
      <w:r>
        <w:fldChar w:fldCharType="end"/>
      </w:r>
    </w:p>
    <w:p w14:paraId="3007E314" w14:textId="77777777" w:rsidR="00334F22" w:rsidRDefault="00334F22" w:rsidP="003822BD"/>
    <w:p w14:paraId="399F470A" w14:textId="77777777" w:rsidR="00334F22" w:rsidRDefault="00334F22" w:rsidP="003822BD"/>
    <w:p w14:paraId="2E751D21" w14:textId="77777777" w:rsidR="00334F22" w:rsidRPr="00DD6E8C" w:rsidRDefault="00334F22" w:rsidP="003822BD">
      <w:pPr>
        <w:jc w:val="right"/>
      </w:pPr>
      <w:r>
        <w:t>_______________________________</w:t>
      </w:r>
    </w:p>
    <w:p w14:paraId="5DEB544D" w14:textId="2E3805FF" w:rsidR="00334F22" w:rsidRDefault="00C501E7" w:rsidP="003822BD">
      <w:pPr>
        <w:jc w:val="right"/>
      </w:pPr>
      <w:r>
        <w:fldChar w:fldCharType="begin">
          <w:ffData>
            <w:name w:val=""/>
            <w:enabled/>
            <w:calcOnExit w:val="0"/>
            <w:textInput>
              <w:default w:val="Julia Singer"/>
            </w:textInput>
          </w:ffData>
        </w:fldChar>
      </w:r>
      <w:r>
        <w:instrText xml:space="preserve"> FORMTEXT </w:instrText>
      </w:r>
      <w:r>
        <w:fldChar w:fldCharType="separate"/>
      </w:r>
      <w:r w:rsidR="005907C5">
        <w:rPr>
          <w:noProof/>
        </w:rPr>
        <w:t>Julia Singer</w:t>
      </w:r>
      <w:r>
        <w:fldChar w:fldCharType="end"/>
      </w:r>
    </w:p>
    <w:p w14:paraId="280DFB98" w14:textId="77777777" w:rsidR="003822BD" w:rsidRDefault="003822BD" w:rsidP="003822BD">
      <w:pPr>
        <w:jc w:val="right"/>
      </w:pPr>
    </w:p>
    <w:p w14:paraId="3B79C618" w14:textId="77777777" w:rsidR="003822BD" w:rsidRDefault="003822BD" w:rsidP="003822BD">
      <w:pPr>
        <w:jc w:val="right"/>
      </w:pPr>
      <w:r>
        <w:t xml:space="preserve">Counsel for the </w:t>
      </w:r>
      <w:r w:rsidR="00EE2290">
        <w:t>Respondent</w:t>
      </w:r>
    </w:p>
    <w:p w14:paraId="49B15252" w14:textId="7F55E85D" w:rsidR="003822BD" w:rsidRPr="00A85602" w:rsidRDefault="00E91273" w:rsidP="003822BD">
      <w:pPr>
        <w:jc w:val="right"/>
      </w:pPr>
      <w:r>
        <w:t>Consolidated Homes Ltd.</w:t>
      </w:r>
    </w:p>
    <w:p w14:paraId="32AFF832" w14:textId="77777777" w:rsidR="0044118E" w:rsidRPr="0044118E" w:rsidRDefault="0044118E" w:rsidP="00D921E9">
      <w:pPr>
        <w:pStyle w:val="Heading1"/>
        <w:tabs>
          <w:tab w:val="num" w:pos="720"/>
        </w:tabs>
        <w:spacing w:before="0" w:after="0" w:line="360" w:lineRule="auto"/>
        <w:ind w:left="720" w:hanging="720"/>
        <w:rPr>
          <w:rFonts w:ascii="Times New Roman" w:hAnsi="Times New Roman"/>
          <w:sz w:val="24"/>
          <w:szCs w:val="24"/>
        </w:rPr>
      </w:pPr>
      <w:r w:rsidRPr="0044118E">
        <w:rPr>
          <w:rFonts w:ascii="Times New Roman" w:hAnsi="Times New Roman"/>
          <w:sz w:val="24"/>
          <w:szCs w:val="24"/>
        </w:rPr>
        <w:br w:type="page"/>
      </w:r>
      <w:bookmarkStart w:id="35" w:name="_Toc220076120"/>
      <w:r>
        <w:rPr>
          <w:rFonts w:ascii="Times New Roman" w:hAnsi="Times New Roman"/>
          <w:sz w:val="24"/>
          <w:szCs w:val="24"/>
        </w:rPr>
        <w:lastRenderedPageBreak/>
        <w:t>TABLE OF AUTHORITIES</w:t>
      </w:r>
      <w:bookmarkEnd w:id="35"/>
    </w:p>
    <w:p w14:paraId="4712756D" w14:textId="327E7A04" w:rsidR="000F5B03" w:rsidRPr="00AB7382" w:rsidRDefault="00D921E9" w:rsidP="00AB7382">
      <w:pPr>
        <w:spacing w:line="360" w:lineRule="auto"/>
        <w:jc w:val="right"/>
        <w:rPr>
          <w:b/>
        </w:rPr>
      </w:pPr>
      <w:r w:rsidRPr="00D921E9">
        <w:rPr>
          <w:b/>
        </w:rPr>
        <w:t>Paragraph No.</w:t>
      </w:r>
    </w:p>
    <w:tbl>
      <w:tblPr>
        <w:tblW w:w="0" w:type="auto"/>
        <w:tblLook w:val="04A0" w:firstRow="1" w:lastRow="0" w:firstColumn="1" w:lastColumn="0" w:noHBand="0" w:noVBand="1"/>
      </w:tblPr>
      <w:tblGrid>
        <w:gridCol w:w="7513"/>
        <w:gridCol w:w="1837"/>
      </w:tblGrid>
      <w:tr w:rsidR="000F5B03" w14:paraId="2E9839F1" w14:textId="77777777" w:rsidTr="00A711CB">
        <w:tc>
          <w:tcPr>
            <w:tcW w:w="7513" w:type="dxa"/>
          </w:tcPr>
          <w:p w14:paraId="52B48E76" w14:textId="3196A9C1" w:rsidR="000F5B03" w:rsidRPr="00823E77" w:rsidRDefault="00F70F0B" w:rsidP="00041446">
            <w:pPr>
              <w:spacing w:after="120"/>
              <w:jc w:val="center"/>
              <w:rPr>
                <w:b/>
                <w:bCs/>
              </w:rPr>
            </w:pPr>
            <w:r w:rsidRPr="00823E77">
              <w:rPr>
                <w:b/>
                <w:bCs/>
              </w:rPr>
              <w:t>LEGISLATION</w:t>
            </w:r>
          </w:p>
        </w:tc>
        <w:tc>
          <w:tcPr>
            <w:tcW w:w="1837" w:type="dxa"/>
          </w:tcPr>
          <w:p w14:paraId="73CA2FC9" w14:textId="77777777" w:rsidR="000F5B03" w:rsidRDefault="000F5B03" w:rsidP="00336AFD"/>
        </w:tc>
      </w:tr>
      <w:tr w:rsidR="00320980" w14:paraId="0B12039A" w14:textId="77777777" w:rsidTr="00A711CB">
        <w:tc>
          <w:tcPr>
            <w:tcW w:w="7513" w:type="dxa"/>
          </w:tcPr>
          <w:p w14:paraId="20F3990F" w14:textId="6E3BE502" w:rsidR="00320980" w:rsidRDefault="00320980" w:rsidP="00336AFD">
            <w:r>
              <w:rPr>
                <w:i/>
                <w:iCs/>
              </w:rPr>
              <w:t>Endangered Species Act, 2007</w:t>
            </w:r>
            <w:r w:rsidRPr="00285D41">
              <w:t>, SO 2007, c 6</w:t>
            </w:r>
          </w:p>
        </w:tc>
        <w:tc>
          <w:tcPr>
            <w:tcW w:w="1837" w:type="dxa"/>
          </w:tcPr>
          <w:p w14:paraId="3C43AB5E" w14:textId="6B924705" w:rsidR="00320980" w:rsidRDefault="00520CFD" w:rsidP="00336AFD">
            <w:pPr>
              <w:jc w:val="right"/>
            </w:pPr>
            <w:r>
              <w:t xml:space="preserve">42, </w:t>
            </w:r>
            <w:r w:rsidR="0030722D">
              <w:t xml:space="preserve">55, 61, </w:t>
            </w:r>
            <w:r w:rsidR="000C3DF3">
              <w:t xml:space="preserve">73, 76, </w:t>
            </w:r>
            <w:r w:rsidR="00F70B2F">
              <w:t>82, 83, 86, 92, 93</w:t>
            </w:r>
            <w:r w:rsidR="00AD5665">
              <w:t xml:space="preserve"> </w:t>
            </w:r>
          </w:p>
        </w:tc>
      </w:tr>
      <w:tr w:rsidR="00336AFD" w14:paraId="6DE1E7EE" w14:textId="77777777" w:rsidTr="00A711CB">
        <w:tc>
          <w:tcPr>
            <w:tcW w:w="7513" w:type="dxa"/>
          </w:tcPr>
          <w:p w14:paraId="4100EC3A" w14:textId="77777777" w:rsidR="00336AFD" w:rsidRDefault="00336AFD" w:rsidP="00336AFD">
            <w:pPr>
              <w:rPr>
                <w:i/>
                <w:iCs/>
              </w:rPr>
            </w:pPr>
          </w:p>
        </w:tc>
        <w:tc>
          <w:tcPr>
            <w:tcW w:w="1837" w:type="dxa"/>
          </w:tcPr>
          <w:p w14:paraId="5B7335C0" w14:textId="77777777" w:rsidR="00336AFD" w:rsidRDefault="00336AFD" w:rsidP="00336AFD">
            <w:pPr>
              <w:jc w:val="right"/>
            </w:pPr>
          </w:p>
        </w:tc>
      </w:tr>
      <w:tr w:rsidR="00320980" w14:paraId="6A748FB8" w14:textId="77777777" w:rsidTr="00A711CB">
        <w:tc>
          <w:tcPr>
            <w:tcW w:w="7513" w:type="dxa"/>
          </w:tcPr>
          <w:p w14:paraId="4D20E53D" w14:textId="0389C5E3" w:rsidR="00320980" w:rsidRDefault="00320980" w:rsidP="00336AFD">
            <w:r>
              <w:rPr>
                <w:i/>
                <w:iCs/>
              </w:rPr>
              <w:t>More Homes, More Choice</w:t>
            </w:r>
            <w:r w:rsidR="00B9050B">
              <w:rPr>
                <w:i/>
                <w:iCs/>
              </w:rPr>
              <w:t>s</w:t>
            </w:r>
            <w:r>
              <w:rPr>
                <w:i/>
                <w:iCs/>
              </w:rPr>
              <w:t xml:space="preserve"> Act, 2019,</w:t>
            </w:r>
            <w:r w:rsidRPr="00285D41">
              <w:t> SO 2019, c 9, Sched 5</w:t>
            </w:r>
          </w:p>
        </w:tc>
        <w:tc>
          <w:tcPr>
            <w:tcW w:w="1837" w:type="dxa"/>
          </w:tcPr>
          <w:p w14:paraId="02073B24" w14:textId="3E8661BF" w:rsidR="00320980" w:rsidRDefault="00B73910" w:rsidP="00336AFD">
            <w:pPr>
              <w:jc w:val="right"/>
            </w:pPr>
            <w:r>
              <w:t>9</w:t>
            </w:r>
            <w:r w:rsidR="002241F7">
              <w:t>8</w:t>
            </w:r>
          </w:p>
        </w:tc>
      </w:tr>
      <w:tr w:rsidR="00336AFD" w14:paraId="2F42E090" w14:textId="77777777" w:rsidTr="00A711CB">
        <w:tc>
          <w:tcPr>
            <w:tcW w:w="7513" w:type="dxa"/>
          </w:tcPr>
          <w:p w14:paraId="518EE078" w14:textId="77777777" w:rsidR="00336AFD" w:rsidRDefault="00336AFD" w:rsidP="00336AFD">
            <w:pPr>
              <w:rPr>
                <w:i/>
                <w:iCs/>
              </w:rPr>
            </w:pPr>
          </w:p>
        </w:tc>
        <w:tc>
          <w:tcPr>
            <w:tcW w:w="1837" w:type="dxa"/>
          </w:tcPr>
          <w:p w14:paraId="71464145" w14:textId="77777777" w:rsidR="00336AFD" w:rsidRDefault="00336AFD" w:rsidP="00336AFD">
            <w:pPr>
              <w:jc w:val="right"/>
            </w:pPr>
          </w:p>
        </w:tc>
      </w:tr>
      <w:tr w:rsidR="00B64D86" w14:paraId="2EB01A66" w14:textId="77777777" w:rsidTr="00A711CB">
        <w:tc>
          <w:tcPr>
            <w:tcW w:w="7513" w:type="dxa"/>
          </w:tcPr>
          <w:p w14:paraId="6B4A9FEF" w14:textId="7772F210" w:rsidR="00B64D86" w:rsidRPr="00B64D86" w:rsidRDefault="00B64D86" w:rsidP="00B64D86">
            <w:r w:rsidRPr="00B64D86">
              <w:t>O Reg 230/08</w:t>
            </w:r>
          </w:p>
        </w:tc>
        <w:tc>
          <w:tcPr>
            <w:tcW w:w="1837" w:type="dxa"/>
          </w:tcPr>
          <w:p w14:paraId="28E68604" w14:textId="3786E8A2" w:rsidR="00B64D86" w:rsidRDefault="00B64D86" w:rsidP="00336AFD">
            <w:pPr>
              <w:jc w:val="right"/>
            </w:pPr>
            <w:r>
              <w:t>11</w:t>
            </w:r>
          </w:p>
        </w:tc>
      </w:tr>
      <w:tr w:rsidR="00B64D86" w14:paraId="1617D00C" w14:textId="77777777" w:rsidTr="00A711CB">
        <w:tc>
          <w:tcPr>
            <w:tcW w:w="7513" w:type="dxa"/>
          </w:tcPr>
          <w:p w14:paraId="1F04A76A" w14:textId="77777777" w:rsidR="00B64D86" w:rsidRDefault="00B64D86" w:rsidP="00336AFD">
            <w:pPr>
              <w:rPr>
                <w:i/>
                <w:iCs/>
              </w:rPr>
            </w:pPr>
          </w:p>
        </w:tc>
        <w:tc>
          <w:tcPr>
            <w:tcW w:w="1837" w:type="dxa"/>
          </w:tcPr>
          <w:p w14:paraId="109743FC" w14:textId="77777777" w:rsidR="00B64D86" w:rsidRDefault="00B64D86" w:rsidP="00336AFD">
            <w:pPr>
              <w:jc w:val="right"/>
            </w:pPr>
          </w:p>
        </w:tc>
      </w:tr>
      <w:tr w:rsidR="00320980" w14:paraId="41556FC6" w14:textId="77777777" w:rsidTr="00A711CB">
        <w:tc>
          <w:tcPr>
            <w:tcW w:w="7513" w:type="dxa"/>
          </w:tcPr>
          <w:p w14:paraId="14BA762B" w14:textId="2F5855E0" w:rsidR="00320980" w:rsidRDefault="00320980" w:rsidP="00336AFD">
            <w:r w:rsidRPr="00285D41">
              <w:t>O Reg 832/21</w:t>
            </w:r>
          </w:p>
        </w:tc>
        <w:tc>
          <w:tcPr>
            <w:tcW w:w="1837" w:type="dxa"/>
          </w:tcPr>
          <w:p w14:paraId="5053FE73" w14:textId="09442074" w:rsidR="00320980" w:rsidRDefault="00BD7A9B" w:rsidP="00336AFD">
            <w:pPr>
              <w:jc w:val="right"/>
            </w:pPr>
            <w:r>
              <w:t>8</w:t>
            </w:r>
            <w:r w:rsidR="000C29A4">
              <w:t>2</w:t>
            </w:r>
          </w:p>
        </w:tc>
      </w:tr>
      <w:tr w:rsidR="00336AFD" w14:paraId="7492087D" w14:textId="77777777" w:rsidTr="00A711CB">
        <w:tc>
          <w:tcPr>
            <w:tcW w:w="7513" w:type="dxa"/>
          </w:tcPr>
          <w:p w14:paraId="3ECA839F" w14:textId="77777777" w:rsidR="00336AFD" w:rsidRPr="00285D41" w:rsidRDefault="00336AFD" w:rsidP="00336AFD"/>
        </w:tc>
        <w:tc>
          <w:tcPr>
            <w:tcW w:w="1837" w:type="dxa"/>
          </w:tcPr>
          <w:p w14:paraId="7A283BFB" w14:textId="77777777" w:rsidR="00336AFD" w:rsidRDefault="00336AFD" w:rsidP="00336AFD">
            <w:pPr>
              <w:jc w:val="right"/>
            </w:pPr>
          </w:p>
        </w:tc>
      </w:tr>
      <w:tr w:rsidR="00320980" w14:paraId="2ED5BC3B" w14:textId="77777777" w:rsidTr="00A711CB">
        <w:tc>
          <w:tcPr>
            <w:tcW w:w="7513" w:type="dxa"/>
          </w:tcPr>
          <w:p w14:paraId="05ADCB49" w14:textId="3808469A" w:rsidR="00320980" w:rsidRDefault="00320980" w:rsidP="00336AFD">
            <w:r>
              <w:rPr>
                <w:i/>
                <w:iCs/>
                <w:lang w:val="en-US"/>
              </w:rPr>
              <w:t>Protect Ontario by Unleashing our Economy Act, 2025</w:t>
            </w:r>
            <w:r>
              <w:rPr>
                <w:lang w:val="en-US"/>
              </w:rPr>
              <w:t>, SO 2025, c 4, Sched 2</w:t>
            </w:r>
          </w:p>
        </w:tc>
        <w:tc>
          <w:tcPr>
            <w:tcW w:w="1837" w:type="dxa"/>
          </w:tcPr>
          <w:p w14:paraId="775C6684" w14:textId="493D2947" w:rsidR="00320980" w:rsidRDefault="004C7202" w:rsidP="00336AFD">
            <w:pPr>
              <w:jc w:val="right"/>
            </w:pPr>
            <w:r>
              <w:t>93</w:t>
            </w:r>
          </w:p>
        </w:tc>
      </w:tr>
      <w:tr w:rsidR="00320980" w14:paraId="2BC3AE1E" w14:textId="77777777" w:rsidTr="00A711CB">
        <w:tc>
          <w:tcPr>
            <w:tcW w:w="7513" w:type="dxa"/>
          </w:tcPr>
          <w:p w14:paraId="58A2FB06" w14:textId="6638E28E" w:rsidR="00320980" w:rsidRPr="00320980" w:rsidRDefault="00320980" w:rsidP="00336AFD"/>
        </w:tc>
        <w:tc>
          <w:tcPr>
            <w:tcW w:w="1837" w:type="dxa"/>
          </w:tcPr>
          <w:p w14:paraId="7F84FBFA" w14:textId="77777777" w:rsidR="00320980" w:rsidRDefault="00320980" w:rsidP="00336AFD">
            <w:pPr>
              <w:jc w:val="right"/>
            </w:pPr>
          </w:p>
        </w:tc>
      </w:tr>
      <w:tr w:rsidR="00A711CB" w14:paraId="58453957" w14:textId="77777777" w:rsidTr="00A711CB">
        <w:tc>
          <w:tcPr>
            <w:tcW w:w="7513" w:type="dxa"/>
          </w:tcPr>
          <w:p w14:paraId="24B865E7" w14:textId="77777777" w:rsidR="00A711CB" w:rsidRPr="00320980" w:rsidRDefault="00A711CB" w:rsidP="00336AFD"/>
        </w:tc>
        <w:tc>
          <w:tcPr>
            <w:tcW w:w="1837" w:type="dxa"/>
          </w:tcPr>
          <w:p w14:paraId="512A211D" w14:textId="77777777" w:rsidR="00A711CB" w:rsidRDefault="00A711CB" w:rsidP="00336AFD">
            <w:pPr>
              <w:jc w:val="right"/>
            </w:pPr>
          </w:p>
        </w:tc>
      </w:tr>
      <w:tr w:rsidR="00320980" w14:paraId="7C1E6981" w14:textId="77777777" w:rsidTr="00A711CB">
        <w:tc>
          <w:tcPr>
            <w:tcW w:w="7513" w:type="dxa"/>
          </w:tcPr>
          <w:p w14:paraId="0CFB77F6" w14:textId="092F9B20" w:rsidR="00320980" w:rsidRPr="00823E77" w:rsidRDefault="00A12333" w:rsidP="00041446">
            <w:pPr>
              <w:spacing w:after="120"/>
              <w:jc w:val="center"/>
              <w:rPr>
                <w:b/>
                <w:bCs/>
              </w:rPr>
            </w:pPr>
            <w:r w:rsidRPr="00823E77">
              <w:rPr>
                <w:b/>
                <w:bCs/>
              </w:rPr>
              <w:t>JURISPRUDENCE</w:t>
            </w:r>
          </w:p>
        </w:tc>
        <w:tc>
          <w:tcPr>
            <w:tcW w:w="1837" w:type="dxa"/>
          </w:tcPr>
          <w:p w14:paraId="2635E1A6" w14:textId="77777777" w:rsidR="00320980" w:rsidRDefault="00320980" w:rsidP="00336AFD">
            <w:pPr>
              <w:jc w:val="right"/>
            </w:pPr>
          </w:p>
        </w:tc>
      </w:tr>
      <w:tr w:rsidR="00A12333" w14:paraId="2718726C" w14:textId="77777777" w:rsidTr="00A711CB">
        <w:tc>
          <w:tcPr>
            <w:tcW w:w="7513" w:type="dxa"/>
          </w:tcPr>
          <w:p w14:paraId="35C26FA7" w14:textId="07EB07DE" w:rsidR="00A12333" w:rsidRPr="00A8036A" w:rsidRDefault="00A12333" w:rsidP="00336AFD">
            <w:pPr>
              <w:rPr>
                <w:lang w:val="fr-FR"/>
              </w:rPr>
            </w:pPr>
            <w:r w:rsidRPr="00A8036A">
              <w:rPr>
                <w:i/>
                <w:iCs/>
                <w:lang w:val="fr-FR"/>
              </w:rPr>
              <w:t>1704604 Ontario Ltd v Pointes Protection Association</w:t>
            </w:r>
            <w:r w:rsidRPr="00A8036A">
              <w:rPr>
                <w:lang w:val="fr-FR"/>
              </w:rPr>
              <w:t>, 2020 SCC 22</w:t>
            </w:r>
          </w:p>
        </w:tc>
        <w:tc>
          <w:tcPr>
            <w:tcW w:w="1837" w:type="dxa"/>
          </w:tcPr>
          <w:p w14:paraId="7F4221D2" w14:textId="65C8FF4C" w:rsidR="00A12333" w:rsidRDefault="007D0736" w:rsidP="00336AFD">
            <w:pPr>
              <w:jc w:val="right"/>
            </w:pPr>
            <w:r>
              <w:t>9</w:t>
            </w:r>
            <w:r w:rsidR="000016C4">
              <w:t>5</w:t>
            </w:r>
          </w:p>
        </w:tc>
      </w:tr>
      <w:tr w:rsidR="00336AFD" w14:paraId="6D1BB117" w14:textId="77777777" w:rsidTr="00A711CB">
        <w:tc>
          <w:tcPr>
            <w:tcW w:w="7513" w:type="dxa"/>
          </w:tcPr>
          <w:p w14:paraId="5316D0C0" w14:textId="77777777" w:rsidR="00336AFD" w:rsidRDefault="00336AFD" w:rsidP="00336AFD">
            <w:pPr>
              <w:rPr>
                <w:i/>
                <w:iCs/>
              </w:rPr>
            </w:pPr>
          </w:p>
        </w:tc>
        <w:tc>
          <w:tcPr>
            <w:tcW w:w="1837" w:type="dxa"/>
          </w:tcPr>
          <w:p w14:paraId="2D533B6E" w14:textId="77777777" w:rsidR="00336AFD" w:rsidRDefault="00336AFD" w:rsidP="00336AFD">
            <w:pPr>
              <w:jc w:val="right"/>
            </w:pPr>
          </w:p>
        </w:tc>
      </w:tr>
      <w:tr w:rsidR="00A12333" w14:paraId="6D131EBF" w14:textId="77777777" w:rsidTr="00A711CB">
        <w:tc>
          <w:tcPr>
            <w:tcW w:w="7513" w:type="dxa"/>
          </w:tcPr>
          <w:p w14:paraId="6FEA59BF" w14:textId="25D86ACE" w:rsidR="00A12333" w:rsidRPr="00320980" w:rsidRDefault="00A12333" w:rsidP="00336AFD">
            <w:r>
              <w:rPr>
                <w:i/>
                <w:iCs/>
                <w:lang w:val="en-US"/>
              </w:rPr>
              <w:t>Blue Star Trailer Rentals Inc v 407 ETR Concession Company Limited</w:t>
            </w:r>
            <w:r>
              <w:rPr>
                <w:lang w:val="en-US"/>
              </w:rPr>
              <w:t>, 2008 ONCA 561 (CanLII)</w:t>
            </w:r>
          </w:p>
        </w:tc>
        <w:tc>
          <w:tcPr>
            <w:tcW w:w="1837" w:type="dxa"/>
          </w:tcPr>
          <w:p w14:paraId="0C81DD4A" w14:textId="607E50A7" w:rsidR="00A12333" w:rsidRDefault="00DA3C44" w:rsidP="00336AFD">
            <w:pPr>
              <w:jc w:val="right"/>
            </w:pPr>
            <w:r>
              <w:t>8</w:t>
            </w:r>
            <w:r w:rsidR="00F909A8">
              <w:t>9</w:t>
            </w:r>
          </w:p>
        </w:tc>
      </w:tr>
      <w:tr w:rsidR="00F877A8" w14:paraId="638545A1" w14:textId="77777777" w:rsidTr="00A711CB">
        <w:tc>
          <w:tcPr>
            <w:tcW w:w="7513" w:type="dxa"/>
          </w:tcPr>
          <w:p w14:paraId="4D6479AA" w14:textId="77777777" w:rsidR="00F877A8" w:rsidRDefault="00F877A8" w:rsidP="00336AFD">
            <w:pPr>
              <w:rPr>
                <w:i/>
                <w:iCs/>
                <w:lang w:val="en-US"/>
              </w:rPr>
            </w:pPr>
          </w:p>
        </w:tc>
        <w:tc>
          <w:tcPr>
            <w:tcW w:w="1837" w:type="dxa"/>
          </w:tcPr>
          <w:p w14:paraId="229C5C15" w14:textId="77777777" w:rsidR="00F877A8" w:rsidRDefault="00F877A8" w:rsidP="00336AFD">
            <w:pPr>
              <w:jc w:val="right"/>
            </w:pPr>
          </w:p>
        </w:tc>
      </w:tr>
      <w:tr w:rsidR="00336AFD" w14:paraId="372B4699" w14:textId="77777777" w:rsidTr="00A711CB">
        <w:tc>
          <w:tcPr>
            <w:tcW w:w="7513" w:type="dxa"/>
          </w:tcPr>
          <w:p w14:paraId="170BB626" w14:textId="41D1736F" w:rsidR="00336AFD" w:rsidRPr="00F877A8" w:rsidRDefault="00F877A8" w:rsidP="00F877A8">
            <w:pPr>
              <w:rPr>
                <w:lang w:val="en-US"/>
              </w:rPr>
            </w:pPr>
            <w:r w:rsidRPr="00F877A8">
              <w:rPr>
                <w:i/>
                <w:iCs/>
                <w:lang w:val="en-US"/>
              </w:rPr>
              <w:t>Castonguay Blasting Ltd v Ontario (Environment)</w:t>
            </w:r>
            <w:r w:rsidRPr="00F877A8">
              <w:rPr>
                <w:lang w:val="en-US"/>
              </w:rPr>
              <w:t>, 2013 SCC 52</w:t>
            </w:r>
          </w:p>
        </w:tc>
        <w:tc>
          <w:tcPr>
            <w:tcW w:w="1837" w:type="dxa"/>
          </w:tcPr>
          <w:p w14:paraId="37579CE8" w14:textId="5C7360FB" w:rsidR="00336AFD" w:rsidRPr="00F877A8" w:rsidRDefault="00F877A8" w:rsidP="00336AFD">
            <w:pPr>
              <w:jc w:val="right"/>
              <w:rPr>
                <w:lang w:val="en-US"/>
              </w:rPr>
            </w:pPr>
            <w:r>
              <w:rPr>
                <w:lang w:val="en-US"/>
              </w:rPr>
              <w:t>8</w:t>
            </w:r>
            <w:r>
              <w:t>5</w:t>
            </w:r>
          </w:p>
        </w:tc>
      </w:tr>
      <w:tr w:rsidR="00F877A8" w14:paraId="2CA57738" w14:textId="77777777" w:rsidTr="00A711CB">
        <w:tc>
          <w:tcPr>
            <w:tcW w:w="7513" w:type="dxa"/>
          </w:tcPr>
          <w:p w14:paraId="361BDE8C" w14:textId="77777777" w:rsidR="00F877A8" w:rsidRDefault="00F877A8" w:rsidP="00336AFD">
            <w:pPr>
              <w:rPr>
                <w:i/>
                <w:iCs/>
                <w:lang w:val="en-US"/>
              </w:rPr>
            </w:pPr>
          </w:p>
        </w:tc>
        <w:tc>
          <w:tcPr>
            <w:tcW w:w="1837" w:type="dxa"/>
          </w:tcPr>
          <w:p w14:paraId="66357A66" w14:textId="77777777" w:rsidR="00F877A8" w:rsidRDefault="00F877A8" w:rsidP="00336AFD">
            <w:pPr>
              <w:jc w:val="right"/>
            </w:pPr>
          </w:p>
        </w:tc>
      </w:tr>
      <w:tr w:rsidR="00A12333" w14:paraId="18D01B38" w14:textId="77777777" w:rsidTr="00A711CB">
        <w:tc>
          <w:tcPr>
            <w:tcW w:w="7513" w:type="dxa"/>
          </w:tcPr>
          <w:p w14:paraId="118F6E70" w14:textId="7A8616EF" w:rsidR="00A12333" w:rsidRPr="00320980" w:rsidRDefault="00A12333" w:rsidP="00336AFD">
            <w:r>
              <w:rPr>
                <w:i/>
                <w:iCs/>
              </w:rPr>
              <w:t>Friends of the Oldman River Society v Canada (Minister of Transport)</w:t>
            </w:r>
            <w:r w:rsidRPr="006E0C7E">
              <w:t>, [1992] 1 SCR 3 at 35, 1992 CanLII 110 (SCC)</w:t>
            </w:r>
          </w:p>
        </w:tc>
        <w:tc>
          <w:tcPr>
            <w:tcW w:w="1837" w:type="dxa"/>
          </w:tcPr>
          <w:p w14:paraId="468C8B7D" w14:textId="38A90C5A" w:rsidR="00A12333" w:rsidRDefault="00B95CD2" w:rsidP="00336AFD">
            <w:pPr>
              <w:jc w:val="right"/>
            </w:pPr>
            <w:r>
              <w:t>7</w:t>
            </w:r>
            <w:r w:rsidR="00BA7F68">
              <w:t>7, 79</w:t>
            </w:r>
          </w:p>
        </w:tc>
      </w:tr>
      <w:tr w:rsidR="00C37CE2" w14:paraId="700DDA55" w14:textId="77777777" w:rsidTr="00A711CB">
        <w:tc>
          <w:tcPr>
            <w:tcW w:w="7513" w:type="dxa"/>
          </w:tcPr>
          <w:p w14:paraId="203319F3" w14:textId="77777777" w:rsidR="00C37CE2" w:rsidRDefault="00C37CE2" w:rsidP="00336AFD">
            <w:pPr>
              <w:rPr>
                <w:i/>
                <w:iCs/>
              </w:rPr>
            </w:pPr>
          </w:p>
        </w:tc>
        <w:tc>
          <w:tcPr>
            <w:tcW w:w="1837" w:type="dxa"/>
          </w:tcPr>
          <w:p w14:paraId="63773A8B" w14:textId="77777777" w:rsidR="00C37CE2" w:rsidRDefault="00C37CE2" w:rsidP="00336AFD">
            <w:pPr>
              <w:jc w:val="right"/>
            </w:pPr>
          </w:p>
        </w:tc>
      </w:tr>
      <w:tr w:rsidR="00A12333" w14:paraId="4588C3B6" w14:textId="77777777" w:rsidTr="00A711CB">
        <w:tc>
          <w:tcPr>
            <w:tcW w:w="7513" w:type="dxa"/>
          </w:tcPr>
          <w:p w14:paraId="02B100E6" w14:textId="052AC537" w:rsidR="00A12333" w:rsidRPr="00320980" w:rsidRDefault="00A12333" w:rsidP="00336AFD">
            <w:r>
              <w:rPr>
                <w:i/>
                <w:iCs/>
              </w:rPr>
              <w:t>Glover v Toronto (City)</w:t>
            </w:r>
            <w:r w:rsidRPr="006E0C7E">
              <w:t>, 2009 CanLII 16740 (ONSC)</w:t>
            </w:r>
          </w:p>
        </w:tc>
        <w:tc>
          <w:tcPr>
            <w:tcW w:w="1837" w:type="dxa"/>
          </w:tcPr>
          <w:p w14:paraId="5B7C2AF4" w14:textId="4C3D5D69" w:rsidR="00A12333" w:rsidRDefault="002B6A59" w:rsidP="00336AFD">
            <w:pPr>
              <w:jc w:val="right"/>
            </w:pPr>
            <w:r>
              <w:t>4</w:t>
            </w:r>
            <w:r w:rsidR="006A4D3F">
              <w:t>0</w:t>
            </w:r>
          </w:p>
        </w:tc>
      </w:tr>
      <w:tr w:rsidR="00C37CE2" w14:paraId="69B32D5B" w14:textId="77777777" w:rsidTr="00A711CB">
        <w:tc>
          <w:tcPr>
            <w:tcW w:w="7513" w:type="dxa"/>
          </w:tcPr>
          <w:p w14:paraId="4C0AC383" w14:textId="77777777" w:rsidR="00C37CE2" w:rsidRDefault="00C37CE2" w:rsidP="00336AFD">
            <w:pPr>
              <w:rPr>
                <w:i/>
                <w:iCs/>
              </w:rPr>
            </w:pPr>
          </w:p>
        </w:tc>
        <w:tc>
          <w:tcPr>
            <w:tcW w:w="1837" w:type="dxa"/>
          </w:tcPr>
          <w:p w14:paraId="53FB45D7" w14:textId="77777777" w:rsidR="00C37CE2" w:rsidRDefault="00C37CE2" w:rsidP="00336AFD">
            <w:pPr>
              <w:jc w:val="right"/>
            </w:pPr>
          </w:p>
        </w:tc>
      </w:tr>
      <w:tr w:rsidR="00A12333" w14:paraId="22D3CD4C" w14:textId="77777777" w:rsidTr="00A711CB">
        <w:tc>
          <w:tcPr>
            <w:tcW w:w="7513" w:type="dxa"/>
          </w:tcPr>
          <w:p w14:paraId="2AC8EB45" w14:textId="54DC8228" w:rsidR="00A12333" w:rsidRPr="00320980" w:rsidRDefault="00A12333" w:rsidP="00336AFD">
            <w:r>
              <w:rPr>
                <w:i/>
                <w:iCs/>
              </w:rPr>
              <w:t>Graat v The Queen</w:t>
            </w:r>
            <w:r w:rsidRPr="006E0C7E">
              <w:t>, [1982] 2 SCR 819, 1982 CanLII 33</w:t>
            </w:r>
          </w:p>
        </w:tc>
        <w:tc>
          <w:tcPr>
            <w:tcW w:w="1837" w:type="dxa"/>
          </w:tcPr>
          <w:p w14:paraId="78F67AD9" w14:textId="22119AC1" w:rsidR="00A12333" w:rsidRDefault="00492F4F" w:rsidP="00336AFD">
            <w:pPr>
              <w:jc w:val="right"/>
            </w:pPr>
            <w:r>
              <w:t>4</w:t>
            </w:r>
            <w:r w:rsidR="0096079D">
              <w:t>4</w:t>
            </w:r>
          </w:p>
        </w:tc>
      </w:tr>
      <w:tr w:rsidR="00C37CE2" w14:paraId="47DF5B0A" w14:textId="77777777" w:rsidTr="00A711CB">
        <w:tc>
          <w:tcPr>
            <w:tcW w:w="7513" w:type="dxa"/>
          </w:tcPr>
          <w:p w14:paraId="49DF8683" w14:textId="77777777" w:rsidR="00C37CE2" w:rsidRDefault="00C37CE2" w:rsidP="00336AFD">
            <w:pPr>
              <w:rPr>
                <w:i/>
                <w:iCs/>
              </w:rPr>
            </w:pPr>
          </w:p>
        </w:tc>
        <w:tc>
          <w:tcPr>
            <w:tcW w:w="1837" w:type="dxa"/>
          </w:tcPr>
          <w:p w14:paraId="1F382490" w14:textId="77777777" w:rsidR="00C37CE2" w:rsidRDefault="00C37CE2" w:rsidP="00336AFD">
            <w:pPr>
              <w:jc w:val="right"/>
            </w:pPr>
          </w:p>
        </w:tc>
      </w:tr>
      <w:tr w:rsidR="00A12333" w14:paraId="6E40264E" w14:textId="77777777" w:rsidTr="00A711CB">
        <w:tc>
          <w:tcPr>
            <w:tcW w:w="7513" w:type="dxa"/>
          </w:tcPr>
          <w:p w14:paraId="327796D4" w14:textId="2A7A14B2" w:rsidR="00A12333" w:rsidRPr="00320980" w:rsidRDefault="00A12333" w:rsidP="00336AFD">
            <w:r>
              <w:rPr>
                <w:i/>
                <w:iCs/>
              </w:rPr>
              <w:t>Greater Vancouver Transportation Authority v Canadian Federation of Students — British Columbia Component</w:t>
            </w:r>
            <w:r w:rsidRPr="006E0C7E">
              <w:t>, 2009 SCC 31</w:t>
            </w:r>
          </w:p>
        </w:tc>
        <w:tc>
          <w:tcPr>
            <w:tcW w:w="1837" w:type="dxa"/>
          </w:tcPr>
          <w:p w14:paraId="30E22207" w14:textId="13C81F1E" w:rsidR="00A12333" w:rsidRDefault="00742E85" w:rsidP="00336AFD">
            <w:pPr>
              <w:jc w:val="right"/>
            </w:pPr>
            <w:r>
              <w:t>7</w:t>
            </w:r>
            <w:r w:rsidR="00DF01C9">
              <w:t>8, 81</w:t>
            </w:r>
          </w:p>
        </w:tc>
      </w:tr>
      <w:tr w:rsidR="00C37CE2" w14:paraId="47D9A9F3" w14:textId="77777777" w:rsidTr="00A711CB">
        <w:tc>
          <w:tcPr>
            <w:tcW w:w="7513" w:type="dxa"/>
          </w:tcPr>
          <w:p w14:paraId="3BC2B485" w14:textId="77777777" w:rsidR="00C37CE2" w:rsidRDefault="00C37CE2" w:rsidP="00336AFD">
            <w:pPr>
              <w:rPr>
                <w:i/>
                <w:iCs/>
              </w:rPr>
            </w:pPr>
          </w:p>
        </w:tc>
        <w:tc>
          <w:tcPr>
            <w:tcW w:w="1837" w:type="dxa"/>
          </w:tcPr>
          <w:p w14:paraId="37941AEC" w14:textId="77777777" w:rsidR="00C37CE2" w:rsidRDefault="00C37CE2" w:rsidP="00336AFD">
            <w:pPr>
              <w:jc w:val="right"/>
            </w:pPr>
          </w:p>
        </w:tc>
      </w:tr>
      <w:tr w:rsidR="00A12333" w14:paraId="5CC406F3" w14:textId="77777777" w:rsidTr="00A711CB">
        <w:tc>
          <w:tcPr>
            <w:tcW w:w="7513" w:type="dxa"/>
          </w:tcPr>
          <w:p w14:paraId="2E0A6E48" w14:textId="2878B42D" w:rsidR="00A12333" w:rsidRPr="00320980" w:rsidRDefault="00A12333" w:rsidP="00336AFD">
            <w:r>
              <w:rPr>
                <w:i/>
                <w:iCs/>
              </w:rPr>
              <w:t>Housen v Nikolaisen</w:t>
            </w:r>
            <w:r w:rsidRPr="006E0C7E">
              <w:t>, 2002 SCC 33</w:t>
            </w:r>
          </w:p>
        </w:tc>
        <w:tc>
          <w:tcPr>
            <w:tcW w:w="1837" w:type="dxa"/>
          </w:tcPr>
          <w:p w14:paraId="613581DE" w14:textId="5CDA6C25" w:rsidR="00A12333" w:rsidRDefault="0064189D" w:rsidP="00336AFD">
            <w:pPr>
              <w:jc w:val="right"/>
            </w:pPr>
            <w:r>
              <w:t>3</w:t>
            </w:r>
            <w:r w:rsidR="00742E85">
              <w:t>2</w:t>
            </w:r>
          </w:p>
        </w:tc>
      </w:tr>
      <w:tr w:rsidR="00C37CE2" w14:paraId="39521480" w14:textId="77777777" w:rsidTr="00A711CB">
        <w:tc>
          <w:tcPr>
            <w:tcW w:w="7513" w:type="dxa"/>
          </w:tcPr>
          <w:p w14:paraId="028EF47D" w14:textId="77777777" w:rsidR="00C37CE2" w:rsidRDefault="00C37CE2" w:rsidP="00336AFD">
            <w:pPr>
              <w:rPr>
                <w:i/>
                <w:iCs/>
              </w:rPr>
            </w:pPr>
          </w:p>
        </w:tc>
        <w:tc>
          <w:tcPr>
            <w:tcW w:w="1837" w:type="dxa"/>
          </w:tcPr>
          <w:p w14:paraId="414619A1" w14:textId="77777777" w:rsidR="00C37CE2" w:rsidRDefault="00C37CE2" w:rsidP="00336AFD">
            <w:pPr>
              <w:jc w:val="right"/>
            </w:pPr>
          </w:p>
        </w:tc>
      </w:tr>
      <w:tr w:rsidR="00A12333" w14:paraId="5F1DBC10" w14:textId="77777777" w:rsidTr="00A711CB">
        <w:tc>
          <w:tcPr>
            <w:tcW w:w="7513" w:type="dxa"/>
          </w:tcPr>
          <w:p w14:paraId="674B884B" w14:textId="39A4EF13" w:rsidR="00A12333" w:rsidRPr="00320980" w:rsidRDefault="00A12333" w:rsidP="00336AFD">
            <w:r>
              <w:rPr>
                <w:i/>
                <w:iCs/>
              </w:rPr>
              <w:t>Mathur v Ontario</w:t>
            </w:r>
            <w:r w:rsidRPr="006E0C7E">
              <w:t>, 2020 ONSC 6918 (CanLII)</w:t>
            </w:r>
          </w:p>
        </w:tc>
        <w:tc>
          <w:tcPr>
            <w:tcW w:w="1837" w:type="dxa"/>
          </w:tcPr>
          <w:p w14:paraId="57B8944A" w14:textId="19FEFE32" w:rsidR="00A12333" w:rsidRDefault="00B117CB" w:rsidP="00336AFD">
            <w:pPr>
              <w:jc w:val="right"/>
            </w:pPr>
            <w:r>
              <w:t>8</w:t>
            </w:r>
            <w:r w:rsidR="003066E9">
              <w:t>0, 81</w:t>
            </w:r>
          </w:p>
        </w:tc>
      </w:tr>
      <w:tr w:rsidR="00C37CE2" w14:paraId="67202498" w14:textId="77777777" w:rsidTr="00A711CB">
        <w:tc>
          <w:tcPr>
            <w:tcW w:w="7513" w:type="dxa"/>
          </w:tcPr>
          <w:p w14:paraId="44FFC2AA" w14:textId="77777777" w:rsidR="00C37CE2" w:rsidRDefault="00C37CE2" w:rsidP="00336AFD">
            <w:pPr>
              <w:rPr>
                <w:i/>
                <w:iCs/>
              </w:rPr>
            </w:pPr>
          </w:p>
        </w:tc>
        <w:tc>
          <w:tcPr>
            <w:tcW w:w="1837" w:type="dxa"/>
          </w:tcPr>
          <w:p w14:paraId="22DBD8FD" w14:textId="77777777" w:rsidR="00C37CE2" w:rsidRDefault="00C37CE2" w:rsidP="00336AFD">
            <w:pPr>
              <w:jc w:val="right"/>
            </w:pPr>
          </w:p>
        </w:tc>
      </w:tr>
      <w:tr w:rsidR="00A12333" w14:paraId="4AA3FF16" w14:textId="77777777" w:rsidTr="00A711CB">
        <w:tc>
          <w:tcPr>
            <w:tcW w:w="7513" w:type="dxa"/>
          </w:tcPr>
          <w:p w14:paraId="12C4A235" w14:textId="077485BF" w:rsidR="00A12333" w:rsidRPr="00320980" w:rsidRDefault="00A12333" w:rsidP="00336AFD">
            <w:r>
              <w:rPr>
                <w:i/>
                <w:iCs/>
                <w:lang w:val="en-US"/>
              </w:rPr>
              <w:t>Ontario (Natural Resources and Forestry) v South Bruce Peninsula (Town)</w:t>
            </w:r>
            <w:r>
              <w:rPr>
                <w:lang w:val="en-US"/>
              </w:rPr>
              <w:t>, 2022 ONCA 315 (CanLII)</w:t>
            </w:r>
          </w:p>
        </w:tc>
        <w:tc>
          <w:tcPr>
            <w:tcW w:w="1837" w:type="dxa"/>
          </w:tcPr>
          <w:p w14:paraId="1C8F906A" w14:textId="43DC8EFA" w:rsidR="00A12333" w:rsidRDefault="00F07B39" w:rsidP="00336AFD">
            <w:pPr>
              <w:jc w:val="right"/>
            </w:pPr>
            <w:r>
              <w:t>7</w:t>
            </w:r>
            <w:r w:rsidR="00620906">
              <w:t>1</w:t>
            </w:r>
          </w:p>
        </w:tc>
      </w:tr>
      <w:tr w:rsidR="00C37CE2" w14:paraId="7B2583A9" w14:textId="77777777" w:rsidTr="00A711CB">
        <w:tc>
          <w:tcPr>
            <w:tcW w:w="7513" w:type="dxa"/>
          </w:tcPr>
          <w:p w14:paraId="4C9F97B2" w14:textId="77777777" w:rsidR="00C37CE2" w:rsidRDefault="00C37CE2" w:rsidP="00336AFD">
            <w:pPr>
              <w:rPr>
                <w:i/>
                <w:iCs/>
                <w:lang w:val="en-US"/>
              </w:rPr>
            </w:pPr>
          </w:p>
        </w:tc>
        <w:tc>
          <w:tcPr>
            <w:tcW w:w="1837" w:type="dxa"/>
          </w:tcPr>
          <w:p w14:paraId="218B616E" w14:textId="77777777" w:rsidR="00C37CE2" w:rsidRDefault="00C37CE2" w:rsidP="00336AFD">
            <w:pPr>
              <w:jc w:val="right"/>
            </w:pPr>
          </w:p>
        </w:tc>
      </w:tr>
      <w:tr w:rsidR="00A12333" w14:paraId="069E8D74" w14:textId="77777777" w:rsidTr="00A711CB">
        <w:tc>
          <w:tcPr>
            <w:tcW w:w="7513" w:type="dxa"/>
          </w:tcPr>
          <w:p w14:paraId="107DBAE6" w14:textId="1C3B9BB3" w:rsidR="00A12333" w:rsidRPr="00320980" w:rsidRDefault="00A12333" w:rsidP="00336AFD">
            <w:r>
              <w:rPr>
                <w:i/>
                <w:iCs/>
              </w:rPr>
              <w:t>Ontario v Canadian Pacific Ltd</w:t>
            </w:r>
            <w:r w:rsidRPr="006E0C7E">
              <w:t>, [1995] 2 SCR 1031, 1995 CanLII 112 (SCC)</w:t>
            </w:r>
          </w:p>
        </w:tc>
        <w:tc>
          <w:tcPr>
            <w:tcW w:w="1837" w:type="dxa"/>
          </w:tcPr>
          <w:p w14:paraId="4277BD1B" w14:textId="6665B094" w:rsidR="00A12333" w:rsidRDefault="00FB1C82" w:rsidP="00336AFD">
            <w:pPr>
              <w:jc w:val="right"/>
            </w:pPr>
            <w:r>
              <w:t>59</w:t>
            </w:r>
          </w:p>
        </w:tc>
      </w:tr>
      <w:tr w:rsidR="00C37CE2" w14:paraId="17DB80C2" w14:textId="77777777" w:rsidTr="00A711CB">
        <w:tc>
          <w:tcPr>
            <w:tcW w:w="7513" w:type="dxa"/>
          </w:tcPr>
          <w:p w14:paraId="782E4042" w14:textId="77777777" w:rsidR="00C37CE2" w:rsidRDefault="00C37CE2" w:rsidP="00336AFD">
            <w:pPr>
              <w:rPr>
                <w:i/>
                <w:iCs/>
              </w:rPr>
            </w:pPr>
          </w:p>
        </w:tc>
        <w:tc>
          <w:tcPr>
            <w:tcW w:w="1837" w:type="dxa"/>
          </w:tcPr>
          <w:p w14:paraId="21641738" w14:textId="77777777" w:rsidR="00C37CE2" w:rsidRDefault="00C37CE2" w:rsidP="00336AFD">
            <w:pPr>
              <w:jc w:val="right"/>
            </w:pPr>
          </w:p>
        </w:tc>
      </w:tr>
      <w:tr w:rsidR="00A12333" w14:paraId="7CC4B198" w14:textId="77777777" w:rsidTr="00A711CB">
        <w:tc>
          <w:tcPr>
            <w:tcW w:w="7513" w:type="dxa"/>
          </w:tcPr>
          <w:p w14:paraId="0BA54A0D" w14:textId="35D0D50E" w:rsidR="00A12333" w:rsidRPr="00320980" w:rsidRDefault="00A12333" w:rsidP="00336AFD">
            <w:r>
              <w:rPr>
                <w:i/>
                <w:iCs/>
              </w:rPr>
              <w:lastRenderedPageBreak/>
              <w:t>Prince Edward County Field Naturalists v Ostrander Point GP Inc</w:t>
            </w:r>
            <w:r w:rsidRPr="006E0C7E">
              <w:t>, 2015 ONCA 269 (CanLII)</w:t>
            </w:r>
          </w:p>
        </w:tc>
        <w:tc>
          <w:tcPr>
            <w:tcW w:w="1837" w:type="dxa"/>
          </w:tcPr>
          <w:p w14:paraId="5F167CF5" w14:textId="3AD49EA4" w:rsidR="00A12333" w:rsidRDefault="00DC2250" w:rsidP="00336AFD">
            <w:pPr>
              <w:jc w:val="right"/>
            </w:pPr>
            <w:r>
              <w:t>8</w:t>
            </w:r>
            <w:r w:rsidR="00D65FC1">
              <w:t>8</w:t>
            </w:r>
          </w:p>
        </w:tc>
      </w:tr>
      <w:tr w:rsidR="00C37CE2" w14:paraId="4E3F0C99" w14:textId="77777777" w:rsidTr="00A711CB">
        <w:tc>
          <w:tcPr>
            <w:tcW w:w="7513" w:type="dxa"/>
          </w:tcPr>
          <w:p w14:paraId="0AECFE13" w14:textId="77777777" w:rsidR="00C37CE2" w:rsidRDefault="00C37CE2" w:rsidP="00336AFD">
            <w:pPr>
              <w:rPr>
                <w:i/>
                <w:iCs/>
              </w:rPr>
            </w:pPr>
          </w:p>
        </w:tc>
        <w:tc>
          <w:tcPr>
            <w:tcW w:w="1837" w:type="dxa"/>
          </w:tcPr>
          <w:p w14:paraId="40DBE077" w14:textId="77777777" w:rsidR="00C37CE2" w:rsidRDefault="00C37CE2" w:rsidP="00336AFD">
            <w:pPr>
              <w:jc w:val="right"/>
            </w:pPr>
          </w:p>
        </w:tc>
      </w:tr>
      <w:tr w:rsidR="00A12333" w14:paraId="582AB3DB" w14:textId="77777777" w:rsidTr="00A711CB">
        <w:tc>
          <w:tcPr>
            <w:tcW w:w="7513" w:type="dxa"/>
          </w:tcPr>
          <w:p w14:paraId="20DE1852" w14:textId="278A4850" w:rsidR="00A12333" w:rsidRPr="00320980" w:rsidRDefault="00A12333" w:rsidP="00336AFD">
            <w:r>
              <w:rPr>
                <w:i/>
                <w:iCs/>
                <w:lang w:val="en-US"/>
              </w:rPr>
              <w:t>Rizzo &amp; Rizzo Shoes Ltd (Re)</w:t>
            </w:r>
            <w:r>
              <w:rPr>
                <w:lang w:val="en-US"/>
              </w:rPr>
              <w:t>, [1998] 1 SCR 27, 1998 CanLII 837 (SCC)</w:t>
            </w:r>
          </w:p>
        </w:tc>
        <w:tc>
          <w:tcPr>
            <w:tcW w:w="1837" w:type="dxa"/>
          </w:tcPr>
          <w:p w14:paraId="0357BE43" w14:textId="2140D372" w:rsidR="00A12333" w:rsidRDefault="00451578" w:rsidP="00336AFD">
            <w:pPr>
              <w:jc w:val="right"/>
            </w:pPr>
            <w:r>
              <w:t>6</w:t>
            </w:r>
            <w:r w:rsidR="00C4420C">
              <w:t>5</w:t>
            </w:r>
            <w:r>
              <w:t xml:space="preserve">, </w:t>
            </w:r>
            <w:r w:rsidR="00C4420C">
              <w:t>8</w:t>
            </w:r>
            <w:r w:rsidR="00794482">
              <w:t>9</w:t>
            </w:r>
            <w:r w:rsidR="002747CC">
              <w:t xml:space="preserve">, </w:t>
            </w:r>
            <w:r w:rsidR="00311643">
              <w:t>9</w:t>
            </w:r>
            <w:r w:rsidR="00794482">
              <w:t>5</w:t>
            </w:r>
          </w:p>
        </w:tc>
      </w:tr>
      <w:tr w:rsidR="00C37CE2" w14:paraId="04AAE69F" w14:textId="77777777" w:rsidTr="00A711CB">
        <w:tc>
          <w:tcPr>
            <w:tcW w:w="7513" w:type="dxa"/>
          </w:tcPr>
          <w:p w14:paraId="78F3C66F" w14:textId="77777777" w:rsidR="00C37CE2" w:rsidRDefault="00C37CE2" w:rsidP="00336AFD">
            <w:pPr>
              <w:rPr>
                <w:i/>
                <w:iCs/>
                <w:lang w:val="en-US"/>
              </w:rPr>
            </w:pPr>
          </w:p>
        </w:tc>
        <w:tc>
          <w:tcPr>
            <w:tcW w:w="1837" w:type="dxa"/>
          </w:tcPr>
          <w:p w14:paraId="3B108AD5" w14:textId="77777777" w:rsidR="00C37CE2" w:rsidRDefault="00C37CE2" w:rsidP="00336AFD">
            <w:pPr>
              <w:jc w:val="right"/>
            </w:pPr>
          </w:p>
        </w:tc>
      </w:tr>
      <w:tr w:rsidR="00A12333" w14:paraId="6AC29B7E" w14:textId="77777777" w:rsidTr="00A711CB">
        <w:tc>
          <w:tcPr>
            <w:tcW w:w="7513" w:type="dxa"/>
          </w:tcPr>
          <w:p w14:paraId="7942B624" w14:textId="7F04F0D0" w:rsidR="00A12333" w:rsidRPr="00320980" w:rsidRDefault="00A12333" w:rsidP="00336AFD">
            <w:r>
              <w:rPr>
                <w:i/>
                <w:iCs/>
              </w:rPr>
              <w:t>R v Abbey</w:t>
            </w:r>
            <w:r w:rsidRPr="006E0C7E">
              <w:t>, [1982] 2 SCR 24, 1982 CanLII 25 (SCC)</w:t>
            </w:r>
          </w:p>
        </w:tc>
        <w:tc>
          <w:tcPr>
            <w:tcW w:w="1837" w:type="dxa"/>
          </w:tcPr>
          <w:p w14:paraId="0F527E43" w14:textId="5F403022" w:rsidR="00A12333" w:rsidRDefault="002A4B7C" w:rsidP="00336AFD">
            <w:pPr>
              <w:jc w:val="right"/>
            </w:pPr>
            <w:r>
              <w:t>4</w:t>
            </w:r>
            <w:r w:rsidR="00846FE2">
              <w:t>4</w:t>
            </w:r>
            <w:r>
              <w:t xml:space="preserve">, </w:t>
            </w:r>
            <w:r w:rsidR="00B1740B">
              <w:t>48</w:t>
            </w:r>
            <w:r w:rsidR="00F46C34">
              <w:t xml:space="preserve">, </w:t>
            </w:r>
            <w:r w:rsidR="00C94922">
              <w:t>49</w:t>
            </w:r>
            <w:r w:rsidR="008B7256">
              <w:t>, 5</w:t>
            </w:r>
            <w:r w:rsidR="00C94922">
              <w:t>1</w:t>
            </w:r>
          </w:p>
        </w:tc>
      </w:tr>
      <w:tr w:rsidR="00C37CE2" w14:paraId="1BCD686B" w14:textId="77777777" w:rsidTr="00A711CB">
        <w:tc>
          <w:tcPr>
            <w:tcW w:w="7513" w:type="dxa"/>
          </w:tcPr>
          <w:p w14:paraId="75BF2E0F" w14:textId="77777777" w:rsidR="00C37CE2" w:rsidRDefault="00C37CE2" w:rsidP="00336AFD">
            <w:pPr>
              <w:rPr>
                <w:i/>
                <w:iCs/>
              </w:rPr>
            </w:pPr>
          </w:p>
        </w:tc>
        <w:tc>
          <w:tcPr>
            <w:tcW w:w="1837" w:type="dxa"/>
          </w:tcPr>
          <w:p w14:paraId="4256ECF6" w14:textId="77777777" w:rsidR="00C37CE2" w:rsidRDefault="00C37CE2" w:rsidP="00336AFD">
            <w:pPr>
              <w:jc w:val="right"/>
            </w:pPr>
          </w:p>
        </w:tc>
      </w:tr>
      <w:tr w:rsidR="00A12333" w14:paraId="666B16C1" w14:textId="77777777" w:rsidTr="00A711CB">
        <w:tc>
          <w:tcPr>
            <w:tcW w:w="7513" w:type="dxa"/>
          </w:tcPr>
          <w:p w14:paraId="46D411BB" w14:textId="7B974DE6" w:rsidR="00A12333" w:rsidRPr="00320980" w:rsidRDefault="00A12333" w:rsidP="00336AFD">
            <w:r>
              <w:rPr>
                <w:i/>
                <w:iCs/>
              </w:rPr>
              <w:t>R v Arcuri</w:t>
            </w:r>
            <w:r w:rsidRPr="006E0C7E">
              <w:t xml:space="preserve">, 2001 SCC 54 </w:t>
            </w:r>
          </w:p>
        </w:tc>
        <w:tc>
          <w:tcPr>
            <w:tcW w:w="1837" w:type="dxa"/>
          </w:tcPr>
          <w:p w14:paraId="50B90E6C" w14:textId="7C320E17" w:rsidR="00A12333" w:rsidRDefault="00A6091F" w:rsidP="00336AFD">
            <w:pPr>
              <w:jc w:val="right"/>
            </w:pPr>
            <w:r>
              <w:t>3</w:t>
            </w:r>
            <w:r w:rsidR="008B1B95">
              <w:t>7</w:t>
            </w:r>
            <w:r>
              <w:t xml:space="preserve">, </w:t>
            </w:r>
            <w:r w:rsidR="008B1B95">
              <w:t>39</w:t>
            </w:r>
          </w:p>
        </w:tc>
      </w:tr>
      <w:tr w:rsidR="00C37CE2" w14:paraId="6870C02A" w14:textId="77777777" w:rsidTr="00A711CB">
        <w:tc>
          <w:tcPr>
            <w:tcW w:w="7513" w:type="dxa"/>
          </w:tcPr>
          <w:p w14:paraId="4D662D0D" w14:textId="77777777" w:rsidR="00C37CE2" w:rsidRDefault="00C37CE2" w:rsidP="00336AFD">
            <w:pPr>
              <w:rPr>
                <w:i/>
                <w:iCs/>
              </w:rPr>
            </w:pPr>
          </w:p>
        </w:tc>
        <w:tc>
          <w:tcPr>
            <w:tcW w:w="1837" w:type="dxa"/>
          </w:tcPr>
          <w:p w14:paraId="63DB203D" w14:textId="77777777" w:rsidR="00C37CE2" w:rsidRDefault="00C37CE2" w:rsidP="00336AFD">
            <w:pPr>
              <w:jc w:val="right"/>
            </w:pPr>
          </w:p>
        </w:tc>
      </w:tr>
      <w:tr w:rsidR="00A12333" w14:paraId="191DE878" w14:textId="77777777" w:rsidTr="00A711CB">
        <w:tc>
          <w:tcPr>
            <w:tcW w:w="7513" w:type="dxa"/>
          </w:tcPr>
          <w:p w14:paraId="3554DBEE" w14:textId="769477CC" w:rsidR="00A12333" w:rsidRPr="00320980" w:rsidRDefault="00A12333" w:rsidP="00336AFD">
            <w:r>
              <w:rPr>
                <w:i/>
                <w:iCs/>
              </w:rPr>
              <w:t>R v Biniaris</w:t>
            </w:r>
            <w:r w:rsidRPr="006E0C7E">
              <w:t>, 2000 SCC 15</w:t>
            </w:r>
          </w:p>
        </w:tc>
        <w:tc>
          <w:tcPr>
            <w:tcW w:w="1837" w:type="dxa"/>
          </w:tcPr>
          <w:p w14:paraId="13860FEE" w14:textId="499F53A6" w:rsidR="00A12333" w:rsidRDefault="002D511C" w:rsidP="00336AFD">
            <w:pPr>
              <w:jc w:val="right"/>
            </w:pPr>
            <w:r>
              <w:t>3</w:t>
            </w:r>
            <w:r w:rsidR="008B1B95">
              <w:t>4</w:t>
            </w:r>
          </w:p>
        </w:tc>
      </w:tr>
      <w:tr w:rsidR="00C37CE2" w14:paraId="417D6C90" w14:textId="77777777" w:rsidTr="00A711CB">
        <w:tc>
          <w:tcPr>
            <w:tcW w:w="7513" w:type="dxa"/>
          </w:tcPr>
          <w:p w14:paraId="5BAF307B" w14:textId="77777777" w:rsidR="00C37CE2" w:rsidRDefault="00C37CE2" w:rsidP="00336AFD">
            <w:pPr>
              <w:rPr>
                <w:i/>
                <w:iCs/>
              </w:rPr>
            </w:pPr>
          </w:p>
        </w:tc>
        <w:tc>
          <w:tcPr>
            <w:tcW w:w="1837" w:type="dxa"/>
          </w:tcPr>
          <w:p w14:paraId="6AE3D55E" w14:textId="77777777" w:rsidR="00C37CE2" w:rsidRDefault="00C37CE2" w:rsidP="00336AFD">
            <w:pPr>
              <w:jc w:val="right"/>
            </w:pPr>
          </w:p>
        </w:tc>
      </w:tr>
      <w:tr w:rsidR="00A12333" w14:paraId="20682FF5" w14:textId="77777777" w:rsidTr="00A711CB">
        <w:tc>
          <w:tcPr>
            <w:tcW w:w="7513" w:type="dxa"/>
          </w:tcPr>
          <w:p w14:paraId="2B6BF041" w14:textId="38C4C811" w:rsidR="00A12333" w:rsidRPr="00320980" w:rsidRDefault="00A12333" w:rsidP="00336AFD">
            <w:r>
              <w:rPr>
                <w:i/>
                <w:iCs/>
              </w:rPr>
              <w:t>R v Cinous</w:t>
            </w:r>
            <w:r w:rsidRPr="006E0C7E">
              <w:t xml:space="preserve">, 2002 SCC 29 </w:t>
            </w:r>
          </w:p>
        </w:tc>
        <w:tc>
          <w:tcPr>
            <w:tcW w:w="1837" w:type="dxa"/>
          </w:tcPr>
          <w:p w14:paraId="66ECAAFA" w14:textId="6CA27B89" w:rsidR="00A12333" w:rsidRDefault="00CD15F9" w:rsidP="00336AFD">
            <w:pPr>
              <w:jc w:val="right"/>
            </w:pPr>
            <w:r>
              <w:t>3</w:t>
            </w:r>
            <w:r w:rsidR="008B1B95">
              <w:t>7</w:t>
            </w:r>
          </w:p>
        </w:tc>
      </w:tr>
      <w:tr w:rsidR="00C37CE2" w14:paraId="4FADF6EC" w14:textId="77777777" w:rsidTr="00A711CB">
        <w:tc>
          <w:tcPr>
            <w:tcW w:w="7513" w:type="dxa"/>
          </w:tcPr>
          <w:p w14:paraId="2D048424" w14:textId="77777777" w:rsidR="00C37CE2" w:rsidRDefault="00C37CE2" w:rsidP="00336AFD">
            <w:pPr>
              <w:rPr>
                <w:i/>
                <w:iCs/>
              </w:rPr>
            </w:pPr>
          </w:p>
        </w:tc>
        <w:tc>
          <w:tcPr>
            <w:tcW w:w="1837" w:type="dxa"/>
          </w:tcPr>
          <w:p w14:paraId="214E30AC" w14:textId="77777777" w:rsidR="00C37CE2" w:rsidRDefault="00C37CE2" w:rsidP="00336AFD">
            <w:pPr>
              <w:jc w:val="right"/>
            </w:pPr>
          </w:p>
        </w:tc>
      </w:tr>
      <w:tr w:rsidR="00A12333" w14:paraId="1DA3202F" w14:textId="77777777" w:rsidTr="00A711CB">
        <w:tc>
          <w:tcPr>
            <w:tcW w:w="7513" w:type="dxa"/>
          </w:tcPr>
          <w:p w14:paraId="58049C80" w14:textId="703C10DC" w:rsidR="00A12333" w:rsidRPr="00320980" w:rsidRDefault="00A12333" w:rsidP="00336AFD">
            <w:r>
              <w:rPr>
                <w:i/>
                <w:iCs/>
              </w:rPr>
              <w:t>R v Evans</w:t>
            </w:r>
            <w:r w:rsidRPr="006E0C7E">
              <w:t>, [1993] 3 SCR 653, 1993 CanLII 86 (SCC)</w:t>
            </w:r>
          </w:p>
        </w:tc>
        <w:tc>
          <w:tcPr>
            <w:tcW w:w="1837" w:type="dxa"/>
          </w:tcPr>
          <w:p w14:paraId="43F4B3D1" w14:textId="0F2BF150" w:rsidR="00A12333" w:rsidRDefault="00884CDC" w:rsidP="00336AFD">
            <w:pPr>
              <w:jc w:val="right"/>
            </w:pPr>
            <w:r>
              <w:t>48</w:t>
            </w:r>
          </w:p>
        </w:tc>
      </w:tr>
      <w:tr w:rsidR="00C37CE2" w14:paraId="76C7194D" w14:textId="77777777" w:rsidTr="00A711CB">
        <w:tc>
          <w:tcPr>
            <w:tcW w:w="7513" w:type="dxa"/>
          </w:tcPr>
          <w:p w14:paraId="238C5335" w14:textId="77777777" w:rsidR="00C37CE2" w:rsidRDefault="00C37CE2" w:rsidP="00336AFD">
            <w:pPr>
              <w:rPr>
                <w:i/>
                <w:iCs/>
              </w:rPr>
            </w:pPr>
          </w:p>
        </w:tc>
        <w:tc>
          <w:tcPr>
            <w:tcW w:w="1837" w:type="dxa"/>
          </w:tcPr>
          <w:p w14:paraId="5960EF3F" w14:textId="77777777" w:rsidR="00C37CE2" w:rsidRDefault="00C37CE2" w:rsidP="00336AFD">
            <w:pPr>
              <w:jc w:val="right"/>
            </w:pPr>
          </w:p>
        </w:tc>
      </w:tr>
      <w:tr w:rsidR="00A12333" w14:paraId="3FA4A724" w14:textId="77777777" w:rsidTr="00A711CB">
        <w:tc>
          <w:tcPr>
            <w:tcW w:w="7513" w:type="dxa"/>
          </w:tcPr>
          <w:p w14:paraId="16167AF3" w14:textId="4B5FBC36" w:rsidR="00A12333" w:rsidRPr="00320980" w:rsidRDefault="00A12333" w:rsidP="00336AFD">
            <w:r>
              <w:rPr>
                <w:i/>
                <w:iCs/>
              </w:rPr>
              <w:t>R v Gladue</w:t>
            </w:r>
            <w:r w:rsidRPr="006E0C7E">
              <w:t>, [1999] 1 SCR 688, 1999 CanLII 679 (SCC) </w:t>
            </w:r>
          </w:p>
        </w:tc>
        <w:tc>
          <w:tcPr>
            <w:tcW w:w="1837" w:type="dxa"/>
          </w:tcPr>
          <w:p w14:paraId="777787E0" w14:textId="1E5192AA" w:rsidR="00A12333" w:rsidRDefault="00EA7EE9" w:rsidP="00336AFD">
            <w:pPr>
              <w:jc w:val="right"/>
            </w:pPr>
            <w:r>
              <w:t>9</w:t>
            </w:r>
            <w:r w:rsidR="00BC2AB9">
              <w:t>5</w:t>
            </w:r>
          </w:p>
        </w:tc>
      </w:tr>
      <w:tr w:rsidR="00C37CE2" w14:paraId="01CA121B" w14:textId="77777777" w:rsidTr="00A711CB">
        <w:tc>
          <w:tcPr>
            <w:tcW w:w="7513" w:type="dxa"/>
          </w:tcPr>
          <w:p w14:paraId="03420DD0" w14:textId="77777777" w:rsidR="00C37CE2" w:rsidRDefault="00C37CE2" w:rsidP="00336AFD">
            <w:pPr>
              <w:rPr>
                <w:i/>
                <w:iCs/>
              </w:rPr>
            </w:pPr>
          </w:p>
        </w:tc>
        <w:tc>
          <w:tcPr>
            <w:tcW w:w="1837" w:type="dxa"/>
          </w:tcPr>
          <w:p w14:paraId="181892F2" w14:textId="77777777" w:rsidR="00C37CE2" w:rsidRDefault="00C37CE2" w:rsidP="00336AFD">
            <w:pPr>
              <w:jc w:val="right"/>
            </w:pPr>
          </w:p>
        </w:tc>
      </w:tr>
      <w:tr w:rsidR="00A12333" w14:paraId="7DBC1714" w14:textId="77777777" w:rsidTr="00A711CB">
        <w:tc>
          <w:tcPr>
            <w:tcW w:w="7513" w:type="dxa"/>
          </w:tcPr>
          <w:p w14:paraId="2AACF934" w14:textId="32C439DC" w:rsidR="00A12333" w:rsidRPr="00A8036A" w:rsidRDefault="00A12333" w:rsidP="00336AFD">
            <w:pPr>
              <w:rPr>
                <w:lang w:val="fr-FR"/>
              </w:rPr>
            </w:pPr>
            <w:r w:rsidRPr="00A8036A">
              <w:rPr>
                <w:i/>
                <w:iCs/>
                <w:lang w:val="fr-FR"/>
              </w:rPr>
              <w:t>R v Guerrier</w:t>
            </w:r>
            <w:r w:rsidRPr="00A8036A">
              <w:rPr>
                <w:lang w:val="fr-FR"/>
              </w:rPr>
              <w:t>, 2024 ONCA 838 (CanLII)</w:t>
            </w:r>
          </w:p>
        </w:tc>
        <w:tc>
          <w:tcPr>
            <w:tcW w:w="1837" w:type="dxa"/>
          </w:tcPr>
          <w:p w14:paraId="48E113A9" w14:textId="3E7AF274" w:rsidR="00A12333" w:rsidRDefault="00A95277" w:rsidP="00336AFD">
            <w:pPr>
              <w:jc w:val="right"/>
            </w:pPr>
            <w:r>
              <w:t>90</w:t>
            </w:r>
          </w:p>
        </w:tc>
      </w:tr>
      <w:tr w:rsidR="00C37CE2" w14:paraId="7DB15290" w14:textId="77777777" w:rsidTr="00A711CB">
        <w:tc>
          <w:tcPr>
            <w:tcW w:w="7513" w:type="dxa"/>
          </w:tcPr>
          <w:p w14:paraId="33CB4AFE" w14:textId="77777777" w:rsidR="00C37CE2" w:rsidRDefault="00C37CE2" w:rsidP="00336AFD">
            <w:pPr>
              <w:rPr>
                <w:i/>
                <w:iCs/>
              </w:rPr>
            </w:pPr>
          </w:p>
        </w:tc>
        <w:tc>
          <w:tcPr>
            <w:tcW w:w="1837" w:type="dxa"/>
          </w:tcPr>
          <w:p w14:paraId="1908B26A" w14:textId="77777777" w:rsidR="00C37CE2" w:rsidRDefault="00C37CE2" w:rsidP="00336AFD">
            <w:pPr>
              <w:jc w:val="right"/>
            </w:pPr>
          </w:p>
        </w:tc>
      </w:tr>
      <w:tr w:rsidR="00A12333" w14:paraId="3570687A" w14:textId="77777777" w:rsidTr="00A711CB">
        <w:tc>
          <w:tcPr>
            <w:tcW w:w="7513" w:type="dxa"/>
          </w:tcPr>
          <w:p w14:paraId="33CE4E8E" w14:textId="2CEC8963" w:rsidR="00A12333" w:rsidRPr="00320980" w:rsidRDefault="00A12333" w:rsidP="00336AFD">
            <w:r>
              <w:rPr>
                <w:i/>
                <w:iCs/>
              </w:rPr>
              <w:t>R v JMH</w:t>
            </w:r>
            <w:r w:rsidRPr="006E0C7E">
              <w:t>, 2011 SCC 45</w:t>
            </w:r>
          </w:p>
        </w:tc>
        <w:tc>
          <w:tcPr>
            <w:tcW w:w="1837" w:type="dxa"/>
          </w:tcPr>
          <w:p w14:paraId="0CA873D5" w14:textId="28D7E765" w:rsidR="00A12333" w:rsidRDefault="00FF5226" w:rsidP="00336AFD">
            <w:pPr>
              <w:jc w:val="right"/>
            </w:pPr>
            <w:r>
              <w:t>3</w:t>
            </w:r>
            <w:r w:rsidR="008B1B95">
              <w:t>4</w:t>
            </w:r>
          </w:p>
        </w:tc>
      </w:tr>
      <w:tr w:rsidR="00C37CE2" w14:paraId="7C2D6C89" w14:textId="77777777" w:rsidTr="00A711CB">
        <w:tc>
          <w:tcPr>
            <w:tcW w:w="7513" w:type="dxa"/>
          </w:tcPr>
          <w:p w14:paraId="523DDC65" w14:textId="77777777" w:rsidR="00C37CE2" w:rsidRDefault="00C37CE2" w:rsidP="00336AFD">
            <w:pPr>
              <w:rPr>
                <w:i/>
                <w:iCs/>
              </w:rPr>
            </w:pPr>
          </w:p>
        </w:tc>
        <w:tc>
          <w:tcPr>
            <w:tcW w:w="1837" w:type="dxa"/>
          </w:tcPr>
          <w:p w14:paraId="2A3CDE6B" w14:textId="77777777" w:rsidR="00C37CE2" w:rsidRDefault="00C37CE2" w:rsidP="00336AFD">
            <w:pPr>
              <w:jc w:val="right"/>
            </w:pPr>
          </w:p>
        </w:tc>
      </w:tr>
      <w:tr w:rsidR="00A12333" w14:paraId="5BE247F9" w14:textId="77777777" w:rsidTr="00A711CB">
        <w:tc>
          <w:tcPr>
            <w:tcW w:w="7513" w:type="dxa"/>
          </w:tcPr>
          <w:p w14:paraId="3464EFB4" w14:textId="095F53FD" w:rsidR="00A12333" w:rsidRPr="00320980" w:rsidRDefault="00A12333" w:rsidP="00336AFD">
            <w:r>
              <w:rPr>
                <w:i/>
                <w:iCs/>
              </w:rPr>
              <w:t>R v Khelawon</w:t>
            </w:r>
            <w:r w:rsidRPr="006E0C7E">
              <w:t>, 2006 SCC 57</w:t>
            </w:r>
          </w:p>
        </w:tc>
        <w:tc>
          <w:tcPr>
            <w:tcW w:w="1837" w:type="dxa"/>
          </w:tcPr>
          <w:p w14:paraId="1F4CAF00" w14:textId="33F917AB" w:rsidR="00A12333" w:rsidRDefault="00183804" w:rsidP="00336AFD">
            <w:pPr>
              <w:jc w:val="right"/>
            </w:pPr>
            <w:r>
              <w:t>49</w:t>
            </w:r>
          </w:p>
        </w:tc>
      </w:tr>
      <w:tr w:rsidR="00C37CE2" w14:paraId="69B28DED" w14:textId="77777777" w:rsidTr="00A711CB">
        <w:tc>
          <w:tcPr>
            <w:tcW w:w="7513" w:type="dxa"/>
          </w:tcPr>
          <w:p w14:paraId="50FEFF84" w14:textId="77777777" w:rsidR="00C37CE2" w:rsidRDefault="00C37CE2" w:rsidP="00336AFD">
            <w:pPr>
              <w:rPr>
                <w:i/>
                <w:iCs/>
              </w:rPr>
            </w:pPr>
          </w:p>
        </w:tc>
        <w:tc>
          <w:tcPr>
            <w:tcW w:w="1837" w:type="dxa"/>
          </w:tcPr>
          <w:p w14:paraId="619D46D0" w14:textId="77777777" w:rsidR="00C37CE2" w:rsidRDefault="00C37CE2" w:rsidP="00336AFD">
            <w:pPr>
              <w:jc w:val="right"/>
            </w:pPr>
          </w:p>
        </w:tc>
      </w:tr>
      <w:tr w:rsidR="00A12333" w14:paraId="792C3009" w14:textId="77777777" w:rsidTr="00A711CB">
        <w:tc>
          <w:tcPr>
            <w:tcW w:w="7513" w:type="dxa"/>
          </w:tcPr>
          <w:p w14:paraId="12F00569" w14:textId="2925CD27" w:rsidR="00A12333" w:rsidRPr="00320980" w:rsidRDefault="00A12333" w:rsidP="00336AFD">
            <w:r>
              <w:rPr>
                <w:i/>
                <w:iCs/>
              </w:rPr>
              <w:t>R v Lohrer</w:t>
            </w:r>
            <w:r w:rsidRPr="006E0C7E">
              <w:t xml:space="preserve">, 2004 SCC 80  </w:t>
            </w:r>
          </w:p>
        </w:tc>
        <w:tc>
          <w:tcPr>
            <w:tcW w:w="1837" w:type="dxa"/>
          </w:tcPr>
          <w:p w14:paraId="1D0C3A7B" w14:textId="3161E039" w:rsidR="00A12333" w:rsidRDefault="00CE058A" w:rsidP="00336AFD">
            <w:pPr>
              <w:jc w:val="right"/>
            </w:pPr>
            <w:r>
              <w:t>3</w:t>
            </w:r>
            <w:r w:rsidR="008B1B95">
              <w:t>7</w:t>
            </w:r>
          </w:p>
        </w:tc>
      </w:tr>
      <w:tr w:rsidR="00C37CE2" w14:paraId="0D60A887" w14:textId="77777777" w:rsidTr="00A711CB">
        <w:tc>
          <w:tcPr>
            <w:tcW w:w="7513" w:type="dxa"/>
          </w:tcPr>
          <w:p w14:paraId="3E2E4791" w14:textId="77777777" w:rsidR="00C37CE2" w:rsidRDefault="00C37CE2" w:rsidP="00336AFD">
            <w:pPr>
              <w:rPr>
                <w:i/>
                <w:iCs/>
              </w:rPr>
            </w:pPr>
          </w:p>
        </w:tc>
        <w:tc>
          <w:tcPr>
            <w:tcW w:w="1837" w:type="dxa"/>
          </w:tcPr>
          <w:p w14:paraId="107C58A0" w14:textId="77777777" w:rsidR="00C37CE2" w:rsidRDefault="00C37CE2" w:rsidP="00336AFD">
            <w:pPr>
              <w:jc w:val="right"/>
            </w:pPr>
          </w:p>
        </w:tc>
      </w:tr>
      <w:tr w:rsidR="00A12333" w14:paraId="7132ED1E" w14:textId="77777777" w:rsidTr="00A711CB">
        <w:tc>
          <w:tcPr>
            <w:tcW w:w="7513" w:type="dxa"/>
          </w:tcPr>
          <w:p w14:paraId="2F3BC1AE" w14:textId="2A3C2C82" w:rsidR="00A12333" w:rsidRPr="00320980" w:rsidRDefault="00A12333" w:rsidP="00336AFD">
            <w:r>
              <w:rPr>
                <w:i/>
                <w:iCs/>
              </w:rPr>
              <w:t>R v South Bruce Peninsula</w:t>
            </w:r>
            <w:r w:rsidRPr="006E0C7E">
              <w:t>, 2021 CarswellOnt 20893</w:t>
            </w:r>
          </w:p>
        </w:tc>
        <w:tc>
          <w:tcPr>
            <w:tcW w:w="1837" w:type="dxa"/>
          </w:tcPr>
          <w:p w14:paraId="22820628" w14:textId="47D83672" w:rsidR="00A12333" w:rsidRDefault="00BB3A1A" w:rsidP="00336AFD">
            <w:pPr>
              <w:jc w:val="right"/>
            </w:pPr>
            <w:r>
              <w:t>3</w:t>
            </w:r>
            <w:r w:rsidR="008B1B95">
              <w:t>6</w:t>
            </w:r>
          </w:p>
        </w:tc>
      </w:tr>
      <w:tr w:rsidR="00C37CE2" w14:paraId="1D0305B2" w14:textId="77777777" w:rsidTr="00A711CB">
        <w:tc>
          <w:tcPr>
            <w:tcW w:w="7513" w:type="dxa"/>
          </w:tcPr>
          <w:p w14:paraId="7190F97C" w14:textId="77777777" w:rsidR="00C37CE2" w:rsidRDefault="00C37CE2" w:rsidP="00336AFD">
            <w:pPr>
              <w:rPr>
                <w:i/>
                <w:iCs/>
              </w:rPr>
            </w:pPr>
          </w:p>
        </w:tc>
        <w:tc>
          <w:tcPr>
            <w:tcW w:w="1837" w:type="dxa"/>
          </w:tcPr>
          <w:p w14:paraId="61BFFABD" w14:textId="77777777" w:rsidR="00C37CE2" w:rsidRDefault="00C37CE2" w:rsidP="00336AFD">
            <w:pPr>
              <w:jc w:val="right"/>
            </w:pPr>
          </w:p>
        </w:tc>
      </w:tr>
      <w:tr w:rsidR="00A12333" w14:paraId="00F17123" w14:textId="77777777" w:rsidTr="00A711CB">
        <w:tc>
          <w:tcPr>
            <w:tcW w:w="7513" w:type="dxa"/>
          </w:tcPr>
          <w:p w14:paraId="75AB8233" w14:textId="7ED58B40" w:rsidR="00A12333" w:rsidRPr="00320980" w:rsidRDefault="00A12333" w:rsidP="00336AFD">
            <w:r>
              <w:rPr>
                <w:i/>
                <w:iCs/>
              </w:rPr>
              <w:t>R v Summers</w:t>
            </w:r>
            <w:r w:rsidRPr="006E0C7E">
              <w:t xml:space="preserve">, 2014 SCC 26 </w:t>
            </w:r>
          </w:p>
        </w:tc>
        <w:tc>
          <w:tcPr>
            <w:tcW w:w="1837" w:type="dxa"/>
          </w:tcPr>
          <w:p w14:paraId="4FAED36A" w14:textId="1EEB18E8" w:rsidR="00A12333" w:rsidRDefault="00E55BEC" w:rsidP="00336AFD">
            <w:pPr>
              <w:jc w:val="right"/>
            </w:pPr>
            <w:r>
              <w:t>9</w:t>
            </w:r>
            <w:r w:rsidR="00404367">
              <w:t>5</w:t>
            </w:r>
            <w:r>
              <w:t>, 9</w:t>
            </w:r>
            <w:r w:rsidR="00404367">
              <w:t>6</w:t>
            </w:r>
          </w:p>
        </w:tc>
      </w:tr>
      <w:tr w:rsidR="00C37CE2" w14:paraId="3E3769F9" w14:textId="77777777" w:rsidTr="00A711CB">
        <w:tc>
          <w:tcPr>
            <w:tcW w:w="7513" w:type="dxa"/>
          </w:tcPr>
          <w:p w14:paraId="3AD91B4F" w14:textId="77777777" w:rsidR="00C37CE2" w:rsidRDefault="00C37CE2" w:rsidP="00336AFD">
            <w:pPr>
              <w:rPr>
                <w:i/>
                <w:iCs/>
              </w:rPr>
            </w:pPr>
          </w:p>
        </w:tc>
        <w:tc>
          <w:tcPr>
            <w:tcW w:w="1837" w:type="dxa"/>
          </w:tcPr>
          <w:p w14:paraId="35F9762D" w14:textId="77777777" w:rsidR="00C37CE2" w:rsidRDefault="00C37CE2" w:rsidP="00336AFD">
            <w:pPr>
              <w:jc w:val="right"/>
            </w:pPr>
          </w:p>
        </w:tc>
      </w:tr>
      <w:tr w:rsidR="00A12333" w14:paraId="12DDAA75" w14:textId="77777777" w:rsidTr="00A711CB">
        <w:tc>
          <w:tcPr>
            <w:tcW w:w="7513" w:type="dxa"/>
          </w:tcPr>
          <w:p w14:paraId="5DB6651C" w14:textId="28D11142" w:rsidR="00A12333" w:rsidRPr="00320980" w:rsidRDefault="00A12333" w:rsidP="00336AFD">
            <w:r>
              <w:rPr>
                <w:i/>
                <w:iCs/>
              </w:rPr>
              <w:t>R v Villaroman</w:t>
            </w:r>
            <w:r w:rsidRPr="006E0C7E">
              <w:t>, 2016 SCC 33</w:t>
            </w:r>
          </w:p>
        </w:tc>
        <w:tc>
          <w:tcPr>
            <w:tcW w:w="1837" w:type="dxa"/>
          </w:tcPr>
          <w:p w14:paraId="3951D178" w14:textId="410D30E4" w:rsidR="00A12333" w:rsidRDefault="003D4DC2" w:rsidP="00336AFD">
            <w:pPr>
              <w:jc w:val="right"/>
            </w:pPr>
            <w:r>
              <w:t>3</w:t>
            </w:r>
            <w:r w:rsidR="008B1B95">
              <w:t>8</w:t>
            </w:r>
          </w:p>
        </w:tc>
      </w:tr>
      <w:tr w:rsidR="00C37CE2" w14:paraId="73144231" w14:textId="77777777" w:rsidTr="00A711CB">
        <w:tc>
          <w:tcPr>
            <w:tcW w:w="7513" w:type="dxa"/>
          </w:tcPr>
          <w:p w14:paraId="0626663C" w14:textId="77777777" w:rsidR="00C37CE2" w:rsidRDefault="00C37CE2" w:rsidP="00336AFD">
            <w:pPr>
              <w:rPr>
                <w:i/>
                <w:iCs/>
              </w:rPr>
            </w:pPr>
          </w:p>
        </w:tc>
        <w:tc>
          <w:tcPr>
            <w:tcW w:w="1837" w:type="dxa"/>
          </w:tcPr>
          <w:p w14:paraId="0A2CC87E" w14:textId="77777777" w:rsidR="00C37CE2" w:rsidRDefault="00C37CE2" w:rsidP="00336AFD">
            <w:pPr>
              <w:jc w:val="right"/>
            </w:pPr>
          </w:p>
        </w:tc>
      </w:tr>
      <w:tr w:rsidR="00A12333" w14:paraId="0610D7B6" w14:textId="77777777" w:rsidTr="00A711CB">
        <w:tc>
          <w:tcPr>
            <w:tcW w:w="7513" w:type="dxa"/>
          </w:tcPr>
          <w:p w14:paraId="4A817EE2" w14:textId="778FE6B1" w:rsidR="00A12333" w:rsidRPr="00320980" w:rsidRDefault="00A12333" w:rsidP="00336AFD">
            <w:r>
              <w:rPr>
                <w:i/>
                <w:iCs/>
                <w:lang w:val="en-US"/>
              </w:rPr>
              <w:t>The Corporation of the Municipality of Marmora and Lake v His Majesty the King in Right of Ontario</w:t>
            </w:r>
            <w:r>
              <w:rPr>
                <w:lang w:val="en-US"/>
              </w:rPr>
              <w:t xml:space="preserve">, 2024 ONSC 2254 (CanLII), </w:t>
            </w:r>
            <w:r w:rsidRPr="006E0C7E">
              <w:t>aff’d 2025 ONCA 10 (CanLII)</w:t>
            </w:r>
          </w:p>
        </w:tc>
        <w:tc>
          <w:tcPr>
            <w:tcW w:w="1837" w:type="dxa"/>
          </w:tcPr>
          <w:p w14:paraId="64ED7E3D" w14:textId="7512A379" w:rsidR="00A12333" w:rsidRDefault="008B1B95" w:rsidP="00336AFD">
            <w:pPr>
              <w:jc w:val="right"/>
            </w:pPr>
            <w:r>
              <w:t>6</w:t>
            </w:r>
            <w:r w:rsidR="003B13A3">
              <w:t>7</w:t>
            </w:r>
            <w:r w:rsidR="00805C55">
              <w:t xml:space="preserve">, </w:t>
            </w:r>
            <w:r w:rsidR="003B13A3">
              <w:t>68</w:t>
            </w:r>
          </w:p>
        </w:tc>
      </w:tr>
      <w:tr w:rsidR="00C37CE2" w14:paraId="41F1CC81" w14:textId="77777777" w:rsidTr="00A711CB">
        <w:tc>
          <w:tcPr>
            <w:tcW w:w="7513" w:type="dxa"/>
          </w:tcPr>
          <w:p w14:paraId="787F97C5" w14:textId="77777777" w:rsidR="00C37CE2" w:rsidRDefault="00C37CE2" w:rsidP="00336AFD">
            <w:pPr>
              <w:rPr>
                <w:i/>
                <w:iCs/>
                <w:lang w:val="en-US"/>
              </w:rPr>
            </w:pPr>
          </w:p>
        </w:tc>
        <w:tc>
          <w:tcPr>
            <w:tcW w:w="1837" w:type="dxa"/>
          </w:tcPr>
          <w:p w14:paraId="51EE66FD" w14:textId="77777777" w:rsidR="00C37CE2" w:rsidRDefault="00C37CE2" w:rsidP="00336AFD">
            <w:pPr>
              <w:jc w:val="right"/>
            </w:pPr>
          </w:p>
        </w:tc>
      </w:tr>
      <w:tr w:rsidR="00A12333" w14:paraId="63E03309" w14:textId="77777777" w:rsidTr="00A711CB">
        <w:tc>
          <w:tcPr>
            <w:tcW w:w="7513" w:type="dxa"/>
          </w:tcPr>
          <w:p w14:paraId="7D0774ED" w14:textId="53292D42" w:rsidR="00A12333" w:rsidRPr="00320980" w:rsidRDefault="00A12333" w:rsidP="00336AFD">
            <w:r>
              <w:rPr>
                <w:i/>
                <w:iCs/>
                <w:lang w:val="en-US"/>
              </w:rPr>
              <w:t>Wawanesa Mutual Insurance Co v Axa Insurance (Canada)</w:t>
            </w:r>
            <w:r>
              <w:rPr>
                <w:lang w:val="en-US"/>
              </w:rPr>
              <w:t>, 2012 ONCA 592 (CanLII)</w:t>
            </w:r>
          </w:p>
        </w:tc>
        <w:tc>
          <w:tcPr>
            <w:tcW w:w="1837" w:type="dxa"/>
          </w:tcPr>
          <w:p w14:paraId="221D94BF" w14:textId="69ABADD2" w:rsidR="00A12333" w:rsidRDefault="001D6945" w:rsidP="00336AFD">
            <w:pPr>
              <w:jc w:val="right"/>
            </w:pPr>
            <w:r>
              <w:t>7</w:t>
            </w:r>
            <w:r w:rsidR="00E70473">
              <w:t>2</w:t>
            </w:r>
            <w:r>
              <w:t xml:space="preserve">, </w:t>
            </w:r>
            <w:r w:rsidR="00E70473">
              <w:t>9</w:t>
            </w:r>
            <w:r w:rsidR="00843D30">
              <w:t>9</w:t>
            </w:r>
          </w:p>
        </w:tc>
      </w:tr>
      <w:tr w:rsidR="00C37CE2" w14:paraId="10C64EE7" w14:textId="77777777" w:rsidTr="00A711CB">
        <w:tc>
          <w:tcPr>
            <w:tcW w:w="7513" w:type="dxa"/>
          </w:tcPr>
          <w:p w14:paraId="2859C6B4" w14:textId="77777777" w:rsidR="00C37CE2" w:rsidRDefault="00C37CE2" w:rsidP="00336AFD">
            <w:pPr>
              <w:rPr>
                <w:i/>
                <w:iCs/>
                <w:lang w:val="en-US"/>
              </w:rPr>
            </w:pPr>
          </w:p>
        </w:tc>
        <w:tc>
          <w:tcPr>
            <w:tcW w:w="1837" w:type="dxa"/>
          </w:tcPr>
          <w:p w14:paraId="1728BC23" w14:textId="77777777" w:rsidR="00C37CE2" w:rsidRDefault="00C37CE2" w:rsidP="00336AFD">
            <w:pPr>
              <w:jc w:val="right"/>
            </w:pPr>
          </w:p>
        </w:tc>
      </w:tr>
      <w:tr w:rsidR="00A12333" w14:paraId="6203B06C" w14:textId="77777777" w:rsidTr="00A711CB">
        <w:tc>
          <w:tcPr>
            <w:tcW w:w="7513" w:type="dxa"/>
          </w:tcPr>
          <w:p w14:paraId="67A72228" w14:textId="0BFE7810" w:rsidR="00A12333" w:rsidRPr="00320980" w:rsidRDefault="00A12333" w:rsidP="00336AFD">
            <w:r>
              <w:rPr>
                <w:i/>
                <w:iCs/>
                <w:lang w:val="en-US"/>
              </w:rPr>
              <w:t>Wildlands League v Ontario (Natural Resources and Forestry)</w:t>
            </w:r>
            <w:r>
              <w:rPr>
                <w:lang w:val="en-US"/>
              </w:rPr>
              <w:t>, 2016 ONCA 741 (CanLII) </w:t>
            </w:r>
          </w:p>
        </w:tc>
        <w:tc>
          <w:tcPr>
            <w:tcW w:w="1837" w:type="dxa"/>
          </w:tcPr>
          <w:p w14:paraId="11D636DE" w14:textId="5BE70220" w:rsidR="00A12333" w:rsidRDefault="00BF5308" w:rsidP="00336AFD">
            <w:pPr>
              <w:jc w:val="right"/>
            </w:pPr>
            <w:r>
              <w:t>9</w:t>
            </w:r>
            <w:r w:rsidR="00AF1A16">
              <w:t>3</w:t>
            </w:r>
            <w:r>
              <w:t>, 9</w:t>
            </w:r>
            <w:r w:rsidR="00AF1A16">
              <w:t>4</w:t>
            </w:r>
          </w:p>
        </w:tc>
      </w:tr>
      <w:tr w:rsidR="00A12333" w14:paraId="4A59624B" w14:textId="77777777" w:rsidTr="00A711CB">
        <w:tc>
          <w:tcPr>
            <w:tcW w:w="7513" w:type="dxa"/>
          </w:tcPr>
          <w:p w14:paraId="183ADB31" w14:textId="77777777" w:rsidR="00A12333" w:rsidRPr="00320980" w:rsidRDefault="00A12333" w:rsidP="00336AFD"/>
        </w:tc>
        <w:tc>
          <w:tcPr>
            <w:tcW w:w="1837" w:type="dxa"/>
          </w:tcPr>
          <w:p w14:paraId="24F79D47" w14:textId="77777777" w:rsidR="00A12333" w:rsidRDefault="00A12333" w:rsidP="00336AFD">
            <w:pPr>
              <w:jc w:val="right"/>
            </w:pPr>
          </w:p>
        </w:tc>
      </w:tr>
      <w:tr w:rsidR="00A711CB" w14:paraId="2B71BED5" w14:textId="77777777" w:rsidTr="00A711CB">
        <w:tc>
          <w:tcPr>
            <w:tcW w:w="7513" w:type="dxa"/>
          </w:tcPr>
          <w:p w14:paraId="67BC48E5" w14:textId="77777777" w:rsidR="00A711CB" w:rsidRPr="00320980" w:rsidRDefault="00A711CB" w:rsidP="00336AFD"/>
        </w:tc>
        <w:tc>
          <w:tcPr>
            <w:tcW w:w="1837" w:type="dxa"/>
          </w:tcPr>
          <w:p w14:paraId="3D456CF5" w14:textId="77777777" w:rsidR="00A711CB" w:rsidRDefault="00A711CB" w:rsidP="00336AFD">
            <w:pPr>
              <w:jc w:val="right"/>
            </w:pPr>
          </w:p>
        </w:tc>
      </w:tr>
      <w:tr w:rsidR="00A12333" w14:paraId="6B7EAF3A" w14:textId="77777777" w:rsidTr="00A711CB">
        <w:tc>
          <w:tcPr>
            <w:tcW w:w="7513" w:type="dxa"/>
          </w:tcPr>
          <w:p w14:paraId="0B0D7A6D" w14:textId="7B95CDD2" w:rsidR="00A12333" w:rsidRPr="00336AFD" w:rsidRDefault="00A12333" w:rsidP="00041446">
            <w:pPr>
              <w:spacing w:after="120"/>
              <w:jc w:val="center"/>
              <w:rPr>
                <w:b/>
                <w:bCs/>
              </w:rPr>
            </w:pPr>
            <w:r w:rsidRPr="00336AFD">
              <w:rPr>
                <w:b/>
                <w:bCs/>
              </w:rPr>
              <w:t>SECONDARY MATERIALS</w:t>
            </w:r>
          </w:p>
        </w:tc>
        <w:tc>
          <w:tcPr>
            <w:tcW w:w="1837" w:type="dxa"/>
          </w:tcPr>
          <w:p w14:paraId="1F1E6112" w14:textId="77777777" w:rsidR="00A12333" w:rsidRDefault="00A12333" w:rsidP="00336AFD">
            <w:pPr>
              <w:jc w:val="right"/>
            </w:pPr>
          </w:p>
        </w:tc>
      </w:tr>
      <w:tr w:rsidR="00DD4CF7" w14:paraId="3CB7238D" w14:textId="77777777" w:rsidTr="00A711CB">
        <w:tc>
          <w:tcPr>
            <w:tcW w:w="7513" w:type="dxa"/>
          </w:tcPr>
          <w:p w14:paraId="04E77BAE" w14:textId="7A810634" w:rsidR="00DD4CF7" w:rsidRPr="00320980" w:rsidRDefault="00DD4CF7" w:rsidP="00336AFD">
            <w:r w:rsidRPr="0052585F">
              <w:t>“Bill 5, Protect Ontario by Unleashing our Economy Act, 2025”, 2nd reading, Legislative Assembly of Ontario, </w:t>
            </w:r>
            <w:r>
              <w:rPr>
                <w:i/>
                <w:iCs/>
              </w:rPr>
              <w:t>Official Report of Debates (Hansard)</w:t>
            </w:r>
            <w:r w:rsidRPr="0052585F">
              <w:t>, 44-1, No 5 (29 April 2025)</w:t>
            </w:r>
          </w:p>
        </w:tc>
        <w:tc>
          <w:tcPr>
            <w:tcW w:w="1837" w:type="dxa"/>
          </w:tcPr>
          <w:p w14:paraId="3F806BDF" w14:textId="78C66225" w:rsidR="00DD4CF7" w:rsidRDefault="001E0D9E" w:rsidP="00336AFD">
            <w:pPr>
              <w:jc w:val="right"/>
            </w:pPr>
            <w:r>
              <w:t>9</w:t>
            </w:r>
            <w:r w:rsidR="00426C57">
              <w:t>6</w:t>
            </w:r>
            <w:r>
              <w:t xml:space="preserve">, </w:t>
            </w:r>
            <w:r w:rsidR="006D53E0">
              <w:t>9</w:t>
            </w:r>
            <w:r w:rsidR="00426C57">
              <w:t>7</w:t>
            </w:r>
          </w:p>
        </w:tc>
      </w:tr>
      <w:tr w:rsidR="00C37CE2" w14:paraId="763AC502" w14:textId="77777777" w:rsidTr="00A711CB">
        <w:tc>
          <w:tcPr>
            <w:tcW w:w="7513" w:type="dxa"/>
          </w:tcPr>
          <w:p w14:paraId="2C1E8EF4" w14:textId="77777777" w:rsidR="00C37CE2" w:rsidRPr="0052585F" w:rsidRDefault="00C37CE2" w:rsidP="00336AFD"/>
        </w:tc>
        <w:tc>
          <w:tcPr>
            <w:tcW w:w="1837" w:type="dxa"/>
          </w:tcPr>
          <w:p w14:paraId="2B5EFDC9" w14:textId="77777777" w:rsidR="00C37CE2" w:rsidRDefault="00C37CE2" w:rsidP="00336AFD">
            <w:pPr>
              <w:jc w:val="right"/>
            </w:pPr>
          </w:p>
        </w:tc>
      </w:tr>
      <w:tr w:rsidR="00DD4CF7" w14:paraId="27CF3233" w14:textId="77777777" w:rsidTr="00A711CB">
        <w:tc>
          <w:tcPr>
            <w:tcW w:w="7513" w:type="dxa"/>
          </w:tcPr>
          <w:p w14:paraId="513FFE0C" w14:textId="68F5CB43" w:rsidR="00DD4CF7" w:rsidRPr="00320980" w:rsidRDefault="00DD4CF7" w:rsidP="00336AFD">
            <w:r w:rsidRPr="0052585F">
              <w:t>Bryan A Garner, ed, </w:t>
            </w:r>
            <w:r>
              <w:rPr>
                <w:i/>
                <w:iCs/>
              </w:rPr>
              <w:t>Black’s Law Dictionary</w:t>
            </w:r>
            <w:r w:rsidRPr="0052585F">
              <w:t>, 12th ed (Toronto: Thomson Reuters, 2024) </w:t>
            </w:r>
            <w:r>
              <w:rPr>
                <w:i/>
                <w:iCs/>
              </w:rPr>
              <w:t>sub verbo</w:t>
            </w:r>
            <w:r w:rsidRPr="0052585F">
              <w:t> “habitual”</w:t>
            </w:r>
          </w:p>
        </w:tc>
        <w:tc>
          <w:tcPr>
            <w:tcW w:w="1837" w:type="dxa"/>
          </w:tcPr>
          <w:p w14:paraId="1F01EC33" w14:textId="2061FEFC" w:rsidR="00DD4CF7" w:rsidRDefault="00CE121A" w:rsidP="00336AFD">
            <w:pPr>
              <w:jc w:val="right"/>
            </w:pPr>
            <w:r>
              <w:t>9</w:t>
            </w:r>
            <w:r w:rsidR="0002139E">
              <w:t>1</w:t>
            </w:r>
          </w:p>
        </w:tc>
      </w:tr>
      <w:tr w:rsidR="00C37CE2" w14:paraId="44965F12" w14:textId="77777777" w:rsidTr="00A711CB">
        <w:tc>
          <w:tcPr>
            <w:tcW w:w="7513" w:type="dxa"/>
          </w:tcPr>
          <w:p w14:paraId="713CCCF1" w14:textId="77777777" w:rsidR="00C37CE2" w:rsidRPr="0052585F" w:rsidRDefault="00C37CE2" w:rsidP="00336AFD"/>
        </w:tc>
        <w:tc>
          <w:tcPr>
            <w:tcW w:w="1837" w:type="dxa"/>
          </w:tcPr>
          <w:p w14:paraId="448F32A3" w14:textId="77777777" w:rsidR="00C37CE2" w:rsidRDefault="00C37CE2" w:rsidP="00336AFD">
            <w:pPr>
              <w:jc w:val="right"/>
            </w:pPr>
          </w:p>
        </w:tc>
      </w:tr>
      <w:tr w:rsidR="00DD4CF7" w14:paraId="1D6B893A" w14:textId="77777777" w:rsidTr="00A711CB">
        <w:tc>
          <w:tcPr>
            <w:tcW w:w="7513" w:type="dxa"/>
          </w:tcPr>
          <w:p w14:paraId="1ECEA956" w14:textId="3883A80D" w:rsidR="00DD4CF7" w:rsidRPr="00320980" w:rsidRDefault="00DD4CF7" w:rsidP="00336AFD">
            <w:r w:rsidRPr="0052585F">
              <w:t>Lorne Sossin &amp; Chantelle van Wiltenburg, “The Puzzle of Soft Law” (2021) 58:3 Osgoode Hall LJ 623</w:t>
            </w:r>
          </w:p>
        </w:tc>
        <w:tc>
          <w:tcPr>
            <w:tcW w:w="1837" w:type="dxa"/>
          </w:tcPr>
          <w:p w14:paraId="79431437" w14:textId="051C84CD" w:rsidR="00DD4CF7" w:rsidRDefault="00E47563" w:rsidP="00336AFD">
            <w:pPr>
              <w:jc w:val="right"/>
            </w:pPr>
            <w:r>
              <w:t>7</w:t>
            </w:r>
            <w:r w:rsidR="00F17D7A">
              <w:t>7</w:t>
            </w:r>
          </w:p>
        </w:tc>
      </w:tr>
      <w:tr w:rsidR="00C37CE2" w14:paraId="5D98B5B7" w14:textId="77777777" w:rsidTr="00A711CB">
        <w:tc>
          <w:tcPr>
            <w:tcW w:w="7513" w:type="dxa"/>
          </w:tcPr>
          <w:p w14:paraId="3124C9C1" w14:textId="77777777" w:rsidR="00C37CE2" w:rsidRPr="0052585F" w:rsidRDefault="00C37CE2" w:rsidP="00336AFD"/>
        </w:tc>
        <w:tc>
          <w:tcPr>
            <w:tcW w:w="1837" w:type="dxa"/>
          </w:tcPr>
          <w:p w14:paraId="6B5CAE54" w14:textId="77777777" w:rsidR="00C37CE2" w:rsidRDefault="00C37CE2" w:rsidP="00336AFD">
            <w:pPr>
              <w:jc w:val="right"/>
            </w:pPr>
          </w:p>
        </w:tc>
      </w:tr>
      <w:tr w:rsidR="00DD4CF7" w14:paraId="149D6718" w14:textId="77777777" w:rsidTr="00A711CB">
        <w:tc>
          <w:tcPr>
            <w:tcW w:w="7513" w:type="dxa"/>
          </w:tcPr>
          <w:p w14:paraId="0C045B79" w14:textId="2DD2C4FA" w:rsidR="00DD4CF7" w:rsidRPr="00320980" w:rsidRDefault="00DD4CF7" w:rsidP="00336AFD">
            <w:r>
              <w:rPr>
                <w:lang w:val="en-US"/>
              </w:rPr>
              <w:t>Michael Proffitt, ed, </w:t>
            </w:r>
            <w:r>
              <w:rPr>
                <w:i/>
                <w:iCs/>
                <w:lang w:val="en-US"/>
              </w:rPr>
              <w:t>Oxford English Dictionary</w:t>
            </w:r>
            <w:r>
              <w:rPr>
                <w:lang w:val="en-US"/>
              </w:rPr>
              <w:t>, 3rd ed (Oxford: Oxford University Press, 2025) </w:t>
            </w:r>
            <w:r>
              <w:rPr>
                <w:i/>
                <w:iCs/>
                <w:lang w:val="en-US"/>
              </w:rPr>
              <w:t>sub verbo </w:t>
            </w:r>
            <w:r>
              <w:rPr>
                <w:lang w:val="en-US"/>
              </w:rPr>
              <w:t>“dependent”</w:t>
            </w:r>
          </w:p>
        </w:tc>
        <w:tc>
          <w:tcPr>
            <w:tcW w:w="1837" w:type="dxa"/>
          </w:tcPr>
          <w:p w14:paraId="1E35E4F6" w14:textId="05A5AF11" w:rsidR="00DD4CF7" w:rsidRDefault="00F17D7A" w:rsidP="00336AFD">
            <w:pPr>
              <w:jc w:val="right"/>
            </w:pPr>
            <w:r>
              <w:t>58</w:t>
            </w:r>
          </w:p>
        </w:tc>
      </w:tr>
      <w:tr w:rsidR="00C37CE2" w14:paraId="6B5AD4BA" w14:textId="77777777" w:rsidTr="00A711CB">
        <w:tc>
          <w:tcPr>
            <w:tcW w:w="7513" w:type="dxa"/>
          </w:tcPr>
          <w:p w14:paraId="5F2D9A92" w14:textId="77777777" w:rsidR="00C37CE2" w:rsidRDefault="00C37CE2" w:rsidP="00336AFD">
            <w:pPr>
              <w:rPr>
                <w:lang w:val="en-US"/>
              </w:rPr>
            </w:pPr>
          </w:p>
        </w:tc>
        <w:tc>
          <w:tcPr>
            <w:tcW w:w="1837" w:type="dxa"/>
          </w:tcPr>
          <w:p w14:paraId="738FB68A" w14:textId="77777777" w:rsidR="00C37CE2" w:rsidRDefault="00C37CE2" w:rsidP="00336AFD">
            <w:pPr>
              <w:jc w:val="right"/>
            </w:pPr>
          </w:p>
        </w:tc>
      </w:tr>
      <w:tr w:rsidR="00DD4CF7" w14:paraId="2DE63777" w14:textId="77777777" w:rsidTr="00A711CB">
        <w:tc>
          <w:tcPr>
            <w:tcW w:w="7513" w:type="dxa"/>
          </w:tcPr>
          <w:p w14:paraId="657372C3" w14:textId="39A827EA" w:rsidR="00DD4CF7" w:rsidRPr="00320980" w:rsidRDefault="00DD4CF7" w:rsidP="00336AFD">
            <w:r w:rsidRPr="0052585F">
              <w:t>Ministry of the Environment, Conservation and Parks, “Blanding’s Turtle General Habitat Description” (last modified March 2021), online (pdf)</w:t>
            </w:r>
          </w:p>
        </w:tc>
        <w:tc>
          <w:tcPr>
            <w:tcW w:w="1837" w:type="dxa"/>
          </w:tcPr>
          <w:p w14:paraId="19069DF3" w14:textId="291B4351" w:rsidR="00DD4CF7" w:rsidRDefault="001B0C57" w:rsidP="00336AFD">
            <w:pPr>
              <w:jc w:val="right"/>
            </w:pPr>
            <w:r>
              <w:t>1</w:t>
            </w:r>
            <w:r w:rsidR="00FE78BC">
              <w:t>4</w:t>
            </w:r>
            <w:r>
              <w:t xml:space="preserve">, </w:t>
            </w:r>
            <w:r w:rsidR="00985687">
              <w:t>1</w:t>
            </w:r>
            <w:r w:rsidR="00FE78BC">
              <w:t>5</w:t>
            </w:r>
            <w:r w:rsidR="00985687">
              <w:t>, 7</w:t>
            </w:r>
            <w:r w:rsidR="00407628">
              <w:t>6</w:t>
            </w:r>
            <w:r w:rsidR="00985687">
              <w:t>, 8</w:t>
            </w:r>
            <w:r w:rsidR="007E7AF9">
              <w:t>8</w:t>
            </w:r>
          </w:p>
        </w:tc>
      </w:tr>
      <w:tr w:rsidR="00C37CE2" w14:paraId="301309C3" w14:textId="77777777" w:rsidTr="00A711CB">
        <w:tc>
          <w:tcPr>
            <w:tcW w:w="7513" w:type="dxa"/>
          </w:tcPr>
          <w:p w14:paraId="1F37ADE6" w14:textId="77777777" w:rsidR="00C37CE2" w:rsidRPr="00111B75" w:rsidRDefault="00C37CE2" w:rsidP="00336AFD"/>
        </w:tc>
        <w:tc>
          <w:tcPr>
            <w:tcW w:w="1837" w:type="dxa"/>
          </w:tcPr>
          <w:p w14:paraId="36171F28" w14:textId="77777777" w:rsidR="00C37CE2" w:rsidRDefault="00C37CE2" w:rsidP="00336AFD">
            <w:pPr>
              <w:jc w:val="right"/>
            </w:pPr>
          </w:p>
        </w:tc>
      </w:tr>
      <w:tr w:rsidR="00DD4CF7" w14:paraId="4925D9D1" w14:textId="77777777" w:rsidTr="00A711CB">
        <w:tc>
          <w:tcPr>
            <w:tcW w:w="7513" w:type="dxa"/>
          </w:tcPr>
          <w:p w14:paraId="667FA296" w14:textId="1C2455D6" w:rsidR="00DD4CF7" w:rsidRPr="00320980" w:rsidRDefault="00DD4CF7" w:rsidP="00336AFD">
            <w:r w:rsidRPr="0052585F">
              <w:t>Ontario, Ministry of the Environment, Conservation and Parks, </w:t>
            </w:r>
            <w:r>
              <w:rPr>
                <w:i/>
                <w:iCs/>
              </w:rPr>
              <w:t>Blanding’s Turtle</w:t>
            </w:r>
            <w:r w:rsidRPr="0052585F">
              <w:t> </w:t>
            </w:r>
            <w:r>
              <w:rPr>
                <w:i/>
                <w:iCs/>
              </w:rPr>
              <w:t>(Emydoidea blandingii) in Ontario</w:t>
            </w:r>
            <w:r w:rsidRPr="0052585F">
              <w:t>, Ontario Recovery Strategy Series (Toronto: MECP, 2019)</w:t>
            </w:r>
          </w:p>
        </w:tc>
        <w:tc>
          <w:tcPr>
            <w:tcW w:w="1837" w:type="dxa"/>
          </w:tcPr>
          <w:p w14:paraId="498D348D" w14:textId="30D9231D" w:rsidR="00DD4CF7" w:rsidRDefault="00E74B51" w:rsidP="00336AFD">
            <w:pPr>
              <w:jc w:val="right"/>
            </w:pPr>
            <w:r>
              <w:t>8</w:t>
            </w:r>
            <w:r w:rsidR="00916BF2">
              <w:t>7</w:t>
            </w:r>
            <w:r>
              <w:t xml:space="preserve">, </w:t>
            </w:r>
            <w:r w:rsidR="005A3D5B">
              <w:t>8</w:t>
            </w:r>
            <w:r w:rsidR="00916BF2">
              <w:t>8</w:t>
            </w:r>
          </w:p>
        </w:tc>
      </w:tr>
      <w:tr w:rsidR="00C37CE2" w14:paraId="03849878" w14:textId="77777777" w:rsidTr="00A711CB">
        <w:tc>
          <w:tcPr>
            <w:tcW w:w="7513" w:type="dxa"/>
          </w:tcPr>
          <w:p w14:paraId="4DE4E26C" w14:textId="77777777" w:rsidR="00C37CE2" w:rsidRPr="0052585F" w:rsidRDefault="00C37CE2" w:rsidP="00336AFD"/>
        </w:tc>
        <w:tc>
          <w:tcPr>
            <w:tcW w:w="1837" w:type="dxa"/>
          </w:tcPr>
          <w:p w14:paraId="60CF15CF" w14:textId="77777777" w:rsidR="00C37CE2" w:rsidRDefault="00C37CE2" w:rsidP="00336AFD">
            <w:pPr>
              <w:jc w:val="right"/>
            </w:pPr>
          </w:p>
        </w:tc>
      </w:tr>
      <w:tr w:rsidR="00DD4CF7" w14:paraId="3A80DADD" w14:textId="77777777" w:rsidTr="00A711CB">
        <w:tc>
          <w:tcPr>
            <w:tcW w:w="7513" w:type="dxa"/>
          </w:tcPr>
          <w:p w14:paraId="2EC0F6D1" w14:textId="5777B611" w:rsidR="00DD4CF7" w:rsidRPr="00320980" w:rsidRDefault="00DD4CF7" w:rsidP="00336AFD">
            <w:r>
              <w:rPr>
                <w:lang w:val="en-US"/>
              </w:rPr>
              <w:t>Ontario, Ministry of the Environment, Conservation and Parks, </w:t>
            </w:r>
            <w:r>
              <w:rPr>
                <w:i/>
                <w:iCs/>
                <w:lang w:val="en-US"/>
              </w:rPr>
              <w:t>Categorizing and Protecting Habitat under the Endangered Species Act </w:t>
            </w:r>
            <w:r>
              <w:rPr>
                <w:lang w:val="en-US"/>
              </w:rPr>
              <w:t xml:space="preserve">(Toronto: MECP, 2012) </w:t>
            </w:r>
          </w:p>
        </w:tc>
        <w:tc>
          <w:tcPr>
            <w:tcW w:w="1837" w:type="dxa"/>
          </w:tcPr>
          <w:p w14:paraId="3BC97456" w14:textId="22D3DE0F" w:rsidR="00DD4CF7" w:rsidRDefault="00B5410C" w:rsidP="00336AFD">
            <w:pPr>
              <w:jc w:val="right"/>
            </w:pPr>
            <w:r>
              <w:t>5</w:t>
            </w:r>
            <w:r w:rsidR="00600688">
              <w:t>5</w:t>
            </w:r>
          </w:p>
        </w:tc>
      </w:tr>
    </w:tbl>
    <w:p w14:paraId="05032E2C" w14:textId="77777777" w:rsidR="000F5B03" w:rsidRDefault="000F5B03" w:rsidP="00544EA7">
      <w:pPr>
        <w:spacing w:line="360" w:lineRule="auto"/>
      </w:pPr>
    </w:p>
    <w:p w14:paraId="33665C20" w14:textId="77777777" w:rsidR="00700043" w:rsidRDefault="00700043" w:rsidP="008D22C7"/>
    <w:p w14:paraId="7BB8EEEE" w14:textId="77777777" w:rsidR="00A61F85" w:rsidRDefault="00A61F85" w:rsidP="008D22C7"/>
    <w:p w14:paraId="60F810E2" w14:textId="77777777" w:rsidR="00A61F85" w:rsidRDefault="00A61F85" w:rsidP="008D22C7"/>
    <w:p w14:paraId="315D2776" w14:textId="77777777" w:rsidR="000C1C30" w:rsidRDefault="000C1C30" w:rsidP="008D22C7"/>
    <w:p w14:paraId="34958F7D" w14:textId="77777777" w:rsidR="00700043" w:rsidRDefault="00700043" w:rsidP="008D22C7"/>
    <w:p w14:paraId="0CC2FAFC" w14:textId="35AD3EBA" w:rsidR="002D4B8E" w:rsidRPr="002D4B8E" w:rsidRDefault="00471DA0" w:rsidP="002D4B8E">
      <w:pPr>
        <w:pStyle w:val="Heading1"/>
        <w:tabs>
          <w:tab w:val="num" w:pos="720"/>
        </w:tabs>
        <w:spacing w:before="0" w:after="0" w:line="360" w:lineRule="auto"/>
        <w:ind w:left="720" w:hanging="720"/>
        <w:rPr>
          <w:rFonts w:ascii="Times New Roman" w:hAnsi="Times New Roman"/>
          <w:sz w:val="24"/>
          <w:szCs w:val="24"/>
        </w:rPr>
      </w:pPr>
      <w:r>
        <w:br w:type="page"/>
      </w:r>
      <w:bookmarkStart w:id="36" w:name="_Toc220076121"/>
      <w:r>
        <w:rPr>
          <w:rFonts w:ascii="Times New Roman" w:hAnsi="Times New Roman"/>
          <w:sz w:val="24"/>
          <w:szCs w:val="24"/>
        </w:rPr>
        <w:lastRenderedPageBreak/>
        <w:t>LEGISLATION AT ISSUE</w:t>
      </w:r>
      <w:bookmarkEnd w:id="36"/>
      <w:r w:rsidR="0024187B">
        <w:rPr>
          <w:rFonts w:ascii="Times New Roman" w:hAnsi="Times New Roman"/>
          <w:sz w:val="24"/>
          <w:szCs w:val="24"/>
        </w:rPr>
        <w:t xml:space="preserve"> </w:t>
      </w:r>
    </w:p>
    <w:p w14:paraId="6C1A6D22" w14:textId="77777777" w:rsidR="002D4B8E" w:rsidRPr="002D4B8E" w:rsidRDefault="002D4B8E" w:rsidP="0046164A">
      <w:pPr>
        <w:spacing w:line="360" w:lineRule="auto"/>
      </w:pPr>
    </w:p>
    <w:p w14:paraId="55F43BFA" w14:textId="2D0EDFA8" w:rsidR="00FF48E0" w:rsidRDefault="006B48C4" w:rsidP="0046164A">
      <w:pPr>
        <w:spacing w:line="360" w:lineRule="auto"/>
      </w:pPr>
      <w:r w:rsidRPr="006B48C4">
        <w:rPr>
          <w:i/>
          <w:iCs/>
        </w:rPr>
        <w:t>Endangered Species Act</w:t>
      </w:r>
      <w:r w:rsidRPr="006B48C4">
        <w:t>, 2007, S.O. 2007, c. 6</w:t>
      </w:r>
      <w:r w:rsidR="00573780">
        <w:t xml:space="preserve"> </w:t>
      </w:r>
      <w:r w:rsidR="00573780" w:rsidRPr="00573780">
        <w:t>as it appeared on 20 August 2024</w:t>
      </w:r>
    </w:p>
    <w:p w14:paraId="33026F71" w14:textId="77777777" w:rsidR="006B48C4" w:rsidRDefault="006B48C4" w:rsidP="0046164A">
      <w:pPr>
        <w:spacing w:line="360" w:lineRule="auto"/>
      </w:pPr>
    </w:p>
    <w:p w14:paraId="09711465" w14:textId="5386B8C5" w:rsidR="00022451" w:rsidRDefault="00022451" w:rsidP="0046164A">
      <w:pPr>
        <w:spacing w:line="360" w:lineRule="auto"/>
        <w:rPr>
          <w:b/>
          <w:bCs/>
        </w:rPr>
      </w:pPr>
      <w:r>
        <w:rPr>
          <w:b/>
          <w:bCs/>
        </w:rPr>
        <w:t>Preamble</w:t>
      </w:r>
    </w:p>
    <w:p w14:paraId="33B1550D" w14:textId="77777777" w:rsidR="005C6FF5" w:rsidRPr="005C6FF5" w:rsidRDefault="005C6FF5" w:rsidP="0046164A">
      <w:pPr>
        <w:spacing w:line="360" w:lineRule="auto"/>
      </w:pPr>
      <w:r w:rsidRPr="005C6FF5">
        <w:t>Biological diversity is among the great treasures of our planet.  It has ecological, social, economic, cultural and intrinsic value.  Biological diversity makes many essential contributions to human life, including foods, clothing and medicines, and is an important part of sustainable social and economic development.</w:t>
      </w:r>
    </w:p>
    <w:p w14:paraId="3518931D" w14:textId="77777777" w:rsidR="005C6FF5" w:rsidRPr="005C6FF5" w:rsidRDefault="005C6FF5" w:rsidP="0046164A">
      <w:pPr>
        <w:spacing w:line="360" w:lineRule="auto"/>
      </w:pPr>
    </w:p>
    <w:p w14:paraId="0AD08CA4" w14:textId="77777777" w:rsidR="005C6FF5" w:rsidRPr="005C6FF5" w:rsidRDefault="005C6FF5" w:rsidP="0046164A">
      <w:pPr>
        <w:spacing w:line="360" w:lineRule="auto"/>
      </w:pPr>
      <w:r w:rsidRPr="005C6FF5">
        <w:t>Unfortunately, throughout the world, species of animals, plants and other organisms are being lost forever at an alarming rate.  The loss of these species is most often due to human activities, especially activities that damage the habitats of these species.  Global action is required.</w:t>
      </w:r>
    </w:p>
    <w:p w14:paraId="7DB01F87" w14:textId="77777777" w:rsidR="005C6FF5" w:rsidRPr="005C6FF5" w:rsidRDefault="005C6FF5" w:rsidP="0046164A">
      <w:pPr>
        <w:spacing w:line="360" w:lineRule="auto"/>
      </w:pPr>
    </w:p>
    <w:p w14:paraId="68B687D5" w14:textId="77777777" w:rsidR="005C6FF5" w:rsidRPr="005C6FF5" w:rsidRDefault="005C6FF5" w:rsidP="0046164A">
      <w:pPr>
        <w:spacing w:line="360" w:lineRule="auto"/>
      </w:pPr>
      <w:r w:rsidRPr="005C6FF5">
        <w:t>The United Nations Convention on Biological Diversity takes note of the precautionary principle, which, as described in the Convention, states that, where there is a threat of significant reduction or loss of biological diversity, lack of full scientific certainty should not be used as a reason for postponing measures to avoid or minimize such a threat.</w:t>
      </w:r>
    </w:p>
    <w:p w14:paraId="3D85F815" w14:textId="77777777" w:rsidR="005C6FF5" w:rsidRPr="005C6FF5" w:rsidRDefault="005C6FF5" w:rsidP="0046164A">
      <w:pPr>
        <w:spacing w:line="360" w:lineRule="auto"/>
      </w:pPr>
    </w:p>
    <w:p w14:paraId="173936F2" w14:textId="578B0137" w:rsidR="00022451" w:rsidRPr="005C6FF5" w:rsidRDefault="005C6FF5" w:rsidP="0046164A">
      <w:pPr>
        <w:spacing w:line="360" w:lineRule="auto"/>
      </w:pPr>
      <w:r w:rsidRPr="005C6FF5">
        <w:t>In Ontario, our native species are a vital component of our precious natural heritage.  The people of Ontario wish to do their part in protecting species that are at risk, with appropriate regard to social, economic and cultural considerations.  The present generation of Ontarians should protect species at risk for future generations.</w:t>
      </w:r>
    </w:p>
    <w:p w14:paraId="66C5DDB2" w14:textId="77777777" w:rsidR="00022451" w:rsidRDefault="00022451" w:rsidP="0046164A">
      <w:pPr>
        <w:spacing w:line="360" w:lineRule="auto"/>
        <w:rPr>
          <w:b/>
          <w:bCs/>
        </w:rPr>
      </w:pPr>
    </w:p>
    <w:p w14:paraId="0116959B" w14:textId="05DE1611" w:rsidR="00B04FF9" w:rsidRPr="00B04FF9" w:rsidRDefault="00B04FF9" w:rsidP="0046164A">
      <w:pPr>
        <w:spacing w:line="360" w:lineRule="auto"/>
        <w:rPr>
          <w:b/>
          <w:bCs/>
        </w:rPr>
      </w:pPr>
      <w:r w:rsidRPr="00B04FF9">
        <w:rPr>
          <w:b/>
          <w:bCs/>
        </w:rPr>
        <w:t>Purposes</w:t>
      </w:r>
    </w:p>
    <w:p w14:paraId="1B15D7FA" w14:textId="5BF85B9C" w:rsidR="00B056A0" w:rsidRDefault="00B056A0" w:rsidP="0046164A">
      <w:pPr>
        <w:spacing w:line="360" w:lineRule="auto"/>
      </w:pPr>
      <w:r w:rsidRPr="00B04FF9">
        <w:rPr>
          <w:b/>
          <w:bCs/>
        </w:rPr>
        <w:t>1</w:t>
      </w:r>
      <w:r>
        <w:t xml:space="preserve"> The purposes of this Act are:</w:t>
      </w:r>
    </w:p>
    <w:p w14:paraId="115E6D2F" w14:textId="70FEE18D" w:rsidR="00B056A0" w:rsidRDefault="00B056A0" w:rsidP="0046164A">
      <w:pPr>
        <w:pStyle w:val="ListParagraph"/>
        <w:numPr>
          <w:ilvl w:val="0"/>
          <w:numId w:val="16"/>
        </w:numPr>
        <w:spacing w:line="360" w:lineRule="auto"/>
      </w:pPr>
      <w:r>
        <w:t xml:space="preserve">To </w:t>
      </w:r>
      <w:r w:rsidR="00EE3670">
        <w:t>i</w:t>
      </w:r>
      <w:r w:rsidR="00EE3670" w:rsidRPr="00EE3670">
        <w:t>dentify species at risk based on the best available scientific information, including information obtained from community knowledge and aboriginal traditional knowledge.</w:t>
      </w:r>
    </w:p>
    <w:p w14:paraId="395AEBD2" w14:textId="2662BE52" w:rsidR="00EE3670" w:rsidRDefault="00EE3670" w:rsidP="0046164A">
      <w:pPr>
        <w:pStyle w:val="ListParagraph"/>
        <w:numPr>
          <w:ilvl w:val="0"/>
          <w:numId w:val="16"/>
        </w:numPr>
        <w:spacing w:line="360" w:lineRule="auto"/>
      </w:pPr>
      <w:r>
        <w:t xml:space="preserve">To </w:t>
      </w:r>
      <w:r w:rsidR="00A37AAF" w:rsidRPr="00A37AAF">
        <w:t>protect species that are at risk and their habitats, and to promote the recovery of species that are at risk.</w:t>
      </w:r>
    </w:p>
    <w:p w14:paraId="3E8B202B" w14:textId="1F9FBED4" w:rsidR="00A37AAF" w:rsidRDefault="00DC6C35" w:rsidP="0046164A">
      <w:pPr>
        <w:pStyle w:val="ListParagraph"/>
        <w:numPr>
          <w:ilvl w:val="0"/>
          <w:numId w:val="16"/>
        </w:numPr>
        <w:spacing w:line="360" w:lineRule="auto"/>
      </w:pPr>
      <w:r w:rsidRPr="00DC6C35">
        <w:lastRenderedPageBreak/>
        <w:t>To promote stewardship activities to assist in the protection and recovery of species that are at risk.</w:t>
      </w:r>
    </w:p>
    <w:p w14:paraId="131A3F12" w14:textId="1F8FE471" w:rsidR="00B04FF9" w:rsidRDefault="00B04FF9" w:rsidP="0046164A">
      <w:pPr>
        <w:spacing w:line="360" w:lineRule="auto"/>
      </w:pPr>
    </w:p>
    <w:p w14:paraId="012A12A8" w14:textId="7F85D0AF" w:rsidR="00B04FF9" w:rsidRPr="00B04FF9" w:rsidRDefault="00B04FF9" w:rsidP="0046164A">
      <w:pPr>
        <w:spacing w:line="360" w:lineRule="auto"/>
        <w:rPr>
          <w:b/>
          <w:bCs/>
        </w:rPr>
      </w:pPr>
      <w:r w:rsidRPr="00B04FF9">
        <w:rPr>
          <w:b/>
          <w:bCs/>
        </w:rPr>
        <w:t>Definitions</w:t>
      </w:r>
    </w:p>
    <w:p w14:paraId="50AEA6FB" w14:textId="434B04E3" w:rsidR="00B04FF9" w:rsidRDefault="00B04FF9" w:rsidP="0046164A">
      <w:pPr>
        <w:spacing w:line="360" w:lineRule="auto"/>
      </w:pPr>
      <w:r w:rsidRPr="00B04FF9">
        <w:rPr>
          <w:b/>
          <w:bCs/>
        </w:rPr>
        <w:t>2</w:t>
      </w:r>
      <w:r>
        <w:t xml:space="preserve"> (1) In this Act,</w:t>
      </w:r>
    </w:p>
    <w:p w14:paraId="66CD4CE9" w14:textId="232578C0" w:rsidR="00927AA9" w:rsidRDefault="00927AA9" w:rsidP="0046164A">
      <w:pPr>
        <w:spacing w:line="360" w:lineRule="auto"/>
        <w:ind w:firstLine="720"/>
      </w:pPr>
      <w:r>
        <w:t xml:space="preserve">“habitat” means, </w:t>
      </w:r>
    </w:p>
    <w:p w14:paraId="169CF316" w14:textId="3D8F3B47" w:rsidR="00DF3827" w:rsidRDefault="00927AA9" w:rsidP="0046164A">
      <w:pPr>
        <w:spacing w:line="360" w:lineRule="auto"/>
        <w:ind w:left="720"/>
      </w:pPr>
      <w:r>
        <w:t xml:space="preserve">(a) </w:t>
      </w:r>
      <w:r w:rsidR="00DF3827">
        <w:t>with respect to a species of animal, plant or other organism for which a regulation made under clause 56 (1) (a) is in force, the area prescribed by that regulation as the habitat of the species, or</w:t>
      </w:r>
    </w:p>
    <w:p w14:paraId="405599A4" w14:textId="21F2FA44" w:rsidR="00DF3827" w:rsidRDefault="00DF3827" w:rsidP="0046164A">
      <w:pPr>
        <w:spacing w:line="360" w:lineRule="auto"/>
        <w:ind w:left="720"/>
      </w:pPr>
      <w:r>
        <w:t>(b)  with respect to any other species of animal, plant or other organism, an area on which the species depends, directly or indirectly, to carry on its life processes, including life processes such as reproduction, rearing, hibernation, migration or feeding,</w:t>
      </w:r>
    </w:p>
    <w:p w14:paraId="741EAB84" w14:textId="5476227A" w:rsidR="00927AA9" w:rsidRDefault="00DF3827" w:rsidP="0046164A">
      <w:pPr>
        <w:spacing w:line="360" w:lineRule="auto"/>
        <w:ind w:left="720"/>
      </w:pPr>
      <w:r>
        <w:t>and includes places in the area described in clause (a) or (b), whichever is applicable, that are used by members of the species as dens, nests, hibernacula or other residences; (“habitat”)</w:t>
      </w:r>
    </w:p>
    <w:p w14:paraId="7131CB30" w14:textId="77777777" w:rsidR="00F601DC" w:rsidRDefault="00F601DC" w:rsidP="0046164A">
      <w:pPr>
        <w:spacing w:line="360" w:lineRule="auto"/>
        <w:ind w:left="720"/>
      </w:pPr>
    </w:p>
    <w:p w14:paraId="05DE762D" w14:textId="105AD7F5" w:rsidR="00F601DC" w:rsidRPr="004D43AD" w:rsidRDefault="00F01716" w:rsidP="0046164A">
      <w:pPr>
        <w:spacing w:line="360" w:lineRule="auto"/>
        <w:rPr>
          <w:b/>
          <w:bCs/>
        </w:rPr>
      </w:pPr>
      <w:r w:rsidRPr="004D43AD">
        <w:rPr>
          <w:b/>
          <w:bCs/>
        </w:rPr>
        <w:t>Definition of “habitat”, cl. (b)</w:t>
      </w:r>
    </w:p>
    <w:p w14:paraId="225E170C" w14:textId="15886A7F" w:rsidR="00F01716" w:rsidRDefault="00F01716" w:rsidP="0046164A">
      <w:pPr>
        <w:spacing w:line="360" w:lineRule="auto"/>
      </w:pPr>
      <w:r>
        <w:t xml:space="preserve">(2) </w:t>
      </w:r>
      <w:r w:rsidR="004D43AD" w:rsidRPr="004D43AD">
        <w:t>For greater certainty, clause (b) of the definition of “habitat” in subsection (1) does not include an area where the species formerly occurred or has the potential to be reintroduced unless existing members of the species depend on that area to carry on their life processes.</w:t>
      </w:r>
    </w:p>
    <w:p w14:paraId="6C6C37C7" w14:textId="4F7E4714" w:rsidR="00B056A0" w:rsidRDefault="00B056A0" w:rsidP="0046164A">
      <w:pPr>
        <w:spacing w:line="360" w:lineRule="auto"/>
      </w:pPr>
    </w:p>
    <w:p w14:paraId="62164232" w14:textId="64856E15" w:rsidR="00B056A0" w:rsidRPr="00A8036A" w:rsidRDefault="005C76C6" w:rsidP="0046164A">
      <w:pPr>
        <w:spacing w:line="360" w:lineRule="auto"/>
        <w:rPr>
          <w:b/>
          <w:bCs/>
          <w:lang w:val="fr-FR"/>
        </w:rPr>
      </w:pPr>
      <w:r w:rsidRPr="00A8036A">
        <w:rPr>
          <w:b/>
          <w:bCs/>
          <w:lang w:val="fr-FR"/>
        </w:rPr>
        <w:t>Prohibition on damage to habitat, etc.</w:t>
      </w:r>
    </w:p>
    <w:p w14:paraId="5470A3D9" w14:textId="0C5CE842" w:rsidR="005C76C6" w:rsidRDefault="005C76C6" w:rsidP="0046164A">
      <w:pPr>
        <w:spacing w:line="360" w:lineRule="auto"/>
      </w:pPr>
      <w:r w:rsidRPr="00BF562E">
        <w:rPr>
          <w:b/>
          <w:bCs/>
        </w:rPr>
        <w:t>10</w:t>
      </w:r>
      <w:r>
        <w:t xml:space="preserve"> (1) No </w:t>
      </w:r>
      <w:r w:rsidR="00356499" w:rsidRPr="00356499">
        <w:t>person shall damage or destroy the habitat of,</w:t>
      </w:r>
    </w:p>
    <w:p w14:paraId="2F8FE6FB" w14:textId="55759690" w:rsidR="00356499" w:rsidRDefault="00356499" w:rsidP="0046164A">
      <w:pPr>
        <w:spacing w:line="360" w:lineRule="auto"/>
        <w:ind w:left="720"/>
      </w:pPr>
      <w:r>
        <w:t xml:space="preserve">(a) </w:t>
      </w:r>
      <w:r w:rsidR="00C25EAB" w:rsidRPr="00C25EAB">
        <w:t>a species that is listed on the Species at Risk in Ontario List as an endangered or threatened species; or</w:t>
      </w:r>
    </w:p>
    <w:p w14:paraId="65192FED" w14:textId="5156330D" w:rsidR="00C25EAB" w:rsidRDefault="00C25EAB" w:rsidP="0046164A">
      <w:pPr>
        <w:spacing w:line="360" w:lineRule="auto"/>
        <w:ind w:left="720"/>
      </w:pPr>
      <w:r>
        <w:t xml:space="preserve">(b) </w:t>
      </w:r>
      <w:r w:rsidR="00DC2D89" w:rsidRPr="00DC2D89">
        <w:t>a species that is listed on the Species at Risk in Ontario List as an extirpated species, if the species is prescribed by the regulations for the purpose of this clause.</w:t>
      </w:r>
    </w:p>
    <w:p w14:paraId="2B242EF4" w14:textId="639B159C" w:rsidR="00B056A0" w:rsidRDefault="00B056A0" w:rsidP="0046164A">
      <w:pPr>
        <w:spacing w:line="360" w:lineRule="auto"/>
      </w:pPr>
    </w:p>
    <w:p w14:paraId="222E835B" w14:textId="3B3346F4" w:rsidR="00BF562E" w:rsidRPr="00363923" w:rsidRDefault="00BF562E" w:rsidP="0046164A">
      <w:pPr>
        <w:spacing w:line="360" w:lineRule="auto"/>
        <w:rPr>
          <w:b/>
          <w:bCs/>
        </w:rPr>
      </w:pPr>
      <w:r w:rsidRPr="00363923">
        <w:rPr>
          <w:b/>
          <w:bCs/>
        </w:rPr>
        <w:t>Specified geographic area</w:t>
      </w:r>
    </w:p>
    <w:p w14:paraId="61FDF582" w14:textId="2F50F54A" w:rsidR="00BF562E" w:rsidRDefault="00BF562E" w:rsidP="0046164A">
      <w:pPr>
        <w:spacing w:line="360" w:lineRule="auto"/>
      </w:pPr>
      <w:r>
        <w:t xml:space="preserve">(2) </w:t>
      </w:r>
      <w:r w:rsidR="00363923" w:rsidRPr="00363923">
        <w:t>If the Species at Risk in Ontario List specifies a geographic area that a classification of a species applies to, subsection (1) only applies to that species in that area.</w:t>
      </w:r>
    </w:p>
    <w:p w14:paraId="4C0D94C1" w14:textId="77777777" w:rsidR="00BF562E" w:rsidRDefault="00BF562E" w:rsidP="0046164A">
      <w:pPr>
        <w:spacing w:line="360" w:lineRule="auto"/>
      </w:pPr>
    </w:p>
    <w:p w14:paraId="36A05DB7" w14:textId="17734085" w:rsidR="00B056A0" w:rsidRPr="00E175DD" w:rsidRDefault="00137BF2" w:rsidP="0046164A">
      <w:pPr>
        <w:spacing w:line="360" w:lineRule="auto"/>
        <w:rPr>
          <w:b/>
          <w:bCs/>
        </w:rPr>
      </w:pPr>
      <w:r w:rsidRPr="00E175DD">
        <w:rPr>
          <w:b/>
          <w:bCs/>
        </w:rPr>
        <w:t>Exception, suspension of protections</w:t>
      </w:r>
    </w:p>
    <w:p w14:paraId="10215DF8" w14:textId="268E3087" w:rsidR="00137BF2" w:rsidRDefault="00137BF2" w:rsidP="0046164A">
      <w:pPr>
        <w:spacing w:line="360" w:lineRule="auto"/>
      </w:pPr>
      <w:r>
        <w:t xml:space="preserve">(3) </w:t>
      </w:r>
      <w:r w:rsidR="00E175DD" w:rsidRPr="00E175DD">
        <w:t>If a species is listed on the Species at Risk in Ontario List as an endangered or threatened species for the first time, the application of the prohibition in clause (1) (a) with respect to the habitat of the species is subject to any order made under section 8.1.</w:t>
      </w:r>
    </w:p>
    <w:p w14:paraId="457CFE26" w14:textId="77777777" w:rsidR="008F648A" w:rsidRDefault="008F648A" w:rsidP="0046164A">
      <w:pPr>
        <w:spacing w:line="360" w:lineRule="auto"/>
      </w:pPr>
    </w:p>
    <w:p w14:paraId="5318A939" w14:textId="472BD302" w:rsidR="008F648A" w:rsidRPr="008F648A" w:rsidRDefault="008F648A" w:rsidP="0046164A">
      <w:pPr>
        <w:spacing w:line="360" w:lineRule="auto"/>
        <w:rPr>
          <w:b/>
          <w:bCs/>
        </w:rPr>
      </w:pPr>
      <w:r w:rsidRPr="008F648A">
        <w:rPr>
          <w:b/>
          <w:bCs/>
        </w:rPr>
        <w:t>Regulations by Minister</w:t>
      </w:r>
    </w:p>
    <w:p w14:paraId="0D77B16F" w14:textId="3536E088" w:rsidR="008F648A" w:rsidRDefault="008F648A" w:rsidP="0046164A">
      <w:pPr>
        <w:spacing w:line="360" w:lineRule="auto"/>
      </w:pPr>
      <w:r w:rsidRPr="008F648A">
        <w:rPr>
          <w:b/>
          <w:bCs/>
        </w:rPr>
        <w:t>56</w:t>
      </w:r>
      <w:r>
        <w:t xml:space="preserve"> (1) </w:t>
      </w:r>
      <w:r w:rsidR="00D35FDF" w:rsidRPr="00D35FDF">
        <w:t>Subject to section 57, the Minister may make regulations,</w:t>
      </w:r>
    </w:p>
    <w:p w14:paraId="4D417583" w14:textId="4213ECA2" w:rsidR="00D35FDF" w:rsidRDefault="00D35FDF" w:rsidP="0046164A">
      <w:pPr>
        <w:spacing w:line="360" w:lineRule="auto"/>
        <w:ind w:left="720"/>
      </w:pPr>
      <w:r>
        <w:t xml:space="preserve">(a) </w:t>
      </w:r>
      <w:r w:rsidR="00CD617C" w:rsidRPr="00CD617C">
        <w:t>prescribing, for the purpose of clause (a) of the definition of “habitat” in subsection 2 (1), an area as the habitat of a species that is listed on the Species at Risk in Ontario List as an extirpated, endangered or threatened species;</w:t>
      </w:r>
    </w:p>
    <w:p w14:paraId="0BCE45DD" w14:textId="77777777" w:rsidR="008F648A" w:rsidRDefault="008F648A" w:rsidP="0046164A">
      <w:pPr>
        <w:spacing w:line="360" w:lineRule="auto"/>
      </w:pPr>
    </w:p>
    <w:p w14:paraId="78D650EC" w14:textId="0F74815B" w:rsidR="00137BF2" w:rsidRPr="00CD617C" w:rsidRDefault="00CD617C" w:rsidP="0046164A">
      <w:pPr>
        <w:spacing w:line="360" w:lineRule="auto"/>
        <w:rPr>
          <w:b/>
          <w:bCs/>
        </w:rPr>
      </w:pPr>
      <w:r w:rsidRPr="00CD617C">
        <w:rPr>
          <w:b/>
          <w:bCs/>
        </w:rPr>
        <w:t>Description of habitat</w:t>
      </w:r>
    </w:p>
    <w:p w14:paraId="5B7374CA" w14:textId="3329D973" w:rsidR="000817F4" w:rsidRDefault="00CD617C" w:rsidP="0046164A">
      <w:pPr>
        <w:spacing w:line="360" w:lineRule="auto"/>
      </w:pPr>
      <w:r>
        <w:t>(3) Without</w:t>
      </w:r>
      <w:r w:rsidR="000817F4">
        <w:t xml:space="preserve"> limiting the generality of clause (1) (a), a regulation under that clause prescribing an area as the habitat of a species,</w:t>
      </w:r>
    </w:p>
    <w:p w14:paraId="76395829" w14:textId="0E1BF371" w:rsidR="000817F4" w:rsidRDefault="000817F4" w:rsidP="0046164A">
      <w:pPr>
        <w:spacing w:line="360" w:lineRule="auto"/>
        <w:ind w:left="720"/>
      </w:pPr>
      <w:r>
        <w:t>(a)  may describe the area by,</w:t>
      </w:r>
    </w:p>
    <w:p w14:paraId="194D5C29" w14:textId="678EBA67" w:rsidR="000817F4" w:rsidRDefault="000817F4" w:rsidP="0046164A">
      <w:pPr>
        <w:spacing w:line="360" w:lineRule="auto"/>
        <w:ind w:left="1440"/>
      </w:pPr>
      <w:r>
        <w:t>(i)  describing specific boundaries for the area,</w:t>
      </w:r>
    </w:p>
    <w:p w14:paraId="5C451B54" w14:textId="0C9D1653" w:rsidR="000817F4" w:rsidRDefault="000817F4" w:rsidP="0046164A">
      <w:pPr>
        <w:spacing w:line="360" w:lineRule="auto"/>
        <w:ind w:left="1440"/>
      </w:pPr>
      <w:r>
        <w:t>(ii)  describing features of the area, or</w:t>
      </w:r>
    </w:p>
    <w:p w14:paraId="57DB6433" w14:textId="5D0ADF47" w:rsidR="000817F4" w:rsidRDefault="000817F4" w:rsidP="0046164A">
      <w:pPr>
        <w:spacing w:line="360" w:lineRule="auto"/>
        <w:ind w:left="1440"/>
      </w:pPr>
      <w:r>
        <w:t>(iii)  describing the area in any other manner;</w:t>
      </w:r>
    </w:p>
    <w:p w14:paraId="10BFDF00" w14:textId="0265284E" w:rsidR="000817F4" w:rsidRDefault="000817F4" w:rsidP="0046164A">
      <w:pPr>
        <w:spacing w:line="360" w:lineRule="auto"/>
        <w:ind w:left="720"/>
      </w:pPr>
      <w:r>
        <w:t>(b)  may prescribe areas where the species lives, used to live or is believed to be capable of living; and</w:t>
      </w:r>
    </w:p>
    <w:p w14:paraId="44407D02" w14:textId="2BDAADB6" w:rsidR="00CD617C" w:rsidRDefault="000817F4" w:rsidP="0046164A">
      <w:pPr>
        <w:spacing w:line="360" w:lineRule="auto"/>
        <w:ind w:left="720"/>
      </w:pPr>
      <w:r>
        <w:t>(c)  may prescribe an area that is larger or smaller than the area described by clause (b) of the definition of “habitat” in subsection 2 (1).</w:t>
      </w:r>
    </w:p>
    <w:p w14:paraId="24C2E9CB" w14:textId="77777777" w:rsidR="00CD617C" w:rsidRDefault="00CD617C" w:rsidP="0046164A">
      <w:pPr>
        <w:spacing w:line="360" w:lineRule="auto"/>
      </w:pPr>
    </w:p>
    <w:p w14:paraId="259BD988" w14:textId="77777777" w:rsidR="00984F90" w:rsidRDefault="00984F90" w:rsidP="0046164A">
      <w:pPr>
        <w:spacing w:line="360" w:lineRule="auto"/>
      </w:pPr>
    </w:p>
    <w:p w14:paraId="4DE1CEE7" w14:textId="77777777" w:rsidR="00962EAD" w:rsidRDefault="00962EAD" w:rsidP="0046164A">
      <w:pPr>
        <w:spacing w:line="360" w:lineRule="auto"/>
      </w:pPr>
    </w:p>
    <w:p w14:paraId="17BA3763" w14:textId="77777777" w:rsidR="00962EAD" w:rsidRDefault="00962EAD" w:rsidP="0046164A">
      <w:pPr>
        <w:spacing w:line="360" w:lineRule="auto"/>
      </w:pPr>
    </w:p>
    <w:p w14:paraId="32D6CB99" w14:textId="77777777" w:rsidR="00962EAD" w:rsidRDefault="00962EAD" w:rsidP="0046164A">
      <w:pPr>
        <w:spacing w:line="360" w:lineRule="auto"/>
      </w:pPr>
    </w:p>
    <w:p w14:paraId="392DBA4A" w14:textId="77777777" w:rsidR="00962EAD" w:rsidRDefault="00962EAD" w:rsidP="0046164A">
      <w:pPr>
        <w:spacing w:line="360" w:lineRule="auto"/>
      </w:pPr>
    </w:p>
    <w:p w14:paraId="6A7DA9DD" w14:textId="77777777" w:rsidR="00962EAD" w:rsidRDefault="00962EAD" w:rsidP="0046164A">
      <w:pPr>
        <w:spacing w:line="360" w:lineRule="auto"/>
      </w:pPr>
    </w:p>
    <w:p w14:paraId="607D6994" w14:textId="6A7C79DA" w:rsidR="00984F90" w:rsidRDefault="00984F90" w:rsidP="0046164A">
      <w:pPr>
        <w:spacing w:line="360" w:lineRule="auto"/>
      </w:pPr>
      <w:r w:rsidRPr="006B48C4">
        <w:rPr>
          <w:i/>
          <w:iCs/>
        </w:rPr>
        <w:lastRenderedPageBreak/>
        <w:t>Endangered Species Act</w:t>
      </w:r>
      <w:r w:rsidRPr="006B48C4">
        <w:t>, 2007, S.O. 2007, c. 6</w:t>
      </w:r>
      <w:r w:rsidR="00200D6A" w:rsidRPr="00200D6A">
        <w:t xml:space="preserve">, as amended by the </w:t>
      </w:r>
      <w:r w:rsidR="00200D6A" w:rsidRPr="008233BC">
        <w:rPr>
          <w:i/>
          <w:iCs/>
        </w:rPr>
        <w:t>Protect Ontario by</w:t>
      </w:r>
      <w:r w:rsidR="00120AE2" w:rsidRPr="008233BC">
        <w:rPr>
          <w:i/>
          <w:iCs/>
        </w:rPr>
        <w:t xml:space="preserve"> </w:t>
      </w:r>
      <w:r w:rsidR="00200D6A" w:rsidRPr="008233BC">
        <w:rPr>
          <w:i/>
          <w:iCs/>
        </w:rPr>
        <w:t>Unleashing our Economy Act, 2025</w:t>
      </w:r>
      <w:r w:rsidR="00200D6A" w:rsidRPr="00200D6A">
        <w:t>, S</w:t>
      </w:r>
      <w:r w:rsidR="00012D84">
        <w:t>.</w:t>
      </w:r>
      <w:r w:rsidR="00200D6A" w:rsidRPr="00200D6A">
        <w:t>O</w:t>
      </w:r>
      <w:r w:rsidR="00012D84">
        <w:t xml:space="preserve">. </w:t>
      </w:r>
      <w:r w:rsidR="00200D6A" w:rsidRPr="00200D6A">
        <w:t>2025, c</w:t>
      </w:r>
      <w:r w:rsidR="00134596">
        <w:t>.</w:t>
      </w:r>
      <w:r w:rsidR="00200D6A" w:rsidRPr="00200D6A">
        <w:t xml:space="preserve"> 4</w:t>
      </w:r>
      <w:r w:rsidR="00012D84">
        <w:t xml:space="preserve"> - Bill 5</w:t>
      </w:r>
      <w:r w:rsidR="00D36689">
        <w:t>, Sched</w:t>
      </w:r>
      <w:r w:rsidR="007D4E8F">
        <w:t>ule</w:t>
      </w:r>
      <w:r w:rsidR="00D36689">
        <w:t xml:space="preserve"> 2</w:t>
      </w:r>
    </w:p>
    <w:p w14:paraId="07455BD6" w14:textId="77777777" w:rsidR="00193784" w:rsidRDefault="00193784" w:rsidP="0046164A">
      <w:pPr>
        <w:spacing w:line="360" w:lineRule="auto"/>
      </w:pPr>
    </w:p>
    <w:p w14:paraId="7108D9AE" w14:textId="404E411C" w:rsidR="00193784" w:rsidRPr="008978E9" w:rsidRDefault="001E7BA2" w:rsidP="0046164A">
      <w:pPr>
        <w:spacing w:line="360" w:lineRule="auto"/>
        <w:rPr>
          <w:b/>
          <w:bCs/>
        </w:rPr>
      </w:pPr>
      <w:r w:rsidRPr="008978E9">
        <w:rPr>
          <w:b/>
          <w:bCs/>
        </w:rPr>
        <w:t>Purposes</w:t>
      </w:r>
    </w:p>
    <w:p w14:paraId="3B0FE2C7" w14:textId="03A62313" w:rsidR="001E7BA2" w:rsidRDefault="001E7BA2" w:rsidP="0046164A">
      <w:pPr>
        <w:spacing w:line="360" w:lineRule="auto"/>
      </w:pPr>
      <w:r w:rsidRPr="008978E9">
        <w:rPr>
          <w:b/>
          <w:bCs/>
        </w:rPr>
        <w:t>1</w:t>
      </w:r>
      <w:r>
        <w:t xml:space="preserve"> The purposes of this Act are:</w:t>
      </w:r>
    </w:p>
    <w:p w14:paraId="637253A5" w14:textId="4310A21D" w:rsidR="001E7BA2" w:rsidRDefault="001E7BA2" w:rsidP="0046164A">
      <w:pPr>
        <w:pStyle w:val="ListParagraph"/>
        <w:numPr>
          <w:ilvl w:val="0"/>
          <w:numId w:val="17"/>
        </w:numPr>
        <w:spacing w:line="360" w:lineRule="auto"/>
      </w:pPr>
      <w:r>
        <w:t xml:space="preserve">To </w:t>
      </w:r>
      <w:r w:rsidR="00971AE3" w:rsidRPr="00971AE3">
        <w:t>identify species at risk based on the best available scientific information, including information obtained from community knowledge and Indigenous traditional knowledge.</w:t>
      </w:r>
    </w:p>
    <w:p w14:paraId="4AEB567F" w14:textId="197AAE4F" w:rsidR="00971AE3" w:rsidRDefault="00971AE3" w:rsidP="0046164A">
      <w:pPr>
        <w:pStyle w:val="ListParagraph"/>
        <w:numPr>
          <w:ilvl w:val="0"/>
          <w:numId w:val="17"/>
        </w:numPr>
        <w:spacing w:line="360" w:lineRule="auto"/>
      </w:pPr>
      <w:r>
        <w:t xml:space="preserve">To </w:t>
      </w:r>
      <w:r w:rsidR="008978E9" w:rsidRPr="008978E9">
        <w:t>provide for the protection and conservation of species at risk while taking into account social and economic considerations including the need for sustainable economic growth in Ontario.</w:t>
      </w:r>
    </w:p>
    <w:p w14:paraId="67CCAA55" w14:textId="77777777" w:rsidR="00F6361D" w:rsidRDefault="00F6361D" w:rsidP="0046164A">
      <w:pPr>
        <w:spacing w:line="360" w:lineRule="auto"/>
      </w:pPr>
    </w:p>
    <w:p w14:paraId="7937186A" w14:textId="77777777" w:rsidR="008978E9" w:rsidRPr="00B04FF9" w:rsidRDefault="008978E9" w:rsidP="0046164A">
      <w:pPr>
        <w:spacing w:line="360" w:lineRule="auto"/>
        <w:rPr>
          <w:b/>
          <w:bCs/>
        </w:rPr>
      </w:pPr>
      <w:r w:rsidRPr="00B04FF9">
        <w:rPr>
          <w:b/>
          <w:bCs/>
        </w:rPr>
        <w:t>Definitions</w:t>
      </w:r>
    </w:p>
    <w:p w14:paraId="51B0A4F9" w14:textId="77777777" w:rsidR="008978E9" w:rsidRDefault="008978E9" w:rsidP="0046164A">
      <w:pPr>
        <w:spacing w:line="360" w:lineRule="auto"/>
      </w:pPr>
      <w:r w:rsidRPr="00B04FF9">
        <w:rPr>
          <w:b/>
          <w:bCs/>
        </w:rPr>
        <w:t>2</w:t>
      </w:r>
      <w:r>
        <w:t xml:space="preserve"> (1) In this Act,</w:t>
      </w:r>
    </w:p>
    <w:p w14:paraId="00B5D813" w14:textId="661A1373" w:rsidR="008978E9" w:rsidRDefault="008978E9" w:rsidP="0046164A">
      <w:pPr>
        <w:spacing w:line="360" w:lineRule="auto"/>
        <w:ind w:firstLine="720"/>
      </w:pPr>
      <w:r>
        <w:t xml:space="preserve">“habitat” means, subject to subsection (3), </w:t>
      </w:r>
    </w:p>
    <w:p w14:paraId="0487A160" w14:textId="51493DDB" w:rsidR="008978E9" w:rsidRDefault="008978E9" w:rsidP="0046164A">
      <w:pPr>
        <w:spacing w:line="360" w:lineRule="auto"/>
        <w:ind w:firstLine="720"/>
      </w:pPr>
      <w:r>
        <w:t xml:space="preserve">(a) in respect </w:t>
      </w:r>
      <w:r w:rsidR="007608D6" w:rsidRPr="007608D6">
        <w:t>of an animal species,</w:t>
      </w:r>
    </w:p>
    <w:p w14:paraId="1B36E78B" w14:textId="77777777" w:rsidR="00200A49" w:rsidRPr="00200A49" w:rsidRDefault="007608D6" w:rsidP="0046164A">
      <w:pPr>
        <w:spacing w:line="360" w:lineRule="auto"/>
        <w:ind w:left="1440"/>
      </w:pPr>
      <w:r>
        <w:t xml:space="preserve">(i) a </w:t>
      </w:r>
      <w:r w:rsidR="00200A49" w:rsidRPr="00200A49">
        <w:t>dwelling-place, such as a den, nest or other similar place, that is occupied or habitually occupied by one or more members of a species for the purposes of breeding, rearing, staging, wintering or hibernating, and</w:t>
      </w:r>
    </w:p>
    <w:p w14:paraId="245D89AD" w14:textId="77777777" w:rsidR="00200A49" w:rsidRPr="00200A49" w:rsidRDefault="00200A49" w:rsidP="0046164A">
      <w:pPr>
        <w:spacing w:line="360" w:lineRule="auto"/>
        <w:ind w:left="1440"/>
      </w:pPr>
      <w:r w:rsidRPr="00200A49">
        <w:t>(ii)  the area immediately around a dwelling place described in subclause (i) that is essential for the purposes set out in that subclause.</w:t>
      </w:r>
    </w:p>
    <w:p w14:paraId="2A4E76D7" w14:textId="4829D9E2" w:rsidR="007608D6" w:rsidRDefault="00200A49" w:rsidP="0046164A">
      <w:pPr>
        <w:spacing w:line="360" w:lineRule="auto"/>
        <w:ind w:left="720"/>
      </w:pPr>
      <w:r>
        <w:t>(b) in</w:t>
      </w:r>
      <w:r w:rsidR="00764BE9">
        <w:t xml:space="preserve"> </w:t>
      </w:r>
      <w:r w:rsidR="00764BE9" w:rsidRPr="00764BE9">
        <w:t>respect of a vascular plant species, the critical root zone surrounding a member of the species, and</w:t>
      </w:r>
    </w:p>
    <w:p w14:paraId="67285F26" w14:textId="0D5E4189" w:rsidR="00200A49" w:rsidRDefault="00200A49" w:rsidP="0046164A">
      <w:pPr>
        <w:spacing w:line="360" w:lineRule="auto"/>
        <w:ind w:left="720"/>
      </w:pPr>
      <w:r>
        <w:t xml:space="preserve">(c) in </w:t>
      </w:r>
      <w:r w:rsidR="001351D4" w:rsidRPr="001351D4">
        <w:t>respect of all other species, an area on which any member of a species directly depends in order to carry on its life processes;</w:t>
      </w:r>
      <w:r w:rsidR="00B616CD">
        <w:t xml:space="preserve"> </w:t>
      </w:r>
      <w:r w:rsidR="00B616CD" w:rsidRPr="00B616CD">
        <w:t>(“habitat”)</w:t>
      </w:r>
    </w:p>
    <w:p w14:paraId="5CD52D48" w14:textId="77777777" w:rsidR="008978E9" w:rsidRDefault="008978E9" w:rsidP="0046164A">
      <w:pPr>
        <w:spacing w:line="360" w:lineRule="auto"/>
      </w:pPr>
    </w:p>
    <w:p w14:paraId="17F43212" w14:textId="3E012C68" w:rsidR="00863A35" w:rsidRPr="0013022A" w:rsidRDefault="00863A35" w:rsidP="0046164A">
      <w:pPr>
        <w:spacing w:line="360" w:lineRule="auto"/>
        <w:rPr>
          <w:b/>
          <w:bCs/>
        </w:rPr>
      </w:pPr>
      <w:r w:rsidRPr="0013022A">
        <w:rPr>
          <w:b/>
          <w:bCs/>
        </w:rPr>
        <w:t>Definition of “habitat”</w:t>
      </w:r>
    </w:p>
    <w:p w14:paraId="0B3E1CC0" w14:textId="71D4C2C5" w:rsidR="00863A35" w:rsidRDefault="00863A35" w:rsidP="0046164A">
      <w:pPr>
        <w:spacing w:line="360" w:lineRule="auto"/>
      </w:pPr>
      <w:r>
        <w:t xml:space="preserve">(2) For </w:t>
      </w:r>
      <w:r w:rsidR="0013022A" w:rsidRPr="0013022A">
        <w:t>greater certainty, the definition of “habitat” in subsection (1) does not include an area where the species formerly occurred or has the potential to be reintroduced unless existing members of the species depend on that area to carry on their life processes.</w:t>
      </w:r>
    </w:p>
    <w:p w14:paraId="507FA5DE" w14:textId="77777777" w:rsidR="001A23E0" w:rsidRDefault="001A23E0" w:rsidP="0046164A">
      <w:pPr>
        <w:spacing w:line="360" w:lineRule="auto"/>
      </w:pPr>
    </w:p>
    <w:p w14:paraId="62B0D9CD" w14:textId="40B62A3C" w:rsidR="001A23E0" w:rsidRPr="005623FE" w:rsidRDefault="001A23E0" w:rsidP="0046164A">
      <w:pPr>
        <w:spacing w:line="360" w:lineRule="auto"/>
        <w:rPr>
          <w:b/>
          <w:bCs/>
        </w:rPr>
      </w:pPr>
      <w:r w:rsidRPr="005623FE">
        <w:rPr>
          <w:b/>
          <w:bCs/>
        </w:rPr>
        <w:t>Same, old definition continued</w:t>
      </w:r>
    </w:p>
    <w:p w14:paraId="4ED6F89D" w14:textId="5B25D093" w:rsidR="001A23E0" w:rsidRDefault="001A23E0" w:rsidP="0046164A">
      <w:pPr>
        <w:spacing w:line="360" w:lineRule="auto"/>
      </w:pPr>
      <w:r>
        <w:lastRenderedPageBreak/>
        <w:t xml:space="preserve">(3) A </w:t>
      </w:r>
      <w:r w:rsidR="00F16819" w:rsidRPr="00F16819">
        <w:t>reference to “habitat” in any of the following provisions is deemed to be a reference to the definition of “habitat” under subsection (1) as it read immediately before the transition date:</w:t>
      </w:r>
    </w:p>
    <w:p w14:paraId="13417A0A" w14:textId="77777777" w:rsidR="005623FE" w:rsidRPr="005623FE" w:rsidRDefault="00F16819" w:rsidP="0046164A">
      <w:pPr>
        <w:pStyle w:val="ListParagraph"/>
        <w:numPr>
          <w:ilvl w:val="0"/>
          <w:numId w:val="18"/>
        </w:numPr>
        <w:spacing w:line="360" w:lineRule="auto"/>
      </w:pPr>
      <w:r>
        <w:t xml:space="preserve">Any </w:t>
      </w:r>
      <w:r w:rsidR="005623FE" w:rsidRPr="005623FE">
        <w:t>provision of an authorization granted under subsection 9 (5) before the transition date.</w:t>
      </w:r>
    </w:p>
    <w:p w14:paraId="51F39C43" w14:textId="48AD665B" w:rsidR="005623FE" w:rsidRPr="005623FE" w:rsidRDefault="005623FE" w:rsidP="0046164A">
      <w:pPr>
        <w:pStyle w:val="ListParagraph"/>
        <w:numPr>
          <w:ilvl w:val="0"/>
          <w:numId w:val="18"/>
        </w:numPr>
        <w:spacing w:line="360" w:lineRule="auto"/>
      </w:pPr>
      <w:r w:rsidRPr="005623FE">
        <w:t>Any provision of an agreement entered into under section 16 before the transition date.</w:t>
      </w:r>
    </w:p>
    <w:p w14:paraId="09BE8CE3" w14:textId="3F3C80A2" w:rsidR="005623FE" w:rsidRPr="005623FE" w:rsidRDefault="005623FE" w:rsidP="0046164A">
      <w:pPr>
        <w:pStyle w:val="ListParagraph"/>
        <w:numPr>
          <w:ilvl w:val="0"/>
          <w:numId w:val="18"/>
        </w:numPr>
        <w:spacing w:line="360" w:lineRule="auto"/>
      </w:pPr>
      <w:r w:rsidRPr="005623FE">
        <w:t>Any provision of a permit issued under section 17 or subsection 19 (3) before the transition date.</w:t>
      </w:r>
    </w:p>
    <w:p w14:paraId="6E2F8C12" w14:textId="4AD4BE70" w:rsidR="005623FE" w:rsidRPr="005623FE" w:rsidRDefault="005623FE" w:rsidP="0046164A">
      <w:pPr>
        <w:pStyle w:val="ListParagraph"/>
        <w:numPr>
          <w:ilvl w:val="0"/>
          <w:numId w:val="18"/>
        </w:numPr>
        <w:spacing w:line="360" w:lineRule="auto"/>
      </w:pPr>
      <w:r w:rsidRPr="005623FE">
        <w:t>Any provision of an order made under section 27, 27.1, 28 or 41 before the transition date.</w:t>
      </w:r>
    </w:p>
    <w:p w14:paraId="311D83CE" w14:textId="1CFAA3A0" w:rsidR="005623FE" w:rsidRPr="005623FE" w:rsidRDefault="005623FE" w:rsidP="0046164A">
      <w:pPr>
        <w:pStyle w:val="ListParagraph"/>
        <w:numPr>
          <w:ilvl w:val="0"/>
          <w:numId w:val="18"/>
        </w:numPr>
        <w:spacing w:line="360" w:lineRule="auto"/>
      </w:pPr>
      <w:r w:rsidRPr="005623FE">
        <w:t>Any provision of this Act in respect of an instrument mentioned in paragraphs 1 to 4, and any amendment made to such an instrument, whether the amendment was made before or after the transition date.</w:t>
      </w:r>
    </w:p>
    <w:p w14:paraId="545633A7" w14:textId="36531AE7" w:rsidR="005623FE" w:rsidRPr="005623FE" w:rsidRDefault="005623FE" w:rsidP="0046164A">
      <w:pPr>
        <w:pStyle w:val="ListParagraph"/>
        <w:numPr>
          <w:ilvl w:val="0"/>
          <w:numId w:val="18"/>
        </w:numPr>
        <w:spacing w:line="360" w:lineRule="auto"/>
      </w:pPr>
      <w:r w:rsidRPr="005623FE">
        <w:t>Any provision of this Act as it applies to a person who was granted an authorization mentioned in paragraph 1, who entered into an agreement mentioned in paragraph 2, who was issued a permit mentioned in paragraph 3 or in respect of whom an order mentioned in paragraph 4 was made.</w:t>
      </w:r>
    </w:p>
    <w:p w14:paraId="0A0861E4" w14:textId="1659C90A" w:rsidR="005623FE" w:rsidRPr="005623FE" w:rsidRDefault="005623FE" w:rsidP="0046164A">
      <w:pPr>
        <w:pStyle w:val="ListParagraph"/>
        <w:numPr>
          <w:ilvl w:val="0"/>
          <w:numId w:val="18"/>
        </w:numPr>
        <w:spacing w:line="360" w:lineRule="auto"/>
      </w:pPr>
      <w:r w:rsidRPr="005623FE">
        <w:t>Any provision in a regulation made under clause 55 (1) (c) as it applies to a person if it applied to the person before the transition date.</w:t>
      </w:r>
    </w:p>
    <w:p w14:paraId="7EA02198" w14:textId="37B64120" w:rsidR="005623FE" w:rsidRPr="005623FE" w:rsidRDefault="005623FE" w:rsidP="0046164A">
      <w:pPr>
        <w:pStyle w:val="ListParagraph"/>
        <w:numPr>
          <w:ilvl w:val="0"/>
          <w:numId w:val="18"/>
        </w:numPr>
        <w:spacing w:line="360" w:lineRule="auto"/>
      </w:pPr>
      <w:r w:rsidRPr="005623FE">
        <w:t>In respect of Black Ash, any provision of this Act, the regulations or a permit issued under this Act.</w:t>
      </w:r>
    </w:p>
    <w:p w14:paraId="4EEF6EA0" w14:textId="6035C625" w:rsidR="00F16819" w:rsidRDefault="00F16819" w:rsidP="0046164A">
      <w:pPr>
        <w:spacing w:line="360" w:lineRule="auto"/>
      </w:pPr>
    </w:p>
    <w:p w14:paraId="1EA6CA4A" w14:textId="79C2D165" w:rsidR="00D36689" w:rsidRPr="005623FE" w:rsidRDefault="005623FE" w:rsidP="0046164A">
      <w:pPr>
        <w:spacing w:line="360" w:lineRule="auto"/>
        <w:rPr>
          <w:b/>
          <w:bCs/>
        </w:rPr>
      </w:pPr>
      <w:r w:rsidRPr="005623FE">
        <w:rPr>
          <w:b/>
          <w:bCs/>
        </w:rPr>
        <w:t>Same</w:t>
      </w:r>
    </w:p>
    <w:p w14:paraId="0079E190" w14:textId="619A1A80" w:rsidR="005623FE" w:rsidRDefault="005623FE" w:rsidP="0046164A">
      <w:pPr>
        <w:spacing w:line="360" w:lineRule="auto"/>
      </w:pPr>
      <w:r>
        <w:t xml:space="preserve">(4) For </w:t>
      </w:r>
      <w:r w:rsidR="002B0BE7" w:rsidRPr="002B0BE7">
        <w:t>greater certainty, the definition of “habitat” continued under subsection (3) includes any area prescribed for the purpose of clause (a) of that definition in a regulation made under subsection 56 (1) (a) before the transition date</w:t>
      </w:r>
      <w:r w:rsidR="002B0BE7">
        <w:t>.</w:t>
      </w:r>
    </w:p>
    <w:p w14:paraId="5372491E" w14:textId="77777777" w:rsidR="00FF48E0" w:rsidRDefault="00FF48E0" w:rsidP="0046164A">
      <w:pPr>
        <w:spacing w:line="360" w:lineRule="auto"/>
      </w:pPr>
    </w:p>
    <w:p w14:paraId="63C5C109" w14:textId="77777777" w:rsidR="00FF48E0" w:rsidRDefault="00FF48E0" w:rsidP="0046164A">
      <w:pPr>
        <w:spacing w:line="360" w:lineRule="auto"/>
      </w:pPr>
    </w:p>
    <w:p w14:paraId="69BF8A6C" w14:textId="77777777" w:rsidR="00962EAD" w:rsidRDefault="00962EAD" w:rsidP="0046164A">
      <w:pPr>
        <w:spacing w:line="360" w:lineRule="auto"/>
      </w:pPr>
    </w:p>
    <w:p w14:paraId="2F02B25A" w14:textId="77777777" w:rsidR="00962EAD" w:rsidRDefault="00962EAD" w:rsidP="0046164A">
      <w:pPr>
        <w:spacing w:line="360" w:lineRule="auto"/>
      </w:pPr>
    </w:p>
    <w:p w14:paraId="11B0916D" w14:textId="77777777" w:rsidR="00962EAD" w:rsidRDefault="00962EAD" w:rsidP="0046164A">
      <w:pPr>
        <w:spacing w:line="360" w:lineRule="auto"/>
      </w:pPr>
    </w:p>
    <w:p w14:paraId="3383B2D9" w14:textId="77777777" w:rsidR="00962EAD" w:rsidRDefault="00962EAD" w:rsidP="0046164A">
      <w:pPr>
        <w:spacing w:line="360" w:lineRule="auto"/>
      </w:pPr>
    </w:p>
    <w:p w14:paraId="794F0BF5" w14:textId="77777777" w:rsidR="00E251C8" w:rsidRDefault="00586A7C" w:rsidP="0046164A">
      <w:pPr>
        <w:spacing w:line="360" w:lineRule="auto"/>
      </w:pPr>
      <w:r w:rsidRPr="00586A7C">
        <w:rPr>
          <w:i/>
          <w:iCs/>
        </w:rPr>
        <w:lastRenderedPageBreak/>
        <w:t>More Homes, More Choice Act, 2019,</w:t>
      </w:r>
      <w:r w:rsidRPr="00586A7C">
        <w:t> S</w:t>
      </w:r>
      <w:r>
        <w:t>.</w:t>
      </w:r>
      <w:r w:rsidRPr="00586A7C">
        <w:t>O</w:t>
      </w:r>
      <w:r>
        <w:t>.</w:t>
      </w:r>
      <w:r w:rsidRPr="00586A7C">
        <w:t xml:space="preserve"> 2019, c</w:t>
      </w:r>
      <w:r w:rsidR="00E251C8">
        <w:t>. 9 - Bill 108</w:t>
      </w:r>
    </w:p>
    <w:p w14:paraId="7EE4859A" w14:textId="77777777" w:rsidR="002A14D9" w:rsidRDefault="002A14D9" w:rsidP="0046164A">
      <w:pPr>
        <w:spacing w:line="360" w:lineRule="auto"/>
      </w:pPr>
    </w:p>
    <w:p w14:paraId="2C0FA5EB" w14:textId="3460A644" w:rsidR="00E251C8" w:rsidRPr="006177B3" w:rsidRDefault="008C2622" w:rsidP="0046164A">
      <w:pPr>
        <w:spacing w:line="360" w:lineRule="auto"/>
        <w:jc w:val="center"/>
        <w:rPr>
          <w:b/>
          <w:bCs/>
        </w:rPr>
      </w:pPr>
      <w:r w:rsidRPr="006177B3">
        <w:rPr>
          <w:b/>
          <w:bCs/>
        </w:rPr>
        <w:t>SCHEDULE 5</w:t>
      </w:r>
    </w:p>
    <w:p w14:paraId="312AACA7" w14:textId="43CE51FE" w:rsidR="008C2622" w:rsidRPr="006177B3" w:rsidRDefault="008C2622" w:rsidP="0046164A">
      <w:pPr>
        <w:spacing w:line="360" w:lineRule="auto"/>
        <w:jc w:val="center"/>
        <w:rPr>
          <w:b/>
          <w:bCs/>
        </w:rPr>
      </w:pPr>
      <w:r w:rsidRPr="006177B3">
        <w:rPr>
          <w:b/>
          <w:bCs/>
        </w:rPr>
        <w:t>ENDANGERED SPECIES ACT, 2007</w:t>
      </w:r>
    </w:p>
    <w:p w14:paraId="392337A0" w14:textId="77777777" w:rsidR="008C2622" w:rsidRDefault="008C2622" w:rsidP="0046164A">
      <w:pPr>
        <w:spacing w:line="360" w:lineRule="auto"/>
      </w:pPr>
    </w:p>
    <w:p w14:paraId="588A9DF3" w14:textId="326E1850" w:rsidR="00586A7C" w:rsidRPr="002A14D9" w:rsidRDefault="00F41F5B" w:rsidP="0046164A">
      <w:pPr>
        <w:spacing w:line="360" w:lineRule="auto"/>
        <w:rPr>
          <w:b/>
          <w:bCs/>
        </w:rPr>
      </w:pPr>
      <w:r w:rsidRPr="002A14D9">
        <w:rPr>
          <w:b/>
          <w:bCs/>
        </w:rPr>
        <w:t>15 (1) Clauses 17 (2) (c) and (d) of the Act are repealed and the following substituted:</w:t>
      </w:r>
    </w:p>
    <w:p w14:paraId="6AE8882D" w14:textId="77777777" w:rsidR="00F41F5B" w:rsidRDefault="00F41F5B" w:rsidP="0046164A">
      <w:pPr>
        <w:spacing w:line="360" w:lineRule="auto"/>
      </w:pPr>
    </w:p>
    <w:p w14:paraId="6F863A21" w14:textId="6AA033C6" w:rsidR="00F41F5B" w:rsidRDefault="00F41F5B" w:rsidP="0046164A">
      <w:pPr>
        <w:spacing w:line="360" w:lineRule="auto"/>
        <w:ind w:left="720"/>
      </w:pPr>
      <w:r>
        <w:t xml:space="preserve">(c) </w:t>
      </w:r>
      <w:r w:rsidR="00007A93" w:rsidRPr="00007A93">
        <w:t>the Minister is of the opinion that the main purpose of the activity authorized by the permit is not to assist in the protection or recovery of the species specified in the permit, but,</w:t>
      </w:r>
    </w:p>
    <w:p w14:paraId="54F785A8" w14:textId="50D01FEE" w:rsidR="00007A93" w:rsidRDefault="00007A93" w:rsidP="0046164A">
      <w:pPr>
        <w:spacing w:line="360" w:lineRule="auto"/>
        <w:ind w:left="720" w:firstLine="720"/>
      </w:pPr>
      <w:r>
        <w:t xml:space="preserve">(i) </w:t>
      </w:r>
      <w:r w:rsidR="000E44CB" w:rsidRPr="000E44CB">
        <w:t>either of the following conditions will be or have been met:</w:t>
      </w:r>
    </w:p>
    <w:p w14:paraId="6BEED762" w14:textId="77A724F6" w:rsidR="000E44CB" w:rsidRDefault="000E44CB" w:rsidP="0046164A">
      <w:pPr>
        <w:spacing w:line="360" w:lineRule="auto"/>
        <w:ind w:left="2160"/>
      </w:pPr>
      <w:r>
        <w:t>(A)</w:t>
      </w:r>
      <w:r w:rsidR="00084BEF">
        <w:t xml:space="preserve"> </w:t>
      </w:r>
      <w:r w:rsidR="00084BEF" w:rsidRPr="00084BEF">
        <w:t>the Minister is of the opinion that an overall benefit to the species will be achieved within a reasonable time through requirements imposed by conditions of the permit, or</w:t>
      </w:r>
    </w:p>
    <w:p w14:paraId="693342F9" w14:textId="1F4B8FB8" w:rsidR="000E44CB" w:rsidRDefault="000E44CB" w:rsidP="0046164A">
      <w:pPr>
        <w:spacing w:line="360" w:lineRule="auto"/>
        <w:ind w:left="2160"/>
      </w:pPr>
      <w:r>
        <w:t>(B)</w:t>
      </w:r>
      <w:r w:rsidR="003059AF">
        <w:t xml:space="preserve"> </w:t>
      </w:r>
      <w:r w:rsidR="003059AF" w:rsidRPr="003059AF">
        <w:t>subject to subsection (2.1), the person who would be authorized by the permit to engage in the activity has agreed to pay to the Agency any species conservation charge that is required by the permit,</w:t>
      </w:r>
    </w:p>
    <w:p w14:paraId="1279C341" w14:textId="68EB7A72" w:rsidR="000E44CB" w:rsidRDefault="000E44CB" w:rsidP="0046164A">
      <w:pPr>
        <w:spacing w:line="360" w:lineRule="auto"/>
        <w:ind w:left="1440"/>
      </w:pPr>
      <w:r>
        <w:t>(ii)</w:t>
      </w:r>
      <w:r w:rsidR="003C6C88">
        <w:t xml:space="preserve"> </w:t>
      </w:r>
      <w:r w:rsidR="003C6C88" w:rsidRPr="003C6C88">
        <w:t>the Minister is of the opinion that reasonable alternatives have been considered, including alternatives that would not adversely affect the species, and the best alternative has been adopted, and</w:t>
      </w:r>
    </w:p>
    <w:p w14:paraId="2A39B0DE" w14:textId="79168057" w:rsidR="000E44CB" w:rsidRDefault="000E44CB" w:rsidP="0046164A">
      <w:pPr>
        <w:spacing w:line="360" w:lineRule="auto"/>
        <w:ind w:left="1440"/>
      </w:pPr>
      <w:r>
        <w:t>(iii)</w:t>
      </w:r>
      <w:r w:rsidR="003C6C88">
        <w:t xml:space="preserve"> </w:t>
      </w:r>
      <w:r w:rsidR="003C6C88" w:rsidRPr="003C6C88">
        <w:t>the Minister is of the opinion that reasonable steps to minimize adverse effects on the species are required by conditions of the permit; or</w:t>
      </w:r>
    </w:p>
    <w:p w14:paraId="4965A9CE" w14:textId="5ECBD8A5" w:rsidR="000E44CB" w:rsidRDefault="000E44CB" w:rsidP="0046164A">
      <w:pPr>
        <w:spacing w:line="360" w:lineRule="auto"/>
        <w:ind w:left="720"/>
      </w:pPr>
      <w:r>
        <w:t>(d)</w:t>
      </w:r>
      <w:r w:rsidR="00CC4A0B">
        <w:t xml:space="preserve"> </w:t>
      </w:r>
      <w:r w:rsidR="00CC4A0B" w:rsidRPr="00CC4A0B">
        <w:t>the Minister is of the opinion that the main purpose of the activity authorized by the permit is not to assist in the protection or recovery of the species specified in the permit, but,</w:t>
      </w:r>
    </w:p>
    <w:p w14:paraId="112F5A1A" w14:textId="52ED24B1" w:rsidR="000E44CB" w:rsidRDefault="000E44CB" w:rsidP="0046164A">
      <w:pPr>
        <w:spacing w:line="360" w:lineRule="auto"/>
        <w:ind w:left="1440"/>
      </w:pPr>
      <w:r>
        <w:t>(i)</w:t>
      </w:r>
      <w:r w:rsidR="00CC4A0B">
        <w:t xml:space="preserve"> </w:t>
      </w:r>
      <w:r w:rsidR="00CC4A0B" w:rsidRPr="00CC4A0B">
        <w:t>the Minister is of the opinion that the activity will result in a significant social or economic benefit to Ontario,</w:t>
      </w:r>
    </w:p>
    <w:p w14:paraId="1BBCC2A7" w14:textId="194453C5" w:rsidR="000E44CB" w:rsidRDefault="000E44CB" w:rsidP="0046164A">
      <w:pPr>
        <w:spacing w:line="360" w:lineRule="auto"/>
        <w:ind w:left="1440"/>
      </w:pPr>
      <w:r>
        <w:t>(ii)</w:t>
      </w:r>
      <w:r w:rsidR="0079388A">
        <w:t xml:space="preserve"> </w:t>
      </w:r>
      <w:r w:rsidR="0079388A" w:rsidRPr="0079388A">
        <w:t>subject to subsection (2.1), the person who would be authorized to engage in the activity has agreed to pay to the Agency any species conservation charge that is required under the permit,</w:t>
      </w:r>
    </w:p>
    <w:p w14:paraId="36E5E1C6" w14:textId="61A904AA" w:rsidR="000E44CB" w:rsidRDefault="000E44CB" w:rsidP="0046164A">
      <w:pPr>
        <w:spacing w:line="360" w:lineRule="auto"/>
        <w:ind w:left="1440"/>
      </w:pPr>
      <w:r>
        <w:lastRenderedPageBreak/>
        <w:t>(iii)</w:t>
      </w:r>
      <w:r w:rsidR="0079388A">
        <w:t xml:space="preserve"> </w:t>
      </w:r>
      <w:r w:rsidR="0079388A" w:rsidRPr="0079388A">
        <w:t>the Minister is of the opinion that the activity will not jeopardize the survival or recovery of the species in Ontario,</w:t>
      </w:r>
    </w:p>
    <w:p w14:paraId="779B37F3" w14:textId="0AEFC086" w:rsidR="000E44CB" w:rsidRDefault="000E44CB" w:rsidP="0046164A">
      <w:pPr>
        <w:spacing w:line="360" w:lineRule="auto"/>
        <w:ind w:left="1440"/>
      </w:pPr>
      <w:r>
        <w:t>(iv)</w:t>
      </w:r>
      <w:r w:rsidR="00D00110">
        <w:t xml:space="preserve"> </w:t>
      </w:r>
      <w:r w:rsidR="00D00110" w:rsidRPr="00D00110">
        <w:t>the Minister is of the opinion that reasonable alternatives have been considered, including alternatives that would not adversely affect the species, and the best alternative has been adopted, and</w:t>
      </w:r>
    </w:p>
    <w:p w14:paraId="30763D7C" w14:textId="4BA22209" w:rsidR="00F41F5B" w:rsidRDefault="000E44CB" w:rsidP="0046164A">
      <w:pPr>
        <w:spacing w:line="360" w:lineRule="auto"/>
        <w:ind w:left="1440"/>
      </w:pPr>
      <w:r>
        <w:t>(v)</w:t>
      </w:r>
      <w:r w:rsidR="002A14D9">
        <w:t xml:space="preserve"> </w:t>
      </w:r>
      <w:r w:rsidR="002A14D9" w:rsidRPr="002A14D9">
        <w:t>the Minister is of the opinion that reasonable steps to minimize adverse effects on the species are required by conditions of the permit.</w:t>
      </w:r>
    </w:p>
    <w:p w14:paraId="76AAE0BA" w14:textId="77777777" w:rsidR="00F41F5B" w:rsidRDefault="00F41F5B" w:rsidP="0046164A">
      <w:pPr>
        <w:spacing w:line="360" w:lineRule="auto"/>
      </w:pPr>
    </w:p>
    <w:p w14:paraId="3DD598C5" w14:textId="1EFF0F78" w:rsidR="00F41F5B" w:rsidRDefault="00F41F5B" w:rsidP="00586A7C">
      <w:pPr>
        <w:sectPr w:rsidR="00F41F5B" w:rsidSect="00E91273">
          <w:pgSz w:w="12240" w:h="15840" w:code="1"/>
          <w:pgMar w:top="1440" w:right="1440" w:bottom="1440" w:left="1440" w:header="720" w:footer="720" w:gutter="0"/>
          <w:pgNumType w:start="1"/>
          <w:cols w:space="720"/>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68AC1881" w14:textId="77777777" w:rsidTr="00663B7A">
        <w:tc>
          <w:tcPr>
            <w:tcW w:w="5941" w:type="dxa"/>
            <w:tcBorders>
              <w:top w:val="nil"/>
              <w:left w:val="nil"/>
              <w:bottom w:val="nil"/>
              <w:right w:val="nil"/>
            </w:tcBorders>
          </w:tcPr>
          <w:p w14:paraId="4652A02C" w14:textId="053519BA" w:rsidR="002F3DDD" w:rsidRPr="003F436A" w:rsidRDefault="00E91273" w:rsidP="00C573D9">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6AD79352"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6B3B9ABC" w14:textId="7113FE9F" w:rsidR="00663B7A" w:rsidRDefault="00E91273" w:rsidP="00216A01">
            <w:pPr>
              <w:spacing w:line="1" w:lineRule="atLeast"/>
              <w:jc w:val="right"/>
              <w:rPr>
                <w:b/>
                <w:color w:val="000000"/>
              </w:rPr>
            </w:pPr>
            <w:r>
              <w:rPr>
                <w:b/>
                <w:color w:val="000000"/>
              </w:rPr>
              <w:t>CONSOLIDATED HOMES</w:t>
            </w:r>
            <w:r w:rsidR="00E052B6" w:rsidRPr="00B30077">
              <w:rPr>
                <w:b/>
                <w:color w:val="000000"/>
              </w:rPr>
              <w:t xml:space="preserve"> LTD.</w:t>
            </w:r>
          </w:p>
        </w:tc>
      </w:tr>
      <w:tr w:rsidR="00663B7A" w14:paraId="5627B7E1" w14:textId="77777777" w:rsidTr="00663B7A">
        <w:tc>
          <w:tcPr>
            <w:tcW w:w="5941" w:type="dxa"/>
            <w:tcBorders>
              <w:top w:val="nil"/>
              <w:left w:val="nil"/>
              <w:bottom w:val="nil"/>
              <w:right w:val="nil"/>
            </w:tcBorders>
          </w:tcPr>
          <w:p w14:paraId="2D34F098" w14:textId="6128A87E" w:rsidR="00663B7A" w:rsidRDefault="00663B7A" w:rsidP="00CE6DCA">
            <w:pPr>
              <w:spacing w:line="1" w:lineRule="atLeast"/>
              <w:rPr>
                <w:color w:val="000000"/>
              </w:rPr>
            </w:pPr>
            <w:r>
              <w:rPr>
                <w:color w:val="000000"/>
              </w:rPr>
              <w:t>APPELLANT</w:t>
            </w:r>
            <w:r>
              <w:rPr>
                <w:color w:val="000000"/>
              </w:rPr>
              <w:br/>
            </w:r>
          </w:p>
        </w:tc>
        <w:tc>
          <w:tcPr>
            <w:tcW w:w="1105" w:type="dxa"/>
            <w:tcBorders>
              <w:top w:val="nil"/>
              <w:left w:val="nil"/>
              <w:bottom w:val="nil"/>
              <w:right w:val="nil"/>
            </w:tcBorders>
          </w:tcPr>
          <w:p w14:paraId="62FEC7FD" w14:textId="77777777" w:rsidR="00663B7A" w:rsidRDefault="00663B7A">
            <w:pPr>
              <w:spacing w:line="1" w:lineRule="atLeast"/>
              <w:jc w:val="center"/>
              <w:rPr>
                <w:color w:val="000000"/>
              </w:rPr>
            </w:pPr>
          </w:p>
        </w:tc>
        <w:tc>
          <w:tcPr>
            <w:tcW w:w="5914" w:type="dxa"/>
            <w:tcBorders>
              <w:top w:val="nil"/>
              <w:left w:val="nil"/>
              <w:bottom w:val="nil"/>
              <w:right w:val="nil"/>
            </w:tcBorders>
          </w:tcPr>
          <w:p w14:paraId="634B2DC5" w14:textId="312DA9C4" w:rsidR="00663B7A" w:rsidRDefault="00CE6DCA" w:rsidP="00CE6DCA">
            <w:pPr>
              <w:spacing w:line="1" w:lineRule="atLeast"/>
              <w:jc w:val="right"/>
              <w:rPr>
                <w:color w:val="000000"/>
              </w:rPr>
            </w:pPr>
            <w:r>
              <w:rPr>
                <w:color w:val="000000"/>
              </w:rPr>
              <w:t>RESPONDENT</w:t>
            </w:r>
            <w:r>
              <w:rPr>
                <w:color w:val="000000"/>
              </w:rPr>
              <w:br/>
            </w:r>
          </w:p>
        </w:tc>
      </w:tr>
    </w:tbl>
    <w:p w14:paraId="4CC6205C" w14:textId="2AB43AAB" w:rsidR="00663B7A" w:rsidRDefault="00C606E4" w:rsidP="00663B7A">
      <w:pPr>
        <w:spacing w:before="240"/>
        <w:jc w:val="right"/>
        <w:rPr>
          <w:noProof/>
        </w:rPr>
      </w:pPr>
      <w:r>
        <w:t>S.</w:t>
      </w:r>
      <w:r w:rsidR="00896769">
        <w:t>E.M.C.C. File Number: 0</w:t>
      </w:r>
      <w:r w:rsidR="00E052B6">
        <w:t>2</w:t>
      </w:r>
      <w:r w:rsidR="00896769">
        <w:t>-</w:t>
      </w:r>
      <w:r w:rsidR="00E91273">
        <w:t>14</w:t>
      </w:r>
      <w:r w:rsidR="00896769">
        <w:t>-</w:t>
      </w:r>
      <w:r w:rsidR="00915A04">
        <w:t>202</w:t>
      </w:r>
      <w:r w:rsidR="00E91273">
        <w:t>6</w:t>
      </w:r>
    </w:p>
    <w:tbl>
      <w:tblPr>
        <w:tblW w:w="13230" w:type="dxa"/>
        <w:tblInd w:w="-72" w:type="dxa"/>
        <w:tblLayout w:type="fixed"/>
        <w:tblLook w:val="0000" w:firstRow="0" w:lastRow="0" w:firstColumn="0" w:lastColumn="0" w:noHBand="0" w:noVBand="0"/>
      </w:tblPr>
      <w:tblGrid>
        <w:gridCol w:w="8729"/>
        <w:gridCol w:w="4501"/>
      </w:tblGrid>
      <w:tr w:rsidR="00663B7A" w14:paraId="2BFF4952" w14:textId="77777777" w:rsidTr="00EF7E0B">
        <w:trPr>
          <w:cantSplit/>
          <w:trHeight w:val="1065"/>
        </w:trPr>
        <w:tc>
          <w:tcPr>
            <w:tcW w:w="8729" w:type="dxa"/>
            <w:vMerge w:val="restart"/>
            <w:tcBorders>
              <w:top w:val="single" w:sz="6" w:space="0" w:color="auto"/>
              <w:left w:val="nil"/>
              <w:bottom w:val="nil"/>
              <w:right w:val="nil"/>
            </w:tcBorders>
          </w:tcPr>
          <w:p w14:paraId="67D4394B" w14:textId="77777777" w:rsidR="00663B7A" w:rsidRDefault="00663B7A">
            <w:pPr>
              <w:rPr>
                <w:noProof/>
              </w:rPr>
            </w:pPr>
          </w:p>
          <w:p w14:paraId="53A6E436" w14:textId="77777777" w:rsidR="00663B7A" w:rsidRDefault="00663B7A">
            <w:pPr>
              <w:rPr>
                <w:noProof/>
              </w:rPr>
            </w:pPr>
          </w:p>
        </w:tc>
        <w:tc>
          <w:tcPr>
            <w:tcW w:w="4501" w:type="dxa"/>
            <w:tcBorders>
              <w:top w:val="single" w:sz="6" w:space="0" w:color="auto"/>
              <w:left w:val="single" w:sz="6" w:space="0" w:color="auto"/>
              <w:bottom w:val="double" w:sz="4" w:space="0" w:color="auto"/>
              <w:right w:val="nil"/>
            </w:tcBorders>
          </w:tcPr>
          <w:p w14:paraId="448DD005" w14:textId="77777777" w:rsidR="00663B7A" w:rsidRPr="00287298" w:rsidRDefault="00663B7A" w:rsidP="00031F01">
            <w:pPr>
              <w:jc w:val="center"/>
              <w:rPr>
                <w:noProof/>
              </w:rPr>
            </w:pPr>
          </w:p>
          <w:p w14:paraId="0F7238F2" w14:textId="77777777" w:rsidR="00663B7A" w:rsidRPr="00287298" w:rsidRDefault="00663B7A" w:rsidP="00031F01">
            <w:pPr>
              <w:pStyle w:val="TitleBold"/>
              <w:rPr>
                <w:b w:val="0"/>
                <w:sz w:val="24"/>
              </w:rPr>
            </w:pPr>
            <w:r w:rsidRPr="00287298">
              <w:rPr>
                <w:b w:val="0"/>
                <w:sz w:val="24"/>
              </w:rPr>
              <w:t>SUPREME ENVIRONMENTAL MOOT COURT OF CANADA</w:t>
            </w:r>
            <w:r w:rsidRPr="00287298">
              <w:rPr>
                <w:noProof/>
                <w:sz w:val="24"/>
              </w:rPr>
              <w:br/>
            </w:r>
          </w:p>
        </w:tc>
      </w:tr>
      <w:tr w:rsidR="00663B7A" w14:paraId="65A63C80" w14:textId="77777777" w:rsidTr="00EF6D27">
        <w:trPr>
          <w:cantSplit/>
          <w:trHeight w:val="1221"/>
        </w:trPr>
        <w:tc>
          <w:tcPr>
            <w:tcW w:w="8729" w:type="dxa"/>
            <w:vMerge/>
            <w:tcBorders>
              <w:top w:val="nil"/>
              <w:left w:val="nil"/>
              <w:bottom w:val="nil"/>
              <w:right w:val="nil"/>
            </w:tcBorders>
          </w:tcPr>
          <w:p w14:paraId="7BACAB79" w14:textId="77777777" w:rsidR="00663B7A" w:rsidRDefault="00663B7A">
            <w:pPr>
              <w:rPr>
                <w:noProof/>
              </w:rPr>
            </w:pPr>
          </w:p>
        </w:tc>
        <w:tc>
          <w:tcPr>
            <w:tcW w:w="4501" w:type="dxa"/>
            <w:tcBorders>
              <w:top w:val="double" w:sz="4" w:space="0" w:color="auto"/>
              <w:left w:val="single" w:sz="6" w:space="0" w:color="auto"/>
              <w:bottom w:val="double" w:sz="4" w:space="0" w:color="auto"/>
              <w:right w:val="nil"/>
            </w:tcBorders>
          </w:tcPr>
          <w:p w14:paraId="2A3B353F" w14:textId="77777777" w:rsidR="00663B7A" w:rsidRPr="00287298" w:rsidRDefault="00663B7A" w:rsidP="00031F01">
            <w:pPr>
              <w:jc w:val="center"/>
              <w:rPr>
                <w:b/>
                <w:bCs/>
                <w:noProof/>
              </w:rPr>
            </w:pPr>
          </w:p>
          <w:p w14:paraId="3C768821" w14:textId="77777777" w:rsidR="00663B7A" w:rsidRPr="00287298" w:rsidRDefault="00663B7A" w:rsidP="00031F01">
            <w:pPr>
              <w:jc w:val="center"/>
              <w:rPr>
                <w:b/>
                <w:bCs/>
                <w:noProof/>
              </w:rPr>
            </w:pPr>
            <w:r w:rsidRPr="00287298">
              <w:rPr>
                <w:b/>
                <w:bCs/>
                <w:noProof/>
              </w:rPr>
              <w:t xml:space="preserve">FACTUM OF THE </w:t>
            </w:r>
            <w:r w:rsidR="00EE2290" w:rsidRPr="00287298">
              <w:rPr>
                <w:b/>
                <w:bCs/>
                <w:noProof/>
              </w:rPr>
              <w:t>RESPONDENT</w:t>
            </w:r>
          </w:p>
          <w:p w14:paraId="4E9465D9" w14:textId="1D376E30" w:rsidR="00C300C4" w:rsidRDefault="00E91273" w:rsidP="001655FD">
            <w:pPr>
              <w:jc w:val="center"/>
              <w:rPr>
                <w:b/>
                <w:bCs/>
                <w:noProof/>
              </w:rPr>
            </w:pPr>
            <w:r>
              <w:rPr>
                <w:b/>
                <w:color w:val="000000"/>
              </w:rPr>
              <w:t>CONSOLIDATED HOMES</w:t>
            </w:r>
            <w:r w:rsidR="00E052B6" w:rsidRPr="00E052B6">
              <w:rPr>
                <w:b/>
                <w:color w:val="000000"/>
              </w:rPr>
              <w:t xml:space="preserve"> LTD.</w:t>
            </w:r>
          </w:p>
          <w:p w14:paraId="08A2B92A" w14:textId="77777777" w:rsidR="00890B0B" w:rsidRPr="005902D1" w:rsidRDefault="00890B0B" w:rsidP="001655FD">
            <w:pPr>
              <w:jc w:val="center"/>
              <w:rPr>
                <w:b/>
                <w:bCs/>
                <w:noProof/>
              </w:rPr>
            </w:pPr>
          </w:p>
        </w:tc>
      </w:tr>
      <w:tr w:rsidR="00663B7A" w14:paraId="7951E9B4" w14:textId="77777777" w:rsidTr="00EE2290">
        <w:trPr>
          <w:trHeight w:val="4155"/>
        </w:trPr>
        <w:tc>
          <w:tcPr>
            <w:tcW w:w="8729" w:type="dxa"/>
            <w:vMerge/>
            <w:tcBorders>
              <w:top w:val="nil"/>
              <w:left w:val="nil"/>
              <w:bottom w:val="nil"/>
              <w:right w:val="nil"/>
            </w:tcBorders>
          </w:tcPr>
          <w:p w14:paraId="356BD5D7" w14:textId="77777777" w:rsidR="00663B7A" w:rsidRDefault="00663B7A">
            <w:pPr>
              <w:rPr>
                <w:noProof/>
              </w:rPr>
            </w:pPr>
          </w:p>
        </w:tc>
        <w:tc>
          <w:tcPr>
            <w:tcW w:w="4501" w:type="dxa"/>
            <w:tcBorders>
              <w:top w:val="double" w:sz="4" w:space="0" w:color="auto"/>
              <w:left w:val="single" w:sz="6" w:space="0" w:color="auto"/>
              <w:bottom w:val="nil"/>
              <w:right w:val="nil"/>
            </w:tcBorders>
          </w:tcPr>
          <w:p w14:paraId="04F75CB2" w14:textId="77777777" w:rsidR="00663B7A" w:rsidRPr="00287298" w:rsidRDefault="00663B7A" w:rsidP="00031F01">
            <w:pPr>
              <w:pStyle w:val="BodyText"/>
              <w:jc w:val="center"/>
              <w:rPr>
                <w:noProof/>
              </w:rPr>
            </w:pPr>
          </w:p>
          <w:p w14:paraId="20ABC5FF" w14:textId="6D2F8B3D" w:rsidR="00663B7A" w:rsidRPr="00287298" w:rsidRDefault="00663B7A" w:rsidP="00031F01">
            <w:pPr>
              <w:widowControl w:val="0"/>
              <w:ind w:left="96"/>
              <w:jc w:val="center"/>
              <w:rPr>
                <w:b/>
                <w:bCs/>
              </w:rPr>
            </w:pPr>
            <w:r w:rsidRPr="00287298">
              <w:rPr>
                <w:b/>
                <w:bCs/>
              </w:rPr>
              <w:t>TEAM #</w:t>
            </w:r>
            <w:r w:rsidR="005B67F1">
              <w:rPr>
                <w:b/>
                <w:bCs/>
              </w:rPr>
              <w:fldChar w:fldCharType="begin">
                <w:ffData>
                  <w:name w:val="Text4"/>
                  <w:enabled/>
                  <w:calcOnExit w:val="0"/>
                  <w:textInput>
                    <w:default w:val="2026-04"/>
                  </w:textInput>
                </w:ffData>
              </w:fldChar>
            </w:r>
            <w:bookmarkStart w:id="37" w:name="Text4"/>
            <w:r w:rsidR="005B67F1">
              <w:rPr>
                <w:b/>
                <w:bCs/>
              </w:rPr>
              <w:instrText xml:space="preserve"> FORMTEXT </w:instrText>
            </w:r>
            <w:r w:rsidR="005B67F1">
              <w:rPr>
                <w:b/>
                <w:bCs/>
              </w:rPr>
            </w:r>
            <w:r w:rsidR="005B67F1">
              <w:rPr>
                <w:b/>
                <w:bCs/>
              </w:rPr>
              <w:fldChar w:fldCharType="separate"/>
            </w:r>
            <w:r w:rsidR="005907C5">
              <w:rPr>
                <w:b/>
                <w:bCs/>
                <w:noProof/>
              </w:rPr>
              <w:t>2026-04</w:t>
            </w:r>
            <w:r w:rsidR="005B67F1">
              <w:rPr>
                <w:b/>
                <w:bCs/>
              </w:rPr>
              <w:fldChar w:fldCharType="end"/>
            </w:r>
            <w:bookmarkEnd w:id="37"/>
          </w:p>
          <w:p w14:paraId="78D79D5A" w14:textId="77777777" w:rsidR="00287298" w:rsidRPr="00287298" w:rsidRDefault="00287298" w:rsidP="00031F01">
            <w:pPr>
              <w:widowControl w:val="0"/>
              <w:ind w:left="96"/>
              <w:jc w:val="center"/>
              <w:rPr>
                <w:b/>
                <w:bCs/>
              </w:rPr>
            </w:pPr>
          </w:p>
          <w:p w14:paraId="02BC7E1C" w14:textId="03D4FD48" w:rsidR="00287298" w:rsidRPr="00287298" w:rsidRDefault="00306D6F" w:rsidP="00287298">
            <w:pPr>
              <w:widowControl w:val="0"/>
              <w:ind w:left="96"/>
              <w:jc w:val="center"/>
              <w:rPr>
                <w:b/>
                <w:bCs/>
              </w:rPr>
            </w:pPr>
            <w:r>
              <w:rPr>
                <w:b/>
                <w:bCs/>
              </w:rPr>
              <w:fldChar w:fldCharType="begin">
                <w:ffData>
                  <w:name w:val="Text5"/>
                  <w:enabled/>
                  <w:calcOnExit w:val="0"/>
                  <w:textInput>
                    <w:default w:val="Henry Challen"/>
                  </w:textInput>
                </w:ffData>
              </w:fldChar>
            </w:r>
            <w:bookmarkStart w:id="38" w:name="Text5"/>
            <w:r>
              <w:rPr>
                <w:b/>
                <w:bCs/>
              </w:rPr>
              <w:instrText xml:space="preserve"> FORMTEXT </w:instrText>
            </w:r>
            <w:r>
              <w:rPr>
                <w:b/>
                <w:bCs/>
              </w:rPr>
            </w:r>
            <w:r>
              <w:rPr>
                <w:b/>
                <w:bCs/>
              </w:rPr>
              <w:fldChar w:fldCharType="separate"/>
            </w:r>
            <w:r w:rsidR="005907C5">
              <w:rPr>
                <w:b/>
                <w:bCs/>
                <w:noProof/>
              </w:rPr>
              <w:t>Henry Challen</w:t>
            </w:r>
            <w:r>
              <w:rPr>
                <w:b/>
                <w:bCs/>
              </w:rPr>
              <w:fldChar w:fldCharType="end"/>
            </w:r>
            <w:bookmarkEnd w:id="38"/>
          </w:p>
          <w:p w14:paraId="143EA7C1" w14:textId="3DD10CB6" w:rsidR="00287298" w:rsidRPr="00287298" w:rsidRDefault="00306D6F" w:rsidP="00287298">
            <w:pPr>
              <w:widowControl w:val="0"/>
              <w:ind w:left="96"/>
              <w:jc w:val="center"/>
              <w:rPr>
                <w:b/>
                <w:bCs/>
              </w:rPr>
            </w:pPr>
            <w:r>
              <w:rPr>
                <w:b/>
                <w:bCs/>
              </w:rPr>
              <w:fldChar w:fldCharType="begin">
                <w:ffData>
                  <w:name w:val=""/>
                  <w:enabled/>
                  <w:calcOnExit w:val="0"/>
                  <w:textInput>
                    <w:default w:val="Shuaib Chauhan"/>
                  </w:textInput>
                </w:ffData>
              </w:fldChar>
            </w:r>
            <w:r>
              <w:rPr>
                <w:b/>
                <w:bCs/>
              </w:rPr>
              <w:instrText xml:space="preserve"> FORMTEXT </w:instrText>
            </w:r>
            <w:r>
              <w:rPr>
                <w:b/>
                <w:bCs/>
              </w:rPr>
            </w:r>
            <w:r>
              <w:rPr>
                <w:b/>
                <w:bCs/>
              </w:rPr>
              <w:fldChar w:fldCharType="separate"/>
            </w:r>
            <w:r w:rsidR="005907C5">
              <w:rPr>
                <w:b/>
                <w:bCs/>
                <w:noProof/>
              </w:rPr>
              <w:t>Shuaib Chauhan</w:t>
            </w:r>
            <w:r>
              <w:rPr>
                <w:b/>
                <w:bCs/>
              </w:rPr>
              <w:fldChar w:fldCharType="end"/>
            </w:r>
          </w:p>
          <w:p w14:paraId="42B657B4" w14:textId="3D88D844" w:rsidR="00287298" w:rsidRPr="00287298" w:rsidRDefault="00306D6F" w:rsidP="00287298">
            <w:pPr>
              <w:widowControl w:val="0"/>
              <w:ind w:left="96"/>
              <w:jc w:val="center"/>
              <w:rPr>
                <w:bCs/>
              </w:rPr>
            </w:pPr>
            <w:r>
              <w:rPr>
                <w:b/>
                <w:bCs/>
              </w:rPr>
              <w:fldChar w:fldCharType="begin">
                <w:ffData>
                  <w:name w:val=""/>
                  <w:enabled/>
                  <w:calcOnExit w:val="0"/>
                  <w:textInput>
                    <w:default w:val="Julia Singer"/>
                  </w:textInput>
                </w:ffData>
              </w:fldChar>
            </w:r>
            <w:r>
              <w:rPr>
                <w:b/>
                <w:bCs/>
              </w:rPr>
              <w:instrText xml:space="preserve"> FORMTEXT </w:instrText>
            </w:r>
            <w:r>
              <w:rPr>
                <w:b/>
                <w:bCs/>
              </w:rPr>
            </w:r>
            <w:r>
              <w:rPr>
                <w:b/>
                <w:bCs/>
              </w:rPr>
              <w:fldChar w:fldCharType="separate"/>
            </w:r>
            <w:r w:rsidR="005907C5">
              <w:rPr>
                <w:b/>
                <w:bCs/>
                <w:noProof/>
              </w:rPr>
              <w:t>Julia Singer</w:t>
            </w:r>
            <w:r>
              <w:rPr>
                <w:b/>
                <w:bCs/>
              </w:rPr>
              <w:fldChar w:fldCharType="end"/>
            </w:r>
          </w:p>
          <w:p w14:paraId="684F74E5" w14:textId="77777777" w:rsidR="00287298" w:rsidRPr="00287298" w:rsidRDefault="00287298" w:rsidP="00287298">
            <w:pPr>
              <w:widowControl w:val="0"/>
              <w:ind w:left="96"/>
              <w:jc w:val="center"/>
              <w:rPr>
                <w:bCs/>
              </w:rPr>
            </w:pPr>
          </w:p>
          <w:p w14:paraId="4B447398" w14:textId="77777777" w:rsidR="00287298" w:rsidRPr="00287298" w:rsidRDefault="000B51BA" w:rsidP="00287298">
            <w:pPr>
              <w:widowControl w:val="0"/>
              <w:ind w:left="96"/>
              <w:jc w:val="center"/>
              <w:rPr>
                <w:bCs/>
              </w:rPr>
            </w:pPr>
            <w:r>
              <w:rPr>
                <w:bCs/>
              </w:rPr>
              <w:t>Counsel</w:t>
            </w:r>
            <w:r w:rsidR="00287298" w:rsidRPr="00287298">
              <w:rPr>
                <w:bCs/>
              </w:rPr>
              <w:t xml:space="preserve"> for the Respondent,</w:t>
            </w:r>
          </w:p>
          <w:p w14:paraId="32015CCD" w14:textId="302FA017" w:rsidR="00287298" w:rsidRPr="00287298" w:rsidRDefault="00E91273" w:rsidP="00EF6D27">
            <w:pPr>
              <w:jc w:val="center"/>
              <w:rPr>
                <w:color w:val="000000"/>
              </w:rPr>
            </w:pPr>
            <w:r>
              <w:t>Consolidated Homes</w:t>
            </w:r>
            <w:r w:rsidR="00594299">
              <w:t xml:space="preserve"> Ltd.</w:t>
            </w:r>
          </w:p>
        </w:tc>
      </w:tr>
    </w:tbl>
    <w:p w14:paraId="72867BEF" w14:textId="5E3C1C49" w:rsidR="00501E7F" w:rsidRPr="00687CFB" w:rsidRDefault="00B30F48" w:rsidP="00EF6D27">
      <w:pPr>
        <w:pStyle w:val="DocsID"/>
        <w:rPr>
          <w:rFonts w:ascii="Arial" w:hAnsi="Arial" w:cs="Arial"/>
        </w:rPr>
      </w:pPr>
      <w:bookmarkStart w:id="39" w:name="docsstamplast"/>
      <w:r w:rsidRPr="00687CFB">
        <w:rPr>
          <w:rFonts w:ascii="Arial" w:hAnsi="Arial" w:cs="Arial"/>
        </w:rPr>
        <w:t>Document #:</w:t>
      </w:r>
      <w:bookmarkEnd w:id="39"/>
      <w:r w:rsidR="00501E7F" w:rsidRPr="00687CFB">
        <w:rPr>
          <w:rFonts w:ascii="Arial" w:hAnsi="Arial" w:cs="Arial"/>
        </w:rPr>
        <w:fldChar w:fldCharType="begin"/>
      </w:r>
      <w:r w:rsidR="00501E7F" w:rsidRPr="00687CFB">
        <w:rPr>
          <w:rFonts w:ascii="Arial" w:hAnsi="Arial" w:cs="Arial"/>
        </w:rPr>
        <w:instrText xml:space="preserve"> DOCVARIABLE ndGeneratedStamp \* MERGEFORMAT </w:instrText>
      </w:r>
      <w:r w:rsidR="00501E7F" w:rsidRPr="00687CFB">
        <w:rPr>
          <w:rFonts w:ascii="Arial" w:hAnsi="Arial" w:cs="Arial"/>
        </w:rPr>
        <w:fldChar w:fldCharType="separate"/>
      </w:r>
      <w:r w:rsidR="005907C5">
        <w:rPr>
          <w:rFonts w:ascii="Arial" w:hAnsi="Arial" w:cs="Arial"/>
        </w:rPr>
        <w:t>1392-9822-7483, v. 1</w:t>
      </w:r>
      <w:r w:rsidR="00501E7F" w:rsidRPr="00687CFB">
        <w:rPr>
          <w:rFonts w:ascii="Arial" w:hAnsi="Arial" w:cs="Arial"/>
        </w:rPr>
        <w:fldChar w:fldCharType="end"/>
      </w:r>
    </w:p>
    <w:sectPr w:rsidR="00501E7F" w:rsidRPr="00687CFB" w:rsidSect="000623D3">
      <w:pgSz w:w="15840" w:h="12240" w:orient="landscape"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A924" w14:textId="77777777" w:rsidR="00C33986" w:rsidRDefault="00C33986" w:rsidP="00FC1F68">
      <w:r>
        <w:separator/>
      </w:r>
    </w:p>
  </w:endnote>
  <w:endnote w:type="continuationSeparator" w:id="0">
    <w:p w14:paraId="224C804E" w14:textId="77777777" w:rsidR="00C33986" w:rsidRDefault="00C33986"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5F83" w14:textId="28C51AF5" w:rsidR="007C43C1" w:rsidRDefault="007C43C1" w:rsidP="007C43C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1B5C" w14:textId="77777777" w:rsidR="00C33986" w:rsidRDefault="00C33986" w:rsidP="00FC1F68">
      <w:r>
        <w:separator/>
      </w:r>
    </w:p>
  </w:footnote>
  <w:footnote w:type="continuationSeparator" w:id="0">
    <w:p w14:paraId="141397CF" w14:textId="77777777" w:rsidR="00C33986" w:rsidRDefault="00C33986" w:rsidP="00FC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31A"/>
    <w:multiLevelType w:val="multilevel"/>
    <w:tmpl w:val="2FD678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A91DA3"/>
    <w:multiLevelType w:val="multilevel"/>
    <w:tmpl w:val="48C8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39177A"/>
    <w:multiLevelType w:val="hybridMultilevel"/>
    <w:tmpl w:val="CCA0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2CB5690E"/>
    <w:multiLevelType w:val="multilevel"/>
    <w:tmpl w:val="FED6F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AA1B95"/>
    <w:multiLevelType w:val="hybridMultilevel"/>
    <w:tmpl w:val="8E96B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E024E"/>
    <w:multiLevelType w:val="multilevel"/>
    <w:tmpl w:val="4F223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673A1D"/>
    <w:multiLevelType w:val="hybridMultilevel"/>
    <w:tmpl w:val="5128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2416F"/>
    <w:multiLevelType w:val="hybridMultilevel"/>
    <w:tmpl w:val="EB2C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71451"/>
    <w:multiLevelType w:val="multilevel"/>
    <w:tmpl w:val="4F0A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9D4AC1"/>
    <w:multiLevelType w:val="hybridMultilevel"/>
    <w:tmpl w:val="40124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E3BFA"/>
    <w:multiLevelType w:val="hybridMultilevel"/>
    <w:tmpl w:val="48EA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81D3C"/>
    <w:multiLevelType w:val="multilevel"/>
    <w:tmpl w:val="59D49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6D440E"/>
    <w:multiLevelType w:val="multilevel"/>
    <w:tmpl w:val="1FA8B7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E35B8D"/>
    <w:multiLevelType w:val="multilevel"/>
    <w:tmpl w:val="8F74F9BA"/>
    <w:lvl w:ilvl="0">
      <w:start w:val="1"/>
      <w:numFmt w:val="decimal"/>
      <w:pStyle w:val="WSParaNum"/>
      <w:lvlText w:val="%1"/>
      <w:lvlJc w:val="left"/>
      <w:pPr>
        <w:tabs>
          <w:tab w:val="num" w:pos="720"/>
        </w:tabs>
        <w:ind w:left="0" w:firstLine="0"/>
      </w:pPr>
      <w:rPr>
        <w:rFonts w:hint="default"/>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274AEC"/>
    <w:multiLevelType w:val="multilevel"/>
    <w:tmpl w:val="22AA4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EA3F27"/>
    <w:multiLevelType w:val="multilevel"/>
    <w:tmpl w:val="05E0CD08"/>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bCs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630987846">
    <w:abstractNumId w:val="18"/>
  </w:num>
  <w:num w:numId="2" w16cid:durableId="748692426">
    <w:abstractNumId w:val="11"/>
  </w:num>
  <w:num w:numId="3" w16cid:durableId="775254267">
    <w:abstractNumId w:val="10"/>
  </w:num>
  <w:num w:numId="4" w16cid:durableId="2099864798">
    <w:abstractNumId w:val="16"/>
  </w:num>
  <w:num w:numId="5" w16cid:durableId="210194528">
    <w:abstractNumId w:val="3"/>
  </w:num>
  <w:num w:numId="6" w16cid:durableId="1441143604">
    <w:abstractNumId w:val="13"/>
  </w:num>
  <w:num w:numId="7" w16cid:durableId="159196333">
    <w:abstractNumId w:val="1"/>
  </w:num>
  <w:num w:numId="8" w16cid:durableId="2042894430">
    <w:abstractNumId w:val="6"/>
  </w:num>
  <w:num w:numId="9" w16cid:durableId="1686129467">
    <w:abstractNumId w:val="0"/>
  </w:num>
  <w:num w:numId="10" w16cid:durableId="1542473911">
    <w:abstractNumId w:val="15"/>
  </w:num>
  <w:num w:numId="11" w16cid:durableId="521750163">
    <w:abstractNumId w:val="5"/>
  </w:num>
  <w:num w:numId="12" w16cid:durableId="1183515561">
    <w:abstractNumId w:val="9"/>
  </w:num>
  <w:num w:numId="13" w16cid:durableId="820266978">
    <w:abstractNumId w:val="4"/>
  </w:num>
  <w:num w:numId="14" w16cid:durableId="1702172355">
    <w:abstractNumId w:val="17"/>
  </w:num>
  <w:num w:numId="15" w16cid:durableId="1169056629">
    <w:abstractNumId w:val="14"/>
  </w:num>
  <w:num w:numId="16" w16cid:durableId="448091935">
    <w:abstractNumId w:val="2"/>
  </w:num>
  <w:num w:numId="17" w16cid:durableId="43410537">
    <w:abstractNumId w:val="7"/>
  </w:num>
  <w:num w:numId="18" w16cid:durableId="589317563">
    <w:abstractNumId w:val="12"/>
  </w:num>
  <w:num w:numId="19" w16cid:durableId="1923098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1392-9822-7483, v. 1"/>
    <w:docVar w:name="ndGeneratedStampLocation" w:val="LastPage"/>
  </w:docVars>
  <w:rsids>
    <w:rsidRoot w:val="00982941"/>
    <w:rsid w:val="0000085B"/>
    <w:rsid w:val="00001670"/>
    <w:rsid w:val="000016C4"/>
    <w:rsid w:val="0000262D"/>
    <w:rsid w:val="000027E7"/>
    <w:rsid w:val="00002E37"/>
    <w:rsid w:val="00004125"/>
    <w:rsid w:val="00004A53"/>
    <w:rsid w:val="00005CC3"/>
    <w:rsid w:val="0000601E"/>
    <w:rsid w:val="000066AB"/>
    <w:rsid w:val="00006725"/>
    <w:rsid w:val="00006D8F"/>
    <w:rsid w:val="00006EE9"/>
    <w:rsid w:val="00007620"/>
    <w:rsid w:val="00007A93"/>
    <w:rsid w:val="00007E60"/>
    <w:rsid w:val="00007FD4"/>
    <w:rsid w:val="000100D8"/>
    <w:rsid w:val="000108CA"/>
    <w:rsid w:val="00010F56"/>
    <w:rsid w:val="00011410"/>
    <w:rsid w:val="00011CD7"/>
    <w:rsid w:val="00012D84"/>
    <w:rsid w:val="000138FE"/>
    <w:rsid w:val="00014169"/>
    <w:rsid w:val="000142B6"/>
    <w:rsid w:val="00014424"/>
    <w:rsid w:val="00014496"/>
    <w:rsid w:val="00014C6D"/>
    <w:rsid w:val="00016E4C"/>
    <w:rsid w:val="000176E9"/>
    <w:rsid w:val="00020D0E"/>
    <w:rsid w:val="00020D23"/>
    <w:rsid w:val="0002139E"/>
    <w:rsid w:val="00022451"/>
    <w:rsid w:val="000224B2"/>
    <w:rsid w:val="00022A70"/>
    <w:rsid w:val="00022D5E"/>
    <w:rsid w:val="000237AD"/>
    <w:rsid w:val="00023A2C"/>
    <w:rsid w:val="00024467"/>
    <w:rsid w:val="000248DF"/>
    <w:rsid w:val="00025C31"/>
    <w:rsid w:val="00025D91"/>
    <w:rsid w:val="00026B69"/>
    <w:rsid w:val="00027834"/>
    <w:rsid w:val="00030640"/>
    <w:rsid w:val="000307A5"/>
    <w:rsid w:val="000308F6"/>
    <w:rsid w:val="000309CB"/>
    <w:rsid w:val="000311AE"/>
    <w:rsid w:val="00031221"/>
    <w:rsid w:val="000312D8"/>
    <w:rsid w:val="00031F01"/>
    <w:rsid w:val="000327A8"/>
    <w:rsid w:val="00032A69"/>
    <w:rsid w:val="00032A90"/>
    <w:rsid w:val="00032B48"/>
    <w:rsid w:val="00032D5A"/>
    <w:rsid w:val="000343A6"/>
    <w:rsid w:val="00034D63"/>
    <w:rsid w:val="000357B7"/>
    <w:rsid w:val="000369A4"/>
    <w:rsid w:val="0003757F"/>
    <w:rsid w:val="00037BFB"/>
    <w:rsid w:val="0004044C"/>
    <w:rsid w:val="00040DB5"/>
    <w:rsid w:val="00041446"/>
    <w:rsid w:val="00043836"/>
    <w:rsid w:val="00043FCB"/>
    <w:rsid w:val="00044DB8"/>
    <w:rsid w:val="00046DA6"/>
    <w:rsid w:val="0005004E"/>
    <w:rsid w:val="00050174"/>
    <w:rsid w:val="0005046A"/>
    <w:rsid w:val="000504C3"/>
    <w:rsid w:val="000517B5"/>
    <w:rsid w:val="000527B4"/>
    <w:rsid w:val="00052CD8"/>
    <w:rsid w:val="00053864"/>
    <w:rsid w:val="0005458D"/>
    <w:rsid w:val="000548C6"/>
    <w:rsid w:val="00055502"/>
    <w:rsid w:val="00056663"/>
    <w:rsid w:val="00057060"/>
    <w:rsid w:val="000578E8"/>
    <w:rsid w:val="00060419"/>
    <w:rsid w:val="00060567"/>
    <w:rsid w:val="00060724"/>
    <w:rsid w:val="000607E6"/>
    <w:rsid w:val="00060D89"/>
    <w:rsid w:val="0006143E"/>
    <w:rsid w:val="000623AC"/>
    <w:rsid w:val="000623D3"/>
    <w:rsid w:val="00063336"/>
    <w:rsid w:val="00063D52"/>
    <w:rsid w:val="00064251"/>
    <w:rsid w:val="0006446A"/>
    <w:rsid w:val="0006652E"/>
    <w:rsid w:val="00066CC6"/>
    <w:rsid w:val="0006723C"/>
    <w:rsid w:val="00067F1C"/>
    <w:rsid w:val="00067F84"/>
    <w:rsid w:val="0007098C"/>
    <w:rsid w:val="00070A1A"/>
    <w:rsid w:val="00070D1B"/>
    <w:rsid w:val="000714CE"/>
    <w:rsid w:val="00071805"/>
    <w:rsid w:val="00071A24"/>
    <w:rsid w:val="00071AE7"/>
    <w:rsid w:val="00072A5F"/>
    <w:rsid w:val="00073025"/>
    <w:rsid w:val="00073C2E"/>
    <w:rsid w:val="00074376"/>
    <w:rsid w:val="000764B7"/>
    <w:rsid w:val="000769D7"/>
    <w:rsid w:val="00077A4C"/>
    <w:rsid w:val="00080BC2"/>
    <w:rsid w:val="000817F4"/>
    <w:rsid w:val="00081D5F"/>
    <w:rsid w:val="000820D7"/>
    <w:rsid w:val="00082126"/>
    <w:rsid w:val="000821AF"/>
    <w:rsid w:val="00082AA3"/>
    <w:rsid w:val="00084928"/>
    <w:rsid w:val="00084BEF"/>
    <w:rsid w:val="000855CC"/>
    <w:rsid w:val="00085EA5"/>
    <w:rsid w:val="000860B8"/>
    <w:rsid w:val="000865C2"/>
    <w:rsid w:val="000866F9"/>
    <w:rsid w:val="00086C03"/>
    <w:rsid w:val="0008708B"/>
    <w:rsid w:val="000903E9"/>
    <w:rsid w:val="00090998"/>
    <w:rsid w:val="00090E9F"/>
    <w:rsid w:val="00091946"/>
    <w:rsid w:val="00092383"/>
    <w:rsid w:val="000924DB"/>
    <w:rsid w:val="00092508"/>
    <w:rsid w:val="00093A8E"/>
    <w:rsid w:val="000942CA"/>
    <w:rsid w:val="00094363"/>
    <w:rsid w:val="00094C28"/>
    <w:rsid w:val="00095C7D"/>
    <w:rsid w:val="00096C42"/>
    <w:rsid w:val="00096FDD"/>
    <w:rsid w:val="00097112"/>
    <w:rsid w:val="000A03C0"/>
    <w:rsid w:val="000A07DD"/>
    <w:rsid w:val="000A1C05"/>
    <w:rsid w:val="000A2413"/>
    <w:rsid w:val="000A2BA1"/>
    <w:rsid w:val="000A3F01"/>
    <w:rsid w:val="000A4C79"/>
    <w:rsid w:val="000A7042"/>
    <w:rsid w:val="000A77D6"/>
    <w:rsid w:val="000A7DC1"/>
    <w:rsid w:val="000A7E0B"/>
    <w:rsid w:val="000B09CD"/>
    <w:rsid w:val="000B1CE4"/>
    <w:rsid w:val="000B1DAE"/>
    <w:rsid w:val="000B23B8"/>
    <w:rsid w:val="000B285F"/>
    <w:rsid w:val="000B3C3E"/>
    <w:rsid w:val="000B4E9E"/>
    <w:rsid w:val="000B4EE9"/>
    <w:rsid w:val="000B51BA"/>
    <w:rsid w:val="000B52EA"/>
    <w:rsid w:val="000B585E"/>
    <w:rsid w:val="000B5CBF"/>
    <w:rsid w:val="000B5D22"/>
    <w:rsid w:val="000B6103"/>
    <w:rsid w:val="000B66CB"/>
    <w:rsid w:val="000B74FF"/>
    <w:rsid w:val="000B7FC9"/>
    <w:rsid w:val="000C0550"/>
    <w:rsid w:val="000C0905"/>
    <w:rsid w:val="000C0DBC"/>
    <w:rsid w:val="000C1005"/>
    <w:rsid w:val="000C1A2A"/>
    <w:rsid w:val="000C1C30"/>
    <w:rsid w:val="000C1D94"/>
    <w:rsid w:val="000C20B7"/>
    <w:rsid w:val="000C29A4"/>
    <w:rsid w:val="000C2A6B"/>
    <w:rsid w:val="000C2FD8"/>
    <w:rsid w:val="000C3267"/>
    <w:rsid w:val="000C33D1"/>
    <w:rsid w:val="000C36D7"/>
    <w:rsid w:val="000C3C69"/>
    <w:rsid w:val="000C3DF3"/>
    <w:rsid w:val="000C40CC"/>
    <w:rsid w:val="000C4FE3"/>
    <w:rsid w:val="000C5C8A"/>
    <w:rsid w:val="000C5F42"/>
    <w:rsid w:val="000C67A7"/>
    <w:rsid w:val="000D112A"/>
    <w:rsid w:val="000D12F4"/>
    <w:rsid w:val="000D168A"/>
    <w:rsid w:val="000D1817"/>
    <w:rsid w:val="000D192E"/>
    <w:rsid w:val="000D22CA"/>
    <w:rsid w:val="000D2472"/>
    <w:rsid w:val="000D2F7B"/>
    <w:rsid w:val="000D3113"/>
    <w:rsid w:val="000D4150"/>
    <w:rsid w:val="000D4858"/>
    <w:rsid w:val="000D5294"/>
    <w:rsid w:val="000D5B14"/>
    <w:rsid w:val="000D5C87"/>
    <w:rsid w:val="000D61B2"/>
    <w:rsid w:val="000D61E3"/>
    <w:rsid w:val="000D6761"/>
    <w:rsid w:val="000D6769"/>
    <w:rsid w:val="000D786F"/>
    <w:rsid w:val="000E1C29"/>
    <w:rsid w:val="000E2972"/>
    <w:rsid w:val="000E39C5"/>
    <w:rsid w:val="000E4200"/>
    <w:rsid w:val="000E4220"/>
    <w:rsid w:val="000E44CB"/>
    <w:rsid w:val="000E4CF5"/>
    <w:rsid w:val="000E5428"/>
    <w:rsid w:val="000E562D"/>
    <w:rsid w:val="000E5CFE"/>
    <w:rsid w:val="000E6526"/>
    <w:rsid w:val="000F01E1"/>
    <w:rsid w:val="000F036A"/>
    <w:rsid w:val="000F0B3F"/>
    <w:rsid w:val="000F0C26"/>
    <w:rsid w:val="000F0E52"/>
    <w:rsid w:val="000F1371"/>
    <w:rsid w:val="000F1ADF"/>
    <w:rsid w:val="000F1D38"/>
    <w:rsid w:val="000F262D"/>
    <w:rsid w:val="000F30F2"/>
    <w:rsid w:val="000F317D"/>
    <w:rsid w:val="000F38E6"/>
    <w:rsid w:val="000F41EE"/>
    <w:rsid w:val="000F45BD"/>
    <w:rsid w:val="000F46F2"/>
    <w:rsid w:val="000F4F93"/>
    <w:rsid w:val="000F501F"/>
    <w:rsid w:val="000F5B03"/>
    <w:rsid w:val="000F5CDD"/>
    <w:rsid w:val="000F62C9"/>
    <w:rsid w:val="000F6629"/>
    <w:rsid w:val="000F6CF3"/>
    <w:rsid w:val="000F7478"/>
    <w:rsid w:val="000F7CD9"/>
    <w:rsid w:val="001007D0"/>
    <w:rsid w:val="001016C1"/>
    <w:rsid w:val="00101826"/>
    <w:rsid w:val="00101E25"/>
    <w:rsid w:val="00102664"/>
    <w:rsid w:val="00102EC1"/>
    <w:rsid w:val="001030BB"/>
    <w:rsid w:val="00103272"/>
    <w:rsid w:val="00104166"/>
    <w:rsid w:val="00105A7B"/>
    <w:rsid w:val="00106C3F"/>
    <w:rsid w:val="00107762"/>
    <w:rsid w:val="00110EE1"/>
    <w:rsid w:val="0011139D"/>
    <w:rsid w:val="00111B75"/>
    <w:rsid w:val="00112469"/>
    <w:rsid w:val="00113B08"/>
    <w:rsid w:val="001148F2"/>
    <w:rsid w:val="00114931"/>
    <w:rsid w:val="00115375"/>
    <w:rsid w:val="00115498"/>
    <w:rsid w:val="0011797A"/>
    <w:rsid w:val="001208B6"/>
    <w:rsid w:val="001208BC"/>
    <w:rsid w:val="00120AE2"/>
    <w:rsid w:val="0012119E"/>
    <w:rsid w:val="00121C24"/>
    <w:rsid w:val="001228A4"/>
    <w:rsid w:val="001229C9"/>
    <w:rsid w:val="00122D45"/>
    <w:rsid w:val="00122EFD"/>
    <w:rsid w:val="00123BB8"/>
    <w:rsid w:val="0012531C"/>
    <w:rsid w:val="0012589D"/>
    <w:rsid w:val="001259BB"/>
    <w:rsid w:val="0012679D"/>
    <w:rsid w:val="00127BA6"/>
    <w:rsid w:val="00127DDE"/>
    <w:rsid w:val="001300A1"/>
    <w:rsid w:val="0013022A"/>
    <w:rsid w:val="0013053E"/>
    <w:rsid w:val="0013087D"/>
    <w:rsid w:val="00130BED"/>
    <w:rsid w:val="00131793"/>
    <w:rsid w:val="00131B4E"/>
    <w:rsid w:val="0013216C"/>
    <w:rsid w:val="0013238F"/>
    <w:rsid w:val="001327C1"/>
    <w:rsid w:val="00132E79"/>
    <w:rsid w:val="0013404D"/>
    <w:rsid w:val="001344C5"/>
    <w:rsid w:val="00134596"/>
    <w:rsid w:val="001351D4"/>
    <w:rsid w:val="001352C9"/>
    <w:rsid w:val="00135AB1"/>
    <w:rsid w:val="00135B69"/>
    <w:rsid w:val="00135FFA"/>
    <w:rsid w:val="00136718"/>
    <w:rsid w:val="00137364"/>
    <w:rsid w:val="00137BF2"/>
    <w:rsid w:val="00140BE3"/>
    <w:rsid w:val="00140E60"/>
    <w:rsid w:val="00141A04"/>
    <w:rsid w:val="0014228B"/>
    <w:rsid w:val="00142C08"/>
    <w:rsid w:val="00142EF5"/>
    <w:rsid w:val="00143F0C"/>
    <w:rsid w:val="00145322"/>
    <w:rsid w:val="0014559D"/>
    <w:rsid w:val="00145642"/>
    <w:rsid w:val="001460C6"/>
    <w:rsid w:val="00146109"/>
    <w:rsid w:val="0014669B"/>
    <w:rsid w:val="00146AA8"/>
    <w:rsid w:val="00146AE6"/>
    <w:rsid w:val="00147B6A"/>
    <w:rsid w:val="00147E77"/>
    <w:rsid w:val="00147FF8"/>
    <w:rsid w:val="0015017B"/>
    <w:rsid w:val="00150658"/>
    <w:rsid w:val="00150744"/>
    <w:rsid w:val="001507AF"/>
    <w:rsid w:val="00151702"/>
    <w:rsid w:val="00151817"/>
    <w:rsid w:val="00152DCC"/>
    <w:rsid w:val="00153B9B"/>
    <w:rsid w:val="00154421"/>
    <w:rsid w:val="0015443A"/>
    <w:rsid w:val="0015446F"/>
    <w:rsid w:val="00154BF1"/>
    <w:rsid w:val="0015599C"/>
    <w:rsid w:val="00156256"/>
    <w:rsid w:val="00156F7F"/>
    <w:rsid w:val="00160127"/>
    <w:rsid w:val="00160437"/>
    <w:rsid w:val="0016109C"/>
    <w:rsid w:val="00161E03"/>
    <w:rsid w:val="001628AB"/>
    <w:rsid w:val="00162B9A"/>
    <w:rsid w:val="00163065"/>
    <w:rsid w:val="00163537"/>
    <w:rsid w:val="00163C95"/>
    <w:rsid w:val="0016412B"/>
    <w:rsid w:val="001649B0"/>
    <w:rsid w:val="00164C68"/>
    <w:rsid w:val="001655FD"/>
    <w:rsid w:val="001664EC"/>
    <w:rsid w:val="0016735C"/>
    <w:rsid w:val="0016777C"/>
    <w:rsid w:val="00170062"/>
    <w:rsid w:val="00171137"/>
    <w:rsid w:val="00171C23"/>
    <w:rsid w:val="001724F1"/>
    <w:rsid w:val="00172725"/>
    <w:rsid w:val="00173F0E"/>
    <w:rsid w:val="001740B5"/>
    <w:rsid w:val="00174100"/>
    <w:rsid w:val="00174951"/>
    <w:rsid w:val="001749D9"/>
    <w:rsid w:val="0017517E"/>
    <w:rsid w:val="00175994"/>
    <w:rsid w:val="00175D0D"/>
    <w:rsid w:val="00175D62"/>
    <w:rsid w:val="001763D4"/>
    <w:rsid w:val="001768F8"/>
    <w:rsid w:val="00176EC1"/>
    <w:rsid w:val="001774F1"/>
    <w:rsid w:val="0018036A"/>
    <w:rsid w:val="00180DC3"/>
    <w:rsid w:val="00181744"/>
    <w:rsid w:val="00182306"/>
    <w:rsid w:val="00182561"/>
    <w:rsid w:val="001837DD"/>
    <w:rsid w:val="00183804"/>
    <w:rsid w:val="00183DBA"/>
    <w:rsid w:val="00184B6A"/>
    <w:rsid w:val="00187D96"/>
    <w:rsid w:val="0019070B"/>
    <w:rsid w:val="00190A10"/>
    <w:rsid w:val="001915AB"/>
    <w:rsid w:val="00191630"/>
    <w:rsid w:val="0019181F"/>
    <w:rsid w:val="00192BF1"/>
    <w:rsid w:val="00192D66"/>
    <w:rsid w:val="001930F5"/>
    <w:rsid w:val="00193114"/>
    <w:rsid w:val="00193511"/>
    <w:rsid w:val="00193784"/>
    <w:rsid w:val="00194038"/>
    <w:rsid w:val="00195267"/>
    <w:rsid w:val="00195E4D"/>
    <w:rsid w:val="00195E6B"/>
    <w:rsid w:val="00196F0D"/>
    <w:rsid w:val="00197610"/>
    <w:rsid w:val="001A089C"/>
    <w:rsid w:val="001A14C1"/>
    <w:rsid w:val="001A23E0"/>
    <w:rsid w:val="001A2D77"/>
    <w:rsid w:val="001A2F4E"/>
    <w:rsid w:val="001A3F46"/>
    <w:rsid w:val="001A52BE"/>
    <w:rsid w:val="001A5465"/>
    <w:rsid w:val="001A56C7"/>
    <w:rsid w:val="001A5732"/>
    <w:rsid w:val="001A5826"/>
    <w:rsid w:val="001A5D5D"/>
    <w:rsid w:val="001A65C6"/>
    <w:rsid w:val="001A6C19"/>
    <w:rsid w:val="001A7656"/>
    <w:rsid w:val="001A79AA"/>
    <w:rsid w:val="001A7B21"/>
    <w:rsid w:val="001B0C57"/>
    <w:rsid w:val="001B1372"/>
    <w:rsid w:val="001B17DA"/>
    <w:rsid w:val="001B20A5"/>
    <w:rsid w:val="001B2336"/>
    <w:rsid w:val="001B27A1"/>
    <w:rsid w:val="001B2B8F"/>
    <w:rsid w:val="001B3081"/>
    <w:rsid w:val="001B47EB"/>
    <w:rsid w:val="001B5283"/>
    <w:rsid w:val="001B5753"/>
    <w:rsid w:val="001B5EC0"/>
    <w:rsid w:val="001B6B4C"/>
    <w:rsid w:val="001B719C"/>
    <w:rsid w:val="001B7633"/>
    <w:rsid w:val="001B7635"/>
    <w:rsid w:val="001B7797"/>
    <w:rsid w:val="001B77E1"/>
    <w:rsid w:val="001B7835"/>
    <w:rsid w:val="001B7F78"/>
    <w:rsid w:val="001C0DCF"/>
    <w:rsid w:val="001C1CBB"/>
    <w:rsid w:val="001C1E02"/>
    <w:rsid w:val="001C38C0"/>
    <w:rsid w:val="001C38CF"/>
    <w:rsid w:val="001C474D"/>
    <w:rsid w:val="001C48DF"/>
    <w:rsid w:val="001C4F4C"/>
    <w:rsid w:val="001C50AB"/>
    <w:rsid w:val="001C52D0"/>
    <w:rsid w:val="001C5EC3"/>
    <w:rsid w:val="001C6BA9"/>
    <w:rsid w:val="001C71F4"/>
    <w:rsid w:val="001D0F46"/>
    <w:rsid w:val="001D11CA"/>
    <w:rsid w:val="001D1279"/>
    <w:rsid w:val="001D1379"/>
    <w:rsid w:val="001D25A1"/>
    <w:rsid w:val="001D3483"/>
    <w:rsid w:val="001D391C"/>
    <w:rsid w:val="001D43EC"/>
    <w:rsid w:val="001D45CE"/>
    <w:rsid w:val="001D5E12"/>
    <w:rsid w:val="001D6103"/>
    <w:rsid w:val="001D623C"/>
    <w:rsid w:val="001D65FC"/>
    <w:rsid w:val="001D6945"/>
    <w:rsid w:val="001D7438"/>
    <w:rsid w:val="001E0087"/>
    <w:rsid w:val="001E0C0C"/>
    <w:rsid w:val="001E0D9E"/>
    <w:rsid w:val="001E1A4F"/>
    <w:rsid w:val="001E210D"/>
    <w:rsid w:val="001E2A1E"/>
    <w:rsid w:val="001E2C95"/>
    <w:rsid w:val="001E35A5"/>
    <w:rsid w:val="001E4C17"/>
    <w:rsid w:val="001E5277"/>
    <w:rsid w:val="001E5AF9"/>
    <w:rsid w:val="001E65A4"/>
    <w:rsid w:val="001E69E1"/>
    <w:rsid w:val="001E6C8E"/>
    <w:rsid w:val="001E6CF3"/>
    <w:rsid w:val="001E6ED0"/>
    <w:rsid w:val="001E786E"/>
    <w:rsid w:val="001E7BA2"/>
    <w:rsid w:val="001F04C3"/>
    <w:rsid w:val="001F051A"/>
    <w:rsid w:val="001F10DA"/>
    <w:rsid w:val="001F1273"/>
    <w:rsid w:val="001F16D8"/>
    <w:rsid w:val="001F20E8"/>
    <w:rsid w:val="001F3C9C"/>
    <w:rsid w:val="001F3F57"/>
    <w:rsid w:val="001F4ADA"/>
    <w:rsid w:val="001F64B4"/>
    <w:rsid w:val="001F67DE"/>
    <w:rsid w:val="001F7346"/>
    <w:rsid w:val="001F7AF6"/>
    <w:rsid w:val="001F7CA4"/>
    <w:rsid w:val="002001EB"/>
    <w:rsid w:val="002004FC"/>
    <w:rsid w:val="00200A49"/>
    <w:rsid w:val="00200D6A"/>
    <w:rsid w:val="00201877"/>
    <w:rsid w:val="00201A02"/>
    <w:rsid w:val="002024E6"/>
    <w:rsid w:val="00202C2E"/>
    <w:rsid w:val="00204161"/>
    <w:rsid w:val="00204369"/>
    <w:rsid w:val="002049FE"/>
    <w:rsid w:val="00204A5A"/>
    <w:rsid w:val="00205B34"/>
    <w:rsid w:val="00205C0C"/>
    <w:rsid w:val="0020641D"/>
    <w:rsid w:val="00206973"/>
    <w:rsid w:val="00207067"/>
    <w:rsid w:val="0020736F"/>
    <w:rsid w:val="0020746F"/>
    <w:rsid w:val="00207885"/>
    <w:rsid w:val="00207991"/>
    <w:rsid w:val="00210BDD"/>
    <w:rsid w:val="002110AA"/>
    <w:rsid w:val="002112C8"/>
    <w:rsid w:val="00211406"/>
    <w:rsid w:val="00211B74"/>
    <w:rsid w:val="00211DC1"/>
    <w:rsid w:val="00211E2F"/>
    <w:rsid w:val="00212453"/>
    <w:rsid w:val="002124F7"/>
    <w:rsid w:val="002128FA"/>
    <w:rsid w:val="00212C5B"/>
    <w:rsid w:val="00212D6F"/>
    <w:rsid w:val="002133AE"/>
    <w:rsid w:val="00214957"/>
    <w:rsid w:val="00214A88"/>
    <w:rsid w:val="00214C6D"/>
    <w:rsid w:val="00214F3A"/>
    <w:rsid w:val="00215879"/>
    <w:rsid w:val="00215B8B"/>
    <w:rsid w:val="002169EA"/>
    <w:rsid w:val="00216A01"/>
    <w:rsid w:val="00216CEA"/>
    <w:rsid w:val="00216FF8"/>
    <w:rsid w:val="00217B2E"/>
    <w:rsid w:val="0021BF1B"/>
    <w:rsid w:val="0022045D"/>
    <w:rsid w:val="00220CEB"/>
    <w:rsid w:val="002212EF"/>
    <w:rsid w:val="00221729"/>
    <w:rsid w:val="00222F8F"/>
    <w:rsid w:val="002232B8"/>
    <w:rsid w:val="002232FA"/>
    <w:rsid w:val="002237A1"/>
    <w:rsid w:val="002237D9"/>
    <w:rsid w:val="00223933"/>
    <w:rsid w:val="00223C91"/>
    <w:rsid w:val="002241F7"/>
    <w:rsid w:val="002257C4"/>
    <w:rsid w:val="00225A17"/>
    <w:rsid w:val="00225DB1"/>
    <w:rsid w:val="00226694"/>
    <w:rsid w:val="00226C23"/>
    <w:rsid w:val="002279C7"/>
    <w:rsid w:val="00227B84"/>
    <w:rsid w:val="0023014F"/>
    <w:rsid w:val="00230CEE"/>
    <w:rsid w:val="00230FDE"/>
    <w:rsid w:val="0023159B"/>
    <w:rsid w:val="00232510"/>
    <w:rsid w:val="00232713"/>
    <w:rsid w:val="002334C2"/>
    <w:rsid w:val="00233EE3"/>
    <w:rsid w:val="0023471F"/>
    <w:rsid w:val="00234B50"/>
    <w:rsid w:val="00234BC0"/>
    <w:rsid w:val="0023547A"/>
    <w:rsid w:val="002356FD"/>
    <w:rsid w:val="00235B63"/>
    <w:rsid w:val="002361CF"/>
    <w:rsid w:val="002368F4"/>
    <w:rsid w:val="00236B9E"/>
    <w:rsid w:val="00240029"/>
    <w:rsid w:val="00240714"/>
    <w:rsid w:val="00241415"/>
    <w:rsid w:val="002414F3"/>
    <w:rsid w:val="0024157F"/>
    <w:rsid w:val="0024187B"/>
    <w:rsid w:val="002418FB"/>
    <w:rsid w:val="00241D56"/>
    <w:rsid w:val="002420F0"/>
    <w:rsid w:val="002423C2"/>
    <w:rsid w:val="00242795"/>
    <w:rsid w:val="00242961"/>
    <w:rsid w:val="0024420E"/>
    <w:rsid w:val="00244FAE"/>
    <w:rsid w:val="00245EA5"/>
    <w:rsid w:val="002507B3"/>
    <w:rsid w:val="00250B55"/>
    <w:rsid w:val="00250D11"/>
    <w:rsid w:val="002529D5"/>
    <w:rsid w:val="00252B8D"/>
    <w:rsid w:val="0025396F"/>
    <w:rsid w:val="0025445F"/>
    <w:rsid w:val="002545D7"/>
    <w:rsid w:val="00254815"/>
    <w:rsid w:val="00255461"/>
    <w:rsid w:val="00255B92"/>
    <w:rsid w:val="002562BC"/>
    <w:rsid w:val="00256444"/>
    <w:rsid w:val="0025703C"/>
    <w:rsid w:val="00260038"/>
    <w:rsid w:val="00261415"/>
    <w:rsid w:val="002620F2"/>
    <w:rsid w:val="0026228F"/>
    <w:rsid w:val="002650AB"/>
    <w:rsid w:val="002654AF"/>
    <w:rsid w:val="002669D1"/>
    <w:rsid w:val="00266AA1"/>
    <w:rsid w:val="00266F39"/>
    <w:rsid w:val="00270EEF"/>
    <w:rsid w:val="00271DC4"/>
    <w:rsid w:val="0027295E"/>
    <w:rsid w:val="00272CAC"/>
    <w:rsid w:val="00273486"/>
    <w:rsid w:val="002744EB"/>
    <w:rsid w:val="002747CC"/>
    <w:rsid w:val="00275ABB"/>
    <w:rsid w:val="00276798"/>
    <w:rsid w:val="00276F94"/>
    <w:rsid w:val="002777E6"/>
    <w:rsid w:val="00277F5D"/>
    <w:rsid w:val="00280B79"/>
    <w:rsid w:val="00280EDE"/>
    <w:rsid w:val="00281EF7"/>
    <w:rsid w:val="00282A4E"/>
    <w:rsid w:val="00282D20"/>
    <w:rsid w:val="0028315A"/>
    <w:rsid w:val="00283321"/>
    <w:rsid w:val="0028382F"/>
    <w:rsid w:val="00283ABB"/>
    <w:rsid w:val="002845E3"/>
    <w:rsid w:val="00285ABE"/>
    <w:rsid w:val="00285AE5"/>
    <w:rsid w:val="00286F79"/>
    <w:rsid w:val="002870AC"/>
    <w:rsid w:val="00287298"/>
    <w:rsid w:val="002872E0"/>
    <w:rsid w:val="002874B5"/>
    <w:rsid w:val="00287993"/>
    <w:rsid w:val="00290D0D"/>
    <w:rsid w:val="0029158C"/>
    <w:rsid w:val="002918D0"/>
    <w:rsid w:val="00291E2B"/>
    <w:rsid w:val="00292738"/>
    <w:rsid w:val="002927B2"/>
    <w:rsid w:val="002933CA"/>
    <w:rsid w:val="0029347D"/>
    <w:rsid w:val="002934B9"/>
    <w:rsid w:val="0029375D"/>
    <w:rsid w:val="00293959"/>
    <w:rsid w:val="00294A9A"/>
    <w:rsid w:val="0029517E"/>
    <w:rsid w:val="00296447"/>
    <w:rsid w:val="00296868"/>
    <w:rsid w:val="002969FE"/>
    <w:rsid w:val="00296E5E"/>
    <w:rsid w:val="002972AB"/>
    <w:rsid w:val="00297D88"/>
    <w:rsid w:val="002A069B"/>
    <w:rsid w:val="002A0C50"/>
    <w:rsid w:val="002A0C71"/>
    <w:rsid w:val="002A14D9"/>
    <w:rsid w:val="002A2C5E"/>
    <w:rsid w:val="002A3B9A"/>
    <w:rsid w:val="002A42A7"/>
    <w:rsid w:val="002A4B7C"/>
    <w:rsid w:val="002A4E16"/>
    <w:rsid w:val="002A530B"/>
    <w:rsid w:val="002A54A3"/>
    <w:rsid w:val="002A5642"/>
    <w:rsid w:val="002A5B58"/>
    <w:rsid w:val="002A6135"/>
    <w:rsid w:val="002A6C52"/>
    <w:rsid w:val="002A7F2B"/>
    <w:rsid w:val="002A7F38"/>
    <w:rsid w:val="002B0BE7"/>
    <w:rsid w:val="002B117A"/>
    <w:rsid w:val="002B11E4"/>
    <w:rsid w:val="002B1597"/>
    <w:rsid w:val="002B1BE8"/>
    <w:rsid w:val="002B1D60"/>
    <w:rsid w:val="002B2976"/>
    <w:rsid w:val="002B2D6C"/>
    <w:rsid w:val="002B2EE4"/>
    <w:rsid w:val="002B4FE5"/>
    <w:rsid w:val="002B548C"/>
    <w:rsid w:val="002B5623"/>
    <w:rsid w:val="002B5CB6"/>
    <w:rsid w:val="002B6A59"/>
    <w:rsid w:val="002B7F0A"/>
    <w:rsid w:val="002C048C"/>
    <w:rsid w:val="002C13D2"/>
    <w:rsid w:val="002C182C"/>
    <w:rsid w:val="002C2A0C"/>
    <w:rsid w:val="002C2A3E"/>
    <w:rsid w:val="002C2ECE"/>
    <w:rsid w:val="002C3530"/>
    <w:rsid w:val="002C3DE3"/>
    <w:rsid w:val="002C3DED"/>
    <w:rsid w:val="002C4370"/>
    <w:rsid w:val="002C5A49"/>
    <w:rsid w:val="002C5DA8"/>
    <w:rsid w:val="002C60FC"/>
    <w:rsid w:val="002C70B7"/>
    <w:rsid w:val="002C7935"/>
    <w:rsid w:val="002C7A19"/>
    <w:rsid w:val="002D0A80"/>
    <w:rsid w:val="002D0CBD"/>
    <w:rsid w:val="002D14C1"/>
    <w:rsid w:val="002D1558"/>
    <w:rsid w:val="002D169C"/>
    <w:rsid w:val="002D235A"/>
    <w:rsid w:val="002D2C4C"/>
    <w:rsid w:val="002D3498"/>
    <w:rsid w:val="002D4B8E"/>
    <w:rsid w:val="002D511C"/>
    <w:rsid w:val="002D54F1"/>
    <w:rsid w:val="002D5D35"/>
    <w:rsid w:val="002D6E6F"/>
    <w:rsid w:val="002D7F93"/>
    <w:rsid w:val="002D7FD4"/>
    <w:rsid w:val="002E0387"/>
    <w:rsid w:val="002E07B4"/>
    <w:rsid w:val="002E0AB5"/>
    <w:rsid w:val="002E15B2"/>
    <w:rsid w:val="002E19D6"/>
    <w:rsid w:val="002E2075"/>
    <w:rsid w:val="002E29C1"/>
    <w:rsid w:val="002E30DD"/>
    <w:rsid w:val="002E34A1"/>
    <w:rsid w:val="002E3E63"/>
    <w:rsid w:val="002E4175"/>
    <w:rsid w:val="002E4B63"/>
    <w:rsid w:val="002E5805"/>
    <w:rsid w:val="002E5C58"/>
    <w:rsid w:val="002E5D01"/>
    <w:rsid w:val="002E5D60"/>
    <w:rsid w:val="002E624A"/>
    <w:rsid w:val="002E6379"/>
    <w:rsid w:val="002E644D"/>
    <w:rsid w:val="002E64C9"/>
    <w:rsid w:val="002E677A"/>
    <w:rsid w:val="002E6C0B"/>
    <w:rsid w:val="002E780F"/>
    <w:rsid w:val="002E7DF6"/>
    <w:rsid w:val="002E7E53"/>
    <w:rsid w:val="002F11FF"/>
    <w:rsid w:val="002F1EFC"/>
    <w:rsid w:val="002F205C"/>
    <w:rsid w:val="002F26F4"/>
    <w:rsid w:val="002F2A3C"/>
    <w:rsid w:val="002F30D9"/>
    <w:rsid w:val="002F38B1"/>
    <w:rsid w:val="002F3AC2"/>
    <w:rsid w:val="002F3DDD"/>
    <w:rsid w:val="002F5075"/>
    <w:rsid w:val="002F54C6"/>
    <w:rsid w:val="002F5E0B"/>
    <w:rsid w:val="002F60C3"/>
    <w:rsid w:val="002F63C1"/>
    <w:rsid w:val="002F6444"/>
    <w:rsid w:val="002F6992"/>
    <w:rsid w:val="002F6C8A"/>
    <w:rsid w:val="002F7094"/>
    <w:rsid w:val="002F74CA"/>
    <w:rsid w:val="002F7C5E"/>
    <w:rsid w:val="00300B64"/>
    <w:rsid w:val="00302E8E"/>
    <w:rsid w:val="00303C96"/>
    <w:rsid w:val="00303CF4"/>
    <w:rsid w:val="00304606"/>
    <w:rsid w:val="0030480D"/>
    <w:rsid w:val="00304A34"/>
    <w:rsid w:val="00304E45"/>
    <w:rsid w:val="00305984"/>
    <w:rsid w:val="003059AF"/>
    <w:rsid w:val="0030626D"/>
    <w:rsid w:val="003066E9"/>
    <w:rsid w:val="00306B77"/>
    <w:rsid w:val="00306D6F"/>
    <w:rsid w:val="0030722D"/>
    <w:rsid w:val="00310BB7"/>
    <w:rsid w:val="00311643"/>
    <w:rsid w:val="00311B77"/>
    <w:rsid w:val="00312BFB"/>
    <w:rsid w:val="00312EEA"/>
    <w:rsid w:val="003133D3"/>
    <w:rsid w:val="0031463E"/>
    <w:rsid w:val="00314A63"/>
    <w:rsid w:val="00316305"/>
    <w:rsid w:val="00316571"/>
    <w:rsid w:val="00316AE4"/>
    <w:rsid w:val="0031729A"/>
    <w:rsid w:val="003174C6"/>
    <w:rsid w:val="00317678"/>
    <w:rsid w:val="003177A6"/>
    <w:rsid w:val="00317E9C"/>
    <w:rsid w:val="003200D6"/>
    <w:rsid w:val="00320980"/>
    <w:rsid w:val="00320FF1"/>
    <w:rsid w:val="00321E0D"/>
    <w:rsid w:val="00321FA9"/>
    <w:rsid w:val="003229C6"/>
    <w:rsid w:val="00322ADC"/>
    <w:rsid w:val="00322AF0"/>
    <w:rsid w:val="003241A3"/>
    <w:rsid w:val="00324D42"/>
    <w:rsid w:val="003253AA"/>
    <w:rsid w:val="0032547B"/>
    <w:rsid w:val="003258E6"/>
    <w:rsid w:val="00327548"/>
    <w:rsid w:val="00331262"/>
    <w:rsid w:val="00331285"/>
    <w:rsid w:val="003314A1"/>
    <w:rsid w:val="0033152D"/>
    <w:rsid w:val="003318E4"/>
    <w:rsid w:val="003318EC"/>
    <w:rsid w:val="00331BF0"/>
    <w:rsid w:val="00331F10"/>
    <w:rsid w:val="00332BBF"/>
    <w:rsid w:val="00332EA6"/>
    <w:rsid w:val="00333D59"/>
    <w:rsid w:val="00334F22"/>
    <w:rsid w:val="003359F8"/>
    <w:rsid w:val="00335BC8"/>
    <w:rsid w:val="00335D48"/>
    <w:rsid w:val="003362F3"/>
    <w:rsid w:val="003363C6"/>
    <w:rsid w:val="00336842"/>
    <w:rsid w:val="00336AFD"/>
    <w:rsid w:val="00337460"/>
    <w:rsid w:val="003374EB"/>
    <w:rsid w:val="003375E9"/>
    <w:rsid w:val="003407CE"/>
    <w:rsid w:val="0034103F"/>
    <w:rsid w:val="00341A74"/>
    <w:rsid w:val="00342BE0"/>
    <w:rsid w:val="00342E63"/>
    <w:rsid w:val="00343166"/>
    <w:rsid w:val="00344E5B"/>
    <w:rsid w:val="0034640E"/>
    <w:rsid w:val="00346D36"/>
    <w:rsid w:val="003473E6"/>
    <w:rsid w:val="00347A5A"/>
    <w:rsid w:val="0034C85A"/>
    <w:rsid w:val="003504A1"/>
    <w:rsid w:val="0035066A"/>
    <w:rsid w:val="00351962"/>
    <w:rsid w:val="003522E6"/>
    <w:rsid w:val="00352B68"/>
    <w:rsid w:val="00353FD2"/>
    <w:rsid w:val="00354F7B"/>
    <w:rsid w:val="0035594B"/>
    <w:rsid w:val="00356499"/>
    <w:rsid w:val="00356AF4"/>
    <w:rsid w:val="003578E9"/>
    <w:rsid w:val="00357E6E"/>
    <w:rsid w:val="003600E8"/>
    <w:rsid w:val="003606E4"/>
    <w:rsid w:val="0036292C"/>
    <w:rsid w:val="00362A24"/>
    <w:rsid w:val="00362BF6"/>
    <w:rsid w:val="00363364"/>
    <w:rsid w:val="003633AA"/>
    <w:rsid w:val="00363923"/>
    <w:rsid w:val="00364260"/>
    <w:rsid w:val="00364496"/>
    <w:rsid w:val="0036500E"/>
    <w:rsid w:val="00365148"/>
    <w:rsid w:val="00365199"/>
    <w:rsid w:val="003659B9"/>
    <w:rsid w:val="00365D5F"/>
    <w:rsid w:val="0036648A"/>
    <w:rsid w:val="00366A52"/>
    <w:rsid w:val="00366EAC"/>
    <w:rsid w:val="0036775E"/>
    <w:rsid w:val="00367F20"/>
    <w:rsid w:val="0036A54A"/>
    <w:rsid w:val="003700F8"/>
    <w:rsid w:val="00371927"/>
    <w:rsid w:val="00372176"/>
    <w:rsid w:val="00372622"/>
    <w:rsid w:val="003727B4"/>
    <w:rsid w:val="00373DF9"/>
    <w:rsid w:val="00373DFC"/>
    <w:rsid w:val="00374583"/>
    <w:rsid w:val="00374852"/>
    <w:rsid w:val="00374F63"/>
    <w:rsid w:val="00376481"/>
    <w:rsid w:val="00376B4A"/>
    <w:rsid w:val="00377B90"/>
    <w:rsid w:val="003822BD"/>
    <w:rsid w:val="00382A41"/>
    <w:rsid w:val="00382AA4"/>
    <w:rsid w:val="00383E0D"/>
    <w:rsid w:val="00383F5E"/>
    <w:rsid w:val="0038429D"/>
    <w:rsid w:val="00384545"/>
    <w:rsid w:val="0038481D"/>
    <w:rsid w:val="00384871"/>
    <w:rsid w:val="00386A7B"/>
    <w:rsid w:val="00386A97"/>
    <w:rsid w:val="00387062"/>
    <w:rsid w:val="0039023C"/>
    <w:rsid w:val="003902C4"/>
    <w:rsid w:val="00391975"/>
    <w:rsid w:val="003930F3"/>
    <w:rsid w:val="003931E6"/>
    <w:rsid w:val="003936CD"/>
    <w:rsid w:val="00393AFF"/>
    <w:rsid w:val="00393DC0"/>
    <w:rsid w:val="00394442"/>
    <w:rsid w:val="00394B00"/>
    <w:rsid w:val="00394B23"/>
    <w:rsid w:val="00395041"/>
    <w:rsid w:val="003962C6"/>
    <w:rsid w:val="003962EE"/>
    <w:rsid w:val="00396C3D"/>
    <w:rsid w:val="00396DE2"/>
    <w:rsid w:val="00397002"/>
    <w:rsid w:val="0039712B"/>
    <w:rsid w:val="003A0082"/>
    <w:rsid w:val="003A1011"/>
    <w:rsid w:val="003A11F6"/>
    <w:rsid w:val="003A1794"/>
    <w:rsid w:val="003A19BD"/>
    <w:rsid w:val="003A28D8"/>
    <w:rsid w:val="003A2CD5"/>
    <w:rsid w:val="003A3546"/>
    <w:rsid w:val="003A3607"/>
    <w:rsid w:val="003A4862"/>
    <w:rsid w:val="003A6B51"/>
    <w:rsid w:val="003A6BCD"/>
    <w:rsid w:val="003A6E34"/>
    <w:rsid w:val="003B0AC4"/>
    <w:rsid w:val="003B0BB7"/>
    <w:rsid w:val="003B0BCB"/>
    <w:rsid w:val="003B13A3"/>
    <w:rsid w:val="003B14F1"/>
    <w:rsid w:val="003B20E2"/>
    <w:rsid w:val="003B3562"/>
    <w:rsid w:val="003B41A7"/>
    <w:rsid w:val="003B448F"/>
    <w:rsid w:val="003B618C"/>
    <w:rsid w:val="003B61F7"/>
    <w:rsid w:val="003B6226"/>
    <w:rsid w:val="003B645B"/>
    <w:rsid w:val="003B6E83"/>
    <w:rsid w:val="003B7A01"/>
    <w:rsid w:val="003B7A97"/>
    <w:rsid w:val="003C09F0"/>
    <w:rsid w:val="003C197D"/>
    <w:rsid w:val="003C1AE2"/>
    <w:rsid w:val="003C1E1E"/>
    <w:rsid w:val="003C27CF"/>
    <w:rsid w:val="003C2B86"/>
    <w:rsid w:val="003C3C55"/>
    <w:rsid w:val="003C45E6"/>
    <w:rsid w:val="003C523A"/>
    <w:rsid w:val="003C5403"/>
    <w:rsid w:val="003C5DC6"/>
    <w:rsid w:val="003C6572"/>
    <w:rsid w:val="003C6C88"/>
    <w:rsid w:val="003C7A33"/>
    <w:rsid w:val="003C7AED"/>
    <w:rsid w:val="003C7FBD"/>
    <w:rsid w:val="003D00D2"/>
    <w:rsid w:val="003D05EE"/>
    <w:rsid w:val="003D1056"/>
    <w:rsid w:val="003D1D48"/>
    <w:rsid w:val="003D332B"/>
    <w:rsid w:val="003D3800"/>
    <w:rsid w:val="003D3857"/>
    <w:rsid w:val="003D47D9"/>
    <w:rsid w:val="003D4DC2"/>
    <w:rsid w:val="003D517E"/>
    <w:rsid w:val="003D673C"/>
    <w:rsid w:val="003D68C7"/>
    <w:rsid w:val="003D6945"/>
    <w:rsid w:val="003D7948"/>
    <w:rsid w:val="003D7C2E"/>
    <w:rsid w:val="003D7DDC"/>
    <w:rsid w:val="003D7F12"/>
    <w:rsid w:val="003E0834"/>
    <w:rsid w:val="003E0BBD"/>
    <w:rsid w:val="003E0C20"/>
    <w:rsid w:val="003E19E2"/>
    <w:rsid w:val="003E1A69"/>
    <w:rsid w:val="003E1CA2"/>
    <w:rsid w:val="003E2771"/>
    <w:rsid w:val="003E3292"/>
    <w:rsid w:val="003E412E"/>
    <w:rsid w:val="003E440B"/>
    <w:rsid w:val="003E4AED"/>
    <w:rsid w:val="003E51AC"/>
    <w:rsid w:val="003E5FF0"/>
    <w:rsid w:val="003F17A4"/>
    <w:rsid w:val="003F21EF"/>
    <w:rsid w:val="003F4A5F"/>
    <w:rsid w:val="003F60D3"/>
    <w:rsid w:val="003F6862"/>
    <w:rsid w:val="003F68DB"/>
    <w:rsid w:val="003F7150"/>
    <w:rsid w:val="003F7CE5"/>
    <w:rsid w:val="00400260"/>
    <w:rsid w:val="00400BF6"/>
    <w:rsid w:val="00402A04"/>
    <w:rsid w:val="00402EA5"/>
    <w:rsid w:val="00404367"/>
    <w:rsid w:val="00404791"/>
    <w:rsid w:val="0040541F"/>
    <w:rsid w:val="004055F4"/>
    <w:rsid w:val="00405F40"/>
    <w:rsid w:val="00406452"/>
    <w:rsid w:val="00406CDE"/>
    <w:rsid w:val="00406CEA"/>
    <w:rsid w:val="00407628"/>
    <w:rsid w:val="004078FC"/>
    <w:rsid w:val="00407FB3"/>
    <w:rsid w:val="004103EB"/>
    <w:rsid w:val="00410700"/>
    <w:rsid w:val="00411B1F"/>
    <w:rsid w:val="00411BD6"/>
    <w:rsid w:val="0041208B"/>
    <w:rsid w:val="004127DE"/>
    <w:rsid w:val="00413774"/>
    <w:rsid w:val="00414959"/>
    <w:rsid w:val="00415ABC"/>
    <w:rsid w:val="00415D16"/>
    <w:rsid w:val="00416521"/>
    <w:rsid w:val="00416DE8"/>
    <w:rsid w:val="00417946"/>
    <w:rsid w:val="0042018D"/>
    <w:rsid w:val="00420458"/>
    <w:rsid w:val="0042096A"/>
    <w:rsid w:val="00420FDA"/>
    <w:rsid w:val="00421585"/>
    <w:rsid w:val="00422505"/>
    <w:rsid w:val="00422CC3"/>
    <w:rsid w:val="00423144"/>
    <w:rsid w:val="00424276"/>
    <w:rsid w:val="00424546"/>
    <w:rsid w:val="00424F83"/>
    <w:rsid w:val="004253B8"/>
    <w:rsid w:val="004255F8"/>
    <w:rsid w:val="00426310"/>
    <w:rsid w:val="00426C57"/>
    <w:rsid w:val="0042758F"/>
    <w:rsid w:val="004306AC"/>
    <w:rsid w:val="00431408"/>
    <w:rsid w:val="0043188D"/>
    <w:rsid w:val="0043211C"/>
    <w:rsid w:val="0043213A"/>
    <w:rsid w:val="00432638"/>
    <w:rsid w:val="0043336B"/>
    <w:rsid w:val="004338ED"/>
    <w:rsid w:val="00433F27"/>
    <w:rsid w:val="00433FA9"/>
    <w:rsid w:val="0043417D"/>
    <w:rsid w:val="0043479D"/>
    <w:rsid w:val="00434D0E"/>
    <w:rsid w:val="00435E55"/>
    <w:rsid w:val="00436774"/>
    <w:rsid w:val="00436A46"/>
    <w:rsid w:val="004371C6"/>
    <w:rsid w:val="00437569"/>
    <w:rsid w:val="0044118E"/>
    <w:rsid w:val="0044232A"/>
    <w:rsid w:val="00442533"/>
    <w:rsid w:val="00442708"/>
    <w:rsid w:val="00442A45"/>
    <w:rsid w:val="00442B2E"/>
    <w:rsid w:val="00442F38"/>
    <w:rsid w:val="004442F3"/>
    <w:rsid w:val="00444918"/>
    <w:rsid w:val="004451FE"/>
    <w:rsid w:val="00445291"/>
    <w:rsid w:val="00446EAC"/>
    <w:rsid w:val="004472C2"/>
    <w:rsid w:val="004476D2"/>
    <w:rsid w:val="00447DFC"/>
    <w:rsid w:val="00450FC7"/>
    <w:rsid w:val="00450FF2"/>
    <w:rsid w:val="00451578"/>
    <w:rsid w:val="00451A67"/>
    <w:rsid w:val="00451AA7"/>
    <w:rsid w:val="00451CE2"/>
    <w:rsid w:val="00451E79"/>
    <w:rsid w:val="0045248B"/>
    <w:rsid w:val="00454041"/>
    <w:rsid w:val="00454C89"/>
    <w:rsid w:val="00454DF9"/>
    <w:rsid w:val="00455B33"/>
    <w:rsid w:val="00455C89"/>
    <w:rsid w:val="004571CA"/>
    <w:rsid w:val="004572EA"/>
    <w:rsid w:val="00457985"/>
    <w:rsid w:val="00457EBC"/>
    <w:rsid w:val="00460092"/>
    <w:rsid w:val="0046080E"/>
    <w:rsid w:val="00460A86"/>
    <w:rsid w:val="00460D92"/>
    <w:rsid w:val="00460EA6"/>
    <w:rsid w:val="0046164A"/>
    <w:rsid w:val="0046327E"/>
    <w:rsid w:val="00463E2B"/>
    <w:rsid w:val="00464C6D"/>
    <w:rsid w:val="00464CDB"/>
    <w:rsid w:val="0046552A"/>
    <w:rsid w:val="004659AC"/>
    <w:rsid w:val="00466A95"/>
    <w:rsid w:val="00466C57"/>
    <w:rsid w:val="00467994"/>
    <w:rsid w:val="0047065C"/>
    <w:rsid w:val="00471923"/>
    <w:rsid w:val="00471DA0"/>
    <w:rsid w:val="00473D5B"/>
    <w:rsid w:val="00475037"/>
    <w:rsid w:val="004761B9"/>
    <w:rsid w:val="0047663B"/>
    <w:rsid w:val="004769F6"/>
    <w:rsid w:val="00476FD7"/>
    <w:rsid w:val="00480826"/>
    <w:rsid w:val="00480878"/>
    <w:rsid w:val="00481045"/>
    <w:rsid w:val="004810D6"/>
    <w:rsid w:val="00481F1A"/>
    <w:rsid w:val="004828C1"/>
    <w:rsid w:val="00482B08"/>
    <w:rsid w:val="00482B92"/>
    <w:rsid w:val="00483316"/>
    <w:rsid w:val="0048383B"/>
    <w:rsid w:val="0048449D"/>
    <w:rsid w:val="00484724"/>
    <w:rsid w:val="004853F9"/>
    <w:rsid w:val="0048643B"/>
    <w:rsid w:val="004867C6"/>
    <w:rsid w:val="004901CC"/>
    <w:rsid w:val="0049024F"/>
    <w:rsid w:val="00491402"/>
    <w:rsid w:val="00491E6A"/>
    <w:rsid w:val="00491ECF"/>
    <w:rsid w:val="004926F2"/>
    <w:rsid w:val="00492810"/>
    <w:rsid w:val="00492F4F"/>
    <w:rsid w:val="004947B8"/>
    <w:rsid w:val="0049594E"/>
    <w:rsid w:val="00495F52"/>
    <w:rsid w:val="00496C87"/>
    <w:rsid w:val="004972B3"/>
    <w:rsid w:val="00497F7F"/>
    <w:rsid w:val="004A17D1"/>
    <w:rsid w:val="004A2301"/>
    <w:rsid w:val="004A2E23"/>
    <w:rsid w:val="004A33F7"/>
    <w:rsid w:val="004A37F8"/>
    <w:rsid w:val="004A3A98"/>
    <w:rsid w:val="004A3D16"/>
    <w:rsid w:val="004A4AFD"/>
    <w:rsid w:val="004A56EA"/>
    <w:rsid w:val="004A5D25"/>
    <w:rsid w:val="004A6097"/>
    <w:rsid w:val="004A60BD"/>
    <w:rsid w:val="004A6617"/>
    <w:rsid w:val="004A671A"/>
    <w:rsid w:val="004A70E0"/>
    <w:rsid w:val="004A71D7"/>
    <w:rsid w:val="004A7984"/>
    <w:rsid w:val="004A7F0E"/>
    <w:rsid w:val="004B0391"/>
    <w:rsid w:val="004B09C4"/>
    <w:rsid w:val="004B0A4A"/>
    <w:rsid w:val="004B19B6"/>
    <w:rsid w:val="004B20BD"/>
    <w:rsid w:val="004B2C0D"/>
    <w:rsid w:val="004B2DAE"/>
    <w:rsid w:val="004B3409"/>
    <w:rsid w:val="004B36B8"/>
    <w:rsid w:val="004B41B4"/>
    <w:rsid w:val="004B4571"/>
    <w:rsid w:val="004B4F90"/>
    <w:rsid w:val="004B589C"/>
    <w:rsid w:val="004B6654"/>
    <w:rsid w:val="004B6DD1"/>
    <w:rsid w:val="004B745D"/>
    <w:rsid w:val="004B7FBC"/>
    <w:rsid w:val="004C01F6"/>
    <w:rsid w:val="004C0428"/>
    <w:rsid w:val="004C1569"/>
    <w:rsid w:val="004C1AA7"/>
    <w:rsid w:val="004C1CC6"/>
    <w:rsid w:val="004C2086"/>
    <w:rsid w:val="004C4CFD"/>
    <w:rsid w:val="004C5343"/>
    <w:rsid w:val="004C5FBA"/>
    <w:rsid w:val="004C67BA"/>
    <w:rsid w:val="004C6ADD"/>
    <w:rsid w:val="004C6E39"/>
    <w:rsid w:val="004C7202"/>
    <w:rsid w:val="004D06AE"/>
    <w:rsid w:val="004D0DF7"/>
    <w:rsid w:val="004D0E41"/>
    <w:rsid w:val="004D0F50"/>
    <w:rsid w:val="004D154C"/>
    <w:rsid w:val="004D20E2"/>
    <w:rsid w:val="004D26FE"/>
    <w:rsid w:val="004D3745"/>
    <w:rsid w:val="004D3EB7"/>
    <w:rsid w:val="004D4054"/>
    <w:rsid w:val="004D43AD"/>
    <w:rsid w:val="004D4734"/>
    <w:rsid w:val="004D52E0"/>
    <w:rsid w:val="004D5D6F"/>
    <w:rsid w:val="004D68AF"/>
    <w:rsid w:val="004D6E15"/>
    <w:rsid w:val="004D74A1"/>
    <w:rsid w:val="004E0141"/>
    <w:rsid w:val="004E048D"/>
    <w:rsid w:val="004E1335"/>
    <w:rsid w:val="004E1357"/>
    <w:rsid w:val="004E1734"/>
    <w:rsid w:val="004E2389"/>
    <w:rsid w:val="004E24EF"/>
    <w:rsid w:val="004E36C1"/>
    <w:rsid w:val="004E3A3B"/>
    <w:rsid w:val="004E52F3"/>
    <w:rsid w:val="004E54D0"/>
    <w:rsid w:val="004E5D5E"/>
    <w:rsid w:val="004E6A3B"/>
    <w:rsid w:val="004E6C71"/>
    <w:rsid w:val="004E7F1B"/>
    <w:rsid w:val="004F076F"/>
    <w:rsid w:val="004F07F9"/>
    <w:rsid w:val="004F115D"/>
    <w:rsid w:val="004F1A3E"/>
    <w:rsid w:val="004F1E67"/>
    <w:rsid w:val="004F3FEF"/>
    <w:rsid w:val="004F4CA3"/>
    <w:rsid w:val="004F55C5"/>
    <w:rsid w:val="004F5871"/>
    <w:rsid w:val="004F5CA5"/>
    <w:rsid w:val="004F6897"/>
    <w:rsid w:val="004F6937"/>
    <w:rsid w:val="004F6A57"/>
    <w:rsid w:val="004F6E1F"/>
    <w:rsid w:val="004F728F"/>
    <w:rsid w:val="004F7762"/>
    <w:rsid w:val="004F7B8E"/>
    <w:rsid w:val="00500800"/>
    <w:rsid w:val="0050098D"/>
    <w:rsid w:val="00500EC1"/>
    <w:rsid w:val="00501102"/>
    <w:rsid w:val="00501431"/>
    <w:rsid w:val="0050163E"/>
    <w:rsid w:val="00501829"/>
    <w:rsid w:val="00501884"/>
    <w:rsid w:val="00501E0F"/>
    <w:rsid w:val="00501E7F"/>
    <w:rsid w:val="00501F53"/>
    <w:rsid w:val="00502697"/>
    <w:rsid w:val="005026EC"/>
    <w:rsid w:val="005027F9"/>
    <w:rsid w:val="0050334D"/>
    <w:rsid w:val="0050372A"/>
    <w:rsid w:val="00504FE5"/>
    <w:rsid w:val="00505CD6"/>
    <w:rsid w:val="005062C9"/>
    <w:rsid w:val="00506344"/>
    <w:rsid w:val="005068C1"/>
    <w:rsid w:val="00506BF5"/>
    <w:rsid w:val="00507162"/>
    <w:rsid w:val="00507221"/>
    <w:rsid w:val="00510A6A"/>
    <w:rsid w:val="005114CA"/>
    <w:rsid w:val="00511548"/>
    <w:rsid w:val="00511E4B"/>
    <w:rsid w:val="00511F1B"/>
    <w:rsid w:val="005121DC"/>
    <w:rsid w:val="00512BBE"/>
    <w:rsid w:val="00513330"/>
    <w:rsid w:val="005139D9"/>
    <w:rsid w:val="00514373"/>
    <w:rsid w:val="00515004"/>
    <w:rsid w:val="005151ED"/>
    <w:rsid w:val="00515B3D"/>
    <w:rsid w:val="00515B70"/>
    <w:rsid w:val="00515CE7"/>
    <w:rsid w:val="00517CAD"/>
    <w:rsid w:val="0052046C"/>
    <w:rsid w:val="005206A9"/>
    <w:rsid w:val="00520B5C"/>
    <w:rsid w:val="00520CFD"/>
    <w:rsid w:val="00521780"/>
    <w:rsid w:val="00521B7D"/>
    <w:rsid w:val="00522DF1"/>
    <w:rsid w:val="0052383F"/>
    <w:rsid w:val="005256E0"/>
    <w:rsid w:val="00525830"/>
    <w:rsid w:val="005263AA"/>
    <w:rsid w:val="00526E14"/>
    <w:rsid w:val="00526E61"/>
    <w:rsid w:val="0052742C"/>
    <w:rsid w:val="0052771E"/>
    <w:rsid w:val="00527774"/>
    <w:rsid w:val="00527792"/>
    <w:rsid w:val="00527985"/>
    <w:rsid w:val="00530394"/>
    <w:rsid w:val="005306C7"/>
    <w:rsid w:val="00530C08"/>
    <w:rsid w:val="00532D63"/>
    <w:rsid w:val="00536341"/>
    <w:rsid w:val="005369A9"/>
    <w:rsid w:val="00537637"/>
    <w:rsid w:val="005376D9"/>
    <w:rsid w:val="00537C00"/>
    <w:rsid w:val="00537D51"/>
    <w:rsid w:val="00540140"/>
    <w:rsid w:val="00540D06"/>
    <w:rsid w:val="00540F3D"/>
    <w:rsid w:val="00541069"/>
    <w:rsid w:val="00541B9A"/>
    <w:rsid w:val="00541FFD"/>
    <w:rsid w:val="00542BD6"/>
    <w:rsid w:val="00542EC8"/>
    <w:rsid w:val="00543592"/>
    <w:rsid w:val="00543696"/>
    <w:rsid w:val="00543EC0"/>
    <w:rsid w:val="0054414E"/>
    <w:rsid w:val="005441B7"/>
    <w:rsid w:val="005445B9"/>
    <w:rsid w:val="00544710"/>
    <w:rsid w:val="00544DCA"/>
    <w:rsid w:val="00544EA7"/>
    <w:rsid w:val="00544FAF"/>
    <w:rsid w:val="00545B72"/>
    <w:rsid w:val="00545CA2"/>
    <w:rsid w:val="00547F1A"/>
    <w:rsid w:val="00547F72"/>
    <w:rsid w:val="00550078"/>
    <w:rsid w:val="00550FAE"/>
    <w:rsid w:val="0055113B"/>
    <w:rsid w:val="005517D5"/>
    <w:rsid w:val="00551E85"/>
    <w:rsid w:val="005527E1"/>
    <w:rsid w:val="00553923"/>
    <w:rsid w:val="00554F62"/>
    <w:rsid w:val="00555260"/>
    <w:rsid w:val="005554EC"/>
    <w:rsid w:val="005556D6"/>
    <w:rsid w:val="00555F8D"/>
    <w:rsid w:val="00556201"/>
    <w:rsid w:val="00560101"/>
    <w:rsid w:val="005602F2"/>
    <w:rsid w:val="00561E11"/>
    <w:rsid w:val="005623FE"/>
    <w:rsid w:val="00562673"/>
    <w:rsid w:val="0056489E"/>
    <w:rsid w:val="00565254"/>
    <w:rsid w:val="00566380"/>
    <w:rsid w:val="0056639C"/>
    <w:rsid w:val="0056644E"/>
    <w:rsid w:val="00566636"/>
    <w:rsid w:val="00566B26"/>
    <w:rsid w:val="00566C44"/>
    <w:rsid w:val="00567B7A"/>
    <w:rsid w:val="00567C86"/>
    <w:rsid w:val="00567D50"/>
    <w:rsid w:val="005707B3"/>
    <w:rsid w:val="005718C8"/>
    <w:rsid w:val="00571A98"/>
    <w:rsid w:val="005728D2"/>
    <w:rsid w:val="00572FC5"/>
    <w:rsid w:val="005735BF"/>
    <w:rsid w:val="00573780"/>
    <w:rsid w:val="00573DAD"/>
    <w:rsid w:val="0057454A"/>
    <w:rsid w:val="00574EEE"/>
    <w:rsid w:val="0057500E"/>
    <w:rsid w:val="00575BB1"/>
    <w:rsid w:val="005761DD"/>
    <w:rsid w:val="00577092"/>
    <w:rsid w:val="005772E4"/>
    <w:rsid w:val="00577470"/>
    <w:rsid w:val="005777BB"/>
    <w:rsid w:val="00577FB5"/>
    <w:rsid w:val="00580B51"/>
    <w:rsid w:val="00580F44"/>
    <w:rsid w:val="00581D3D"/>
    <w:rsid w:val="005820BA"/>
    <w:rsid w:val="00582731"/>
    <w:rsid w:val="00583090"/>
    <w:rsid w:val="00583561"/>
    <w:rsid w:val="00584319"/>
    <w:rsid w:val="005845EF"/>
    <w:rsid w:val="00584930"/>
    <w:rsid w:val="00584A83"/>
    <w:rsid w:val="00586A7C"/>
    <w:rsid w:val="00586CC3"/>
    <w:rsid w:val="0058742F"/>
    <w:rsid w:val="0058749A"/>
    <w:rsid w:val="00590010"/>
    <w:rsid w:val="005902D1"/>
    <w:rsid w:val="005907C5"/>
    <w:rsid w:val="00591416"/>
    <w:rsid w:val="00591C81"/>
    <w:rsid w:val="00592389"/>
    <w:rsid w:val="00594110"/>
    <w:rsid w:val="00594299"/>
    <w:rsid w:val="00594726"/>
    <w:rsid w:val="00594C5F"/>
    <w:rsid w:val="00595EA5"/>
    <w:rsid w:val="005960C1"/>
    <w:rsid w:val="00596ACE"/>
    <w:rsid w:val="00596C44"/>
    <w:rsid w:val="00596D68"/>
    <w:rsid w:val="00597F9A"/>
    <w:rsid w:val="005A0225"/>
    <w:rsid w:val="005A13AD"/>
    <w:rsid w:val="005A1CA6"/>
    <w:rsid w:val="005A2BB2"/>
    <w:rsid w:val="005A3D5B"/>
    <w:rsid w:val="005A403C"/>
    <w:rsid w:val="005A41EE"/>
    <w:rsid w:val="005A4B56"/>
    <w:rsid w:val="005A6DE8"/>
    <w:rsid w:val="005A6FA5"/>
    <w:rsid w:val="005A70D2"/>
    <w:rsid w:val="005A7B9B"/>
    <w:rsid w:val="005A7DA6"/>
    <w:rsid w:val="005B00B4"/>
    <w:rsid w:val="005B0984"/>
    <w:rsid w:val="005B1B1D"/>
    <w:rsid w:val="005B20F1"/>
    <w:rsid w:val="005B28E1"/>
    <w:rsid w:val="005B3303"/>
    <w:rsid w:val="005B3B2A"/>
    <w:rsid w:val="005B3B4B"/>
    <w:rsid w:val="005B3EA3"/>
    <w:rsid w:val="005B3F96"/>
    <w:rsid w:val="005B5981"/>
    <w:rsid w:val="005B65ED"/>
    <w:rsid w:val="005B67F1"/>
    <w:rsid w:val="005B7013"/>
    <w:rsid w:val="005B7D09"/>
    <w:rsid w:val="005C0404"/>
    <w:rsid w:val="005C053A"/>
    <w:rsid w:val="005C0D9B"/>
    <w:rsid w:val="005C17CD"/>
    <w:rsid w:val="005C2374"/>
    <w:rsid w:val="005C27D8"/>
    <w:rsid w:val="005C2EF0"/>
    <w:rsid w:val="005C386A"/>
    <w:rsid w:val="005C3AA6"/>
    <w:rsid w:val="005C5120"/>
    <w:rsid w:val="005C5171"/>
    <w:rsid w:val="005C51DB"/>
    <w:rsid w:val="005C5459"/>
    <w:rsid w:val="005C570D"/>
    <w:rsid w:val="005C5FCA"/>
    <w:rsid w:val="005C6A7F"/>
    <w:rsid w:val="005C6FF5"/>
    <w:rsid w:val="005C7389"/>
    <w:rsid w:val="005C768B"/>
    <w:rsid w:val="005C76C6"/>
    <w:rsid w:val="005C7A4B"/>
    <w:rsid w:val="005D0065"/>
    <w:rsid w:val="005D02DE"/>
    <w:rsid w:val="005D0886"/>
    <w:rsid w:val="005D1DD3"/>
    <w:rsid w:val="005D2258"/>
    <w:rsid w:val="005D36C9"/>
    <w:rsid w:val="005D45C9"/>
    <w:rsid w:val="005D4C30"/>
    <w:rsid w:val="005D4D3F"/>
    <w:rsid w:val="005D51CB"/>
    <w:rsid w:val="005D5366"/>
    <w:rsid w:val="005D55AD"/>
    <w:rsid w:val="005D6252"/>
    <w:rsid w:val="005D66EF"/>
    <w:rsid w:val="005D674B"/>
    <w:rsid w:val="005D6EF4"/>
    <w:rsid w:val="005D710E"/>
    <w:rsid w:val="005E006D"/>
    <w:rsid w:val="005E0338"/>
    <w:rsid w:val="005E1A1F"/>
    <w:rsid w:val="005E1C57"/>
    <w:rsid w:val="005E1D43"/>
    <w:rsid w:val="005E3089"/>
    <w:rsid w:val="005E3381"/>
    <w:rsid w:val="005E3F29"/>
    <w:rsid w:val="005E400E"/>
    <w:rsid w:val="005E468A"/>
    <w:rsid w:val="005E4765"/>
    <w:rsid w:val="005E4913"/>
    <w:rsid w:val="005E4E31"/>
    <w:rsid w:val="005E5666"/>
    <w:rsid w:val="005E62C0"/>
    <w:rsid w:val="005E67A2"/>
    <w:rsid w:val="005F17DB"/>
    <w:rsid w:val="005F1AD7"/>
    <w:rsid w:val="005F2663"/>
    <w:rsid w:val="005F279E"/>
    <w:rsid w:val="005F2A45"/>
    <w:rsid w:val="005F43AB"/>
    <w:rsid w:val="005F43B6"/>
    <w:rsid w:val="005F44A8"/>
    <w:rsid w:val="005F5394"/>
    <w:rsid w:val="005F5CAD"/>
    <w:rsid w:val="005F6118"/>
    <w:rsid w:val="005F62CC"/>
    <w:rsid w:val="005F6E33"/>
    <w:rsid w:val="005F6F7F"/>
    <w:rsid w:val="005F6FB0"/>
    <w:rsid w:val="005F6FBD"/>
    <w:rsid w:val="005F74AB"/>
    <w:rsid w:val="005F757D"/>
    <w:rsid w:val="005F77F0"/>
    <w:rsid w:val="005F7DE1"/>
    <w:rsid w:val="00600243"/>
    <w:rsid w:val="006002B3"/>
    <w:rsid w:val="00600688"/>
    <w:rsid w:val="006012D8"/>
    <w:rsid w:val="006018A3"/>
    <w:rsid w:val="0060199D"/>
    <w:rsid w:val="00601F69"/>
    <w:rsid w:val="00602435"/>
    <w:rsid w:val="006031BC"/>
    <w:rsid w:val="00603251"/>
    <w:rsid w:val="00603459"/>
    <w:rsid w:val="006036D2"/>
    <w:rsid w:val="00604DD6"/>
    <w:rsid w:val="00604F62"/>
    <w:rsid w:val="006050A6"/>
    <w:rsid w:val="0060540C"/>
    <w:rsid w:val="00605BFF"/>
    <w:rsid w:val="00606080"/>
    <w:rsid w:val="006061F1"/>
    <w:rsid w:val="0060665C"/>
    <w:rsid w:val="006071DE"/>
    <w:rsid w:val="00607247"/>
    <w:rsid w:val="006073C4"/>
    <w:rsid w:val="006075F3"/>
    <w:rsid w:val="00610070"/>
    <w:rsid w:val="00610D78"/>
    <w:rsid w:val="00610DE4"/>
    <w:rsid w:val="006111EC"/>
    <w:rsid w:val="0061125E"/>
    <w:rsid w:val="006133D8"/>
    <w:rsid w:val="00614F5D"/>
    <w:rsid w:val="00615CC0"/>
    <w:rsid w:val="00615D90"/>
    <w:rsid w:val="00615EBD"/>
    <w:rsid w:val="00616A7B"/>
    <w:rsid w:val="006177B3"/>
    <w:rsid w:val="00620906"/>
    <w:rsid w:val="00620A87"/>
    <w:rsid w:val="00620DA0"/>
    <w:rsid w:val="0062195B"/>
    <w:rsid w:val="00621A05"/>
    <w:rsid w:val="006224EB"/>
    <w:rsid w:val="00622D14"/>
    <w:rsid w:val="00623B3F"/>
    <w:rsid w:val="00623B83"/>
    <w:rsid w:val="00624575"/>
    <w:rsid w:val="00624DC4"/>
    <w:rsid w:val="006252D2"/>
    <w:rsid w:val="00625FE2"/>
    <w:rsid w:val="0063027C"/>
    <w:rsid w:val="00631499"/>
    <w:rsid w:val="00631B2E"/>
    <w:rsid w:val="00633030"/>
    <w:rsid w:val="00633D26"/>
    <w:rsid w:val="00633EBF"/>
    <w:rsid w:val="006345C8"/>
    <w:rsid w:val="0063529F"/>
    <w:rsid w:val="006356B2"/>
    <w:rsid w:val="00635B0F"/>
    <w:rsid w:val="00636278"/>
    <w:rsid w:val="006400CD"/>
    <w:rsid w:val="00640DC5"/>
    <w:rsid w:val="0064189D"/>
    <w:rsid w:val="00643F42"/>
    <w:rsid w:val="00644D0D"/>
    <w:rsid w:val="00644DFB"/>
    <w:rsid w:val="006457B2"/>
    <w:rsid w:val="00645ECF"/>
    <w:rsid w:val="0064649D"/>
    <w:rsid w:val="0064678F"/>
    <w:rsid w:val="006468C9"/>
    <w:rsid w:val="00650429"/>
    <w:rsid w:val="00651B65"/>
    <w:rsid w:val="00652277"/>
    <w:rsid w:val="00652800"/>
    <w:rsid w:val="00652A88"/>
    <w:rsid w:val="0065415E"/>
    <w:rsid w:val="00655EF9"/>
    <w:rsid w:val="006560D3"/>
    <w:rsid w:val="0065653A"/>
    <w:rsid w:val="00657E72"/>
    <w:rsid w:val="006606AE"/>
    <w:rsid w:val="00661075"/>
    <w:rsid w:val="006615A8"/>
    <w:rsid w:val="00663B7A"/>
    <w:rsid w:val="00664879"/>
    <w:rsid w:val="00664BA8"/>
    <w:rsid w:val="00665232"/>
    <w:rsid w:val="00665D50"/>
    <w:rsid w:val="0066635A"/>
    <w:rsid w:val="0066703B"/>
    <w:rsid w:val="0066763F"/>
    <w:rsid w:val="0067011A"/>
    <w:rsid w:val="00670BEF"/>
    <w:rsid w:val="006715E0"/>
    <w:rsid w:val="00673995"/>
    <w:rsid w:val="00674FBA"/>
    <w:rsid w:val="00675045"/>
    <w:rsid w:val="00675C96"/>
    <w:rsid w:val="00676A3C"/>
    <w:rsid w:val="00677876"/>
    <w:rsid w:val="0068033E"/>
    <w:rsid w:val="00681FAA"/>
    <w:rsid w:val="00682932"/>
    <w:rsid w:val="0068310A"/>
    <w:rsid w:val="00684360"/>
    <w:rsid w:val="00684374"/>
    <w:rsid w:val="006846FD"/>
    <w:rsid w:val="00684AE8"/>
    <w:rsid w:val="006868BE"/>
    <w:rsid w:val="00686DDC"/>
    <w:rsid w:val="00687730"/>
    <w:rsid w:val="00687CFB"/>
    <w:rsid w:val="00687F19"/>
    <w:rsid w:val="0069010C"/>
    <w:rsid w:val="006907EE"/>
    <w:rsid w:val="00690E47"/>
    <w:rsid w:val="00691044"/>
    <w:rsid w:val="00691656"/>
    <w:rsid w:val="00692119"/>
    <w:rsid w:val="006937CF"/>
    <w:rsid w:val="00693912"/>
    <w:rsid w:val="00694909"/>
    <w:rsid w:val="0069603F"/>
    <w:rsid w:val="006964F7"/>
    <w:rsid w:val="00696EBE"/>
    <w:rsid w:val="0069747C"/>
    <w:rsid w:val="006976C7"/>
    <w:rsid w:val="006A03F6"/>
    <w:rsid w:val="006A0A80"/>
    <w:rsid w:val="006A0AF7"/>
    <w:rsid w:val="006A24AD"/>
    <w:rsid w:val="006A405E"/>
    <w:rsid w:val="006A4D3F"/>
    <w:rsid w:val="006A508C"/>
    <w:rsid w:val="006A5317"/>
    <w:rsid w:val="006A538D"/>
    <w:rsid w:val="006A5745"/>
    <w:rsid w:val="006A59BD"/>
    <w:rsid w:val="006A6841"/>
    <w:rsid w:val="006A7336"/>
    <w:rsid w:val="006A7C50"/>
    <w:rsid w:val="006B0330"/>
    <w:rsid w:val="006B4796"/>
    <w:rsid w:val="006B48C4"/>
    <w:rsid w:val="006B59DF"/>
    <w:rsid w:val="006B5C48"/>
    <w:rsid w:val="006B5E0C"/>
    <w:rsid w:val="006B722B"/>
    <w:rsid w:val="006C0986"/>
    <w:rsid w:val="006C0F2A"/>
    <w:rsid w:val="006C1FD0"/>
    <w:rsid w:val="006C275C"/>
    <w:rsid w:val="006C3478"/>
    <w:rsid w:val="006C34C9"/>
    <w:rsid w:val="006C3E1D"/>
    <w:rsid w:val="006C4209"/>
    <w:rsid w:val="006C467F"/>
    <w:rsid w:val="006C4F84"/>
    <w:rsid w:val="006C5AAB"/>
    <w:rsid w:val="006C639B"/>
    <w:rsid w:val="006C7551"/>
    <w:rsid w:val="006C7695"/>
    <w:rsid w:val="006C7729"/>
    <w:rsid w:val="006D0451"/>
    <w:rsid w:val="006D04A1"/>
    <w:rsid w:val="006D0520"/>
    <w:rsid w:val="006D05A0"/>
    <w:rsid w:val="006D1252"/>
    <w:rsid w:val="006D1357"/>
    <w:rsid w:val="006D1EBC"/>
    <w:rsid w:val="006D2677"/>
    <w:rsid w:val="006D3ABA"/>
    <w:rsid w:val="006D46A7"/>
    <w:rsid w:val="006D53E0"/>
    <w:rsid w:val="006D6C0E"/>
    <w:rsid w:val="006D6FFB"/>
    <w:rsid w:val="006D7644"/>
    <w:rsid w:val="006D7937"/>
    <w:rsid w:val="006D7D28"/>
    <w:rsid w:val="006E02C2"/>
    <w:rsid w:val="006E05E5"/>
    <w:rsid w:val="006E0867"/>
    <w:rsid w:val="006E0FFA"/>
    <w:rsid w:val="006E1069"/>
    <w:rsid w:val="006E1F33"/>
    <w:rsid w:val="006E37DD"/>
    <w:rsid w:val="006E37EB"/>
    <w:rsid w:val="006E48BF"/>
    <w:rsid w:val="006E5472"/>
    <w:rsid w:val="006E5535"/>
    <w:rsid w:val="006E653F"/>
    <w:rsid w:val="006E6587"/>
    <w:rsid w:val="006E6612"/>
    <w:rsid w:val="006E7123"/>
    <w:rsid w:val="006E745D"/>
    <w:rsid w:val="006E7E8F"/>
    <w:rsid w:val="006E7F79"/>
    <w:rsid w:val="006F0153"/>
    <w:rsid w:val="006F065A"/>
    <w:rsid w:val="006F0DE9"/>
    <w:rsid w:val="006F1D47"/>
    <w:rsid w:val="006F3082"/>
    <w:rsid w:val="006F3218"/>
    <w:rsid w:val="006F36C9"/>
    <w:rsid w:val="006F3A49"/>
    <w:rsid w:val="006F498B"/>
    <w:rsid w:val="006F49A3"/>
    <w:rsid w:val="006F502A"/>
    <w:rsid w:val="006F59F8"/>
    <w:rsid w:val="006F5DE9"/>
    <w:rsid w:val="006F5ED8"/>
    <w:rsid w:val="006F644B"/>
    <w:rsid w:val="006F67B5"/>
    <w:rsid w:val="006F6EEC"/>
    <w:rsid w:val="006F7262"/>
    <w:rsid w:val="006F728E"/>
    <w:rsid w:val="00700043"/>
    <w:rsid w:val="00700701"/>
    <w:rsid w:val="00701105"/>
    <w:rsid w:val="007017C0"/>
    <w:rsid w:val="00701EF2"/>
    <w:rsid w:val="007023D7"/>
    <w:rsid w:val="00702685"/>
    <w:rsid w:val="00702686"/>
    <w:rsid w:val="00702D22"/>
    <w:rsid w:val="00703193"/>
    <w:rsid w:val="007039E1"/>
    <w:rsid w:val="00703C10"/>
    <w:rsid w:val="007040FD"/>
    <w:rsid w:val="00704A57"/>
    <w:rsid w:val="00705073"/>
    <w:rsid w:val="007062C2"/>
    <w:rsid w:val="00706AE0"/>
    <w:rsid w:val="00706BD8"/>
    <w:rsid w:val="00706D7F"/>
    <w:rsid w:val="00707174"/>
    <w:rsid w:val="0070753C"/>
    <w:rsid w:val="007106C7"/>
    <w:rsid w:val="00710E29"/>
    <w:rsid w:val="007119F6"/>
    <w:rsid w:val="00711E47"/>
    <w:rsid w:val="0071248C"/>
    <w:rsid w:val="007124BD"/>
    <w:rsid w:val="00712A5A"/>
    <w:rsid w:val="00713BE4"/>
    <w:rsid w:val="00713CDA"/>
    <w:rsid w:val="00713F58"/>
    <w:rsid w:val="0071402E"/>
    <w:rsid w:val="007151E7"/>
    <w:rsid w:val="0071534A"/>
    <w:rsid w:val="007155A6"/>
    <w:rsid w:val="0071586F"/>
    <w:rsid w:val="00715C24"/>
    <w:rsid w:val="007162AA"/>
    <w:rsid w:val="0071660D"/>
    <w:rsid w:val="007167A8"/>
    <w:rsid w:val="00716872"/>
    <w:rsid w:val="007178DF"/>
    <w:rsid w:val="00720005"/>
    <w:rsid w:val="0072066C"/>
    <w:rsid w:val="00721CC8"/>
    <w:rsid w:val="00721F36"/>
    <w:rsid w:val="00721F6A"/>
    <w:rsid w:val="0072220A"/>
    <w:rsid w:val="00722523"/>
    <w:rsid w:val="007227AB"/>
    <w:rsid w:val="00722CCB"/>
    <w:rsid w:val="00722F10"/>
    <w:rsid w:val="007234D1"/>
    <w:rsid w:val="00723FEC"/>
    <w:rsid w:val="0072423D"/>
    <w:rsid w:val="00724700"/>
    <w:rsid w:val="00724F41"/>
    <w:rsid w:val="007253DC"/>
    <w:rsid w:val="0072543D"/>
    <w:rsid w:val="0072585D"/>
    <w:rsid w:val="00726909"/>
    <w:rsid w:val="00726AEC"/>
    <w:rsid w:val="00730D54"/>
    <w:rsid w:val="00731317"/>
    <w:rsid w:val="0073187F"/>
    <w:rsid w:val="00731917"/>
    <w:rsid w:val="00731C8B"/>
    <w:rsid w:val="007320AC"/>
    <w:rsid w:val="0073240D"/>
    <w:rsid w:val="00732B87"/>
    <w:rsid w:val="00733874"/>
    <w:rsid w:val="00733903"/>
    <w:rsid w:val="007342C9"/>
    <w:rsid w:val="00734981"/>
    <w:rsid w:val="00734F2D"/>
    <w:rsid w:val="007358BB"/>
    <w:rsid w:val="00735CEC"/>
    <w:rsid w:val="00735FE8"/>
    <w:rsid w:val="00736118"/>
    <w:rsid w:val="007368B3"/>
    <w:rsid w:val="00737AD7"/>
    <w:rsid w:val="00737B64"/>
    <w:rsid w:val="007408E2"/>
    <w:rsid w:val="00740E4F"/>
    <w:rsid w:val="00742564"/>
    <w:rsid w:val="00742A12"/>
    <w:rsid w:val="00742B3C"/>
    <w:rsid w:val="00742DCE"/>
    <w:rsid w:val="00742E85"/>
    <w:rsid w:val="00742F27"/>
    <w:rsid w:val="00743406"/>
    <w:rsid w:val="00743687"/>
    <w:rsid w:val="007438DA"/>
    <w:rsid w:val="00745238"/>
    <w:rsid w:val="007452D0"/>
    <w:rsid w:val="00746301"/>
    <w:rsid w:val="0074632C"/>
    <w:rsid w:val="00747333"/>
    <w:rsid w:val="0075204C"/>
    <w:rsid w:val="007527AE"/>
    <w:rsid w:val="007541A0"/>
    <w:rsid w:val="00754340"/>
    <w:rsid w:val="007566B9"/>
    <w:rsid w:val="00756719"/>
    <w:rsid w:val="007574C0"/>
    <w:rsid w:val="007576AA"/>
    <w:rsid w:val="007579B5"/>
    <w:rsid w:val="00757E26"/>
    <w:rsid w:val="00757F45"/>
    <w:rsid w:val="007608D6"/>
    <w:rsid w:val="00760F47"/>
    <w:rsid w:val="00761BFF"/>
    <w:rsid w:val="007625F5"/>
    <w:rsid w:val="00762C62"/>
    <w:rsid w:val="00763834"/>
    <w:rsid w:val="00763DB5"/>
    <w:rsid w:val="007649DB"/>
    <w:rsid w:val="00764BE9"/>
    <w:rsid w:val="0076600C"/>
    <w:rsid w:val="0076613E"/>
    <w:rsid w:val="00766472"/>
    <w:rsid w:val="00766F8B"/>
    <w:rsid w:val="0077021E"/>
    <w:rsid w:val="00772423"/>
    <w:rsid w:val="00773990"/>
    <w:rsid w:val="00773DAD"/>
    <w:rsid w:val="00774E5A"/>
    <w:rsid w:val="0077500A"/>
    <w:rsid w:val="00775364"/>
    <w:rsid w:val="0077566B"/>
    <w:rsid w:val="00777657"/>
    <w:rsid w:val="00780937"/>
    <w:rsid w:val="00781139"/>
    <w:rsid w:val="00781E4E"/>
    <w:rsid w:val="007823DF"/>
    <w:rsid w:val="00782514"/>
    <w:rsid w:val="00782E62"/>
    <w:rsid w:val="007833FE"/>
    <w:rsid w:val="00783415"/>
    <w:rsid w:val="00783912"/>
    <w:rsid w:val="00786491"/>
    <w:rsid w:val="007864DE"/>
    <w:rsid w:val="007867A2"/>
    <w:rsid w:val="007873FC"/>
    <w:rsid w:val="007907D6"/>
    <w:rsid w:val="007927E7"/>
    <w:rsid w:val="00792A95"/>
    <w:rsid w:val="00793097"/>
    <w:rsid w:val="007930EA"/>
    <w:rsid w:val="007935CE"/>
    <w:rsid w:val="00793652"/>
    <w:rsid w:val="0079388A"/>
    <w:rsid w:val="00794482"/>
    <w:rsid w:val="00794DCB"/>
    <w:rsid w:val="007A06C3"/>
    <w:rsid w:val="007A07FF"/>
    <w:rsid w:val="007A10DF"/>
    <w:rsid w:val="007A1E12"/>
    <w:rsid w:val="007A2232"/>
    <w:rsid w:val="007A277E"/>
    <w:rsid w:val="007A32F1"/>
    <w:rsid w:val="007A3535"/>
    <w:rsid w:val="007A3859"/>
    <w:rsid w:val="007A39CD"/>
    <w:rsid w:val="007A39FF"/>
    <w:rsid w:val="007A3BBD"/>
    <w:rsid w:val="007A438F"/>
    <w:rsid w:val="007A4CF3"/>
    <w:rsid w:val="007A5434"/>
    <w:rsid w:val="007A5F26"/>
    <w:rsid w:val="007A69FF"/>
    <w:rsid w:val="007A70CC"/>
    <w:rsid w:val="007A7946"/>
    <w:rsid w:val="007B0377"/>
    <w:rsid w:val="007B225B"/>
    <w:rsid w:val="007B2295"/>
    <w:rsid w:val="007B2CA0"/>
    <w:rsid w:val="007B2D8D"/>
    <w:rsid w:val="007B378D"/>
    <w:rsid w:val="007B37CC"/>
    <w:rsid w:val="007B418F"/>
    <w:rsid w:val="007B5481"/>
    <w:rsid w:val="007B5E73"/>
    <w:rsid w:val="007B61E3"/>
    <w:rsid w:val="007B656D"/>
    <w:rsid w:val="007B78A0"/>
    <w:rsid w:val="007B7CCC"/>
    <w:rsid w:val="007C01F5"/>
    <w:rsid w:val="007C0B84"/>
    <w:rsid w:val="007C32A9"/>
    <w:rsid w:val="007C37B6"/>
    <w:rsid w:val="007C42E8"/>
    <w:rsid w:val="007C43C1"/>
    <w:rsid w:val="007C4CA6"/>
    <w:rsid w:val="007C547E"/>
    <w:rsid w:val="007C59A9"/>
    <w:rsid w:val="007C68D1"/>
    <w:rsid w:val="007C6DD5"/>
    <w:rsid w:val="007C7199"/>
    <w:rsid w:val="007C7559"/>
    <w:rsid w:val="007C7810"/>
    <w:rsid w:val="007D0019"/>
    <w:rsid w:val="007D0736"/>
    <w:rsid w:val="007D10EF"/>
    <w:rsid w:val="007D2AD5"/>
    <w:rsid w:val="007D4252"/>
    <w:rsid w:val="007D4BA5"/>
    <w:rsid w:val="007D4E8F"/>
    <w:rsid w:val="007D5139"/>
    <w:rsid w:val="007D633B"/>
    <w:rsid w:val="007D6994"/>
    <w:rsid w:val="007E01B6"/>
    <w:rsid w:val="007E065B"/>
    <w:rsid w:val="007E0CCE"/>
    <w:rsid w:val="007E148D"/>
    <w:rsid w:val="007E1618"/>
    <w:rsid w:val="007E1761"/>
    <w:rsid w:val="007E1E9B"/>
    <w:rsid w:val="007E313F"/>
    <w:rsid w:val="007E351D"/>
    <w:rsid w:val="007E400E"/>
    <w:rsid w:val="007E4776"/>
    <w:rsid w:val="007E4C81"/>
    <w:rsid w:val="007E588B"/>
    <w:rsid w:val="007E5F75"/>
    <w:rsid w:val="007E7AF9"/>
    <w:rsid w:val="007E7C03"/>
    <w:rsid w:val="007F0FE0"/>
    <w:rsid w:val="007F16F7"/>
    <w:rsid w:val="007F1A8B"/>
    <w:rsid w:val="007F282A"/>
    <w:rsid w:val="007F2ABB"/>
    <w:rsid w:val="007F2B48"/>
    <w:rsid w:val="007F3397"/>
    <w:rsid w:val="007F3DBD"/>
    <w:rsid w:val="007F40E0"/>
    <w:rsid w:val="007F49EA"/>
    <w:rsid w:val="007F5107"/>
    <w:rsid w:val="007F54A8"/>
    <w:rsid w:val="007F6331"/>
    <w:rsid w:val="007F6BC9"/>
    <w:rsid w:val="007F7115"/>
    <w:rsid w:val="007F7456"/>
    <w:rsid w:val="007F75CD"/>
    <w:rsid w:val="007F77C1"/>
    <w:rsid w:val="00800644"/>
    <w:rsid w:val="00801092"/>
    <w:rsid w:val="008010B2"/>
    <w:rsid w:val="00801298"/>
    <w:rsid w:val="0080161E"/>
    <w:rsid w:val="008019F9"/>
    <w:rsid w:val="00801AA3"/>
    <w:rsid w:val="00801CF2"/>
    <w:rsid w:val="008023A7"/>
    <w:rsid w:val="00802A0E"/>
    <w:rsid w:val="00803711"/>
    <w:rsid w:val="0080379D"/>
    <w:rsid w:val="00803DF0"/>
    <w:rsid w:val="00803FCD"/>
    <w:rsid w:val="00804D1A"/>
    <w:rsid w:val="00804F7D"/>
    <w:rsid w:val="008050AC"/>
    <w:rsid w:val="00805C55"/>
    <w:rsid w:val="00810CF3"/>
    <w:rsid w:val="0081173E"/>
    <w:rsid w:val="00811F81"/>
    <w:rsid w:val="00812A9C"/>
    <w:rsid w:val="00812EAB"/>
    <w:rsid w:val="00814AA1"/>
    <w:rsid w:val="0081554E"/>
    <w:rsid w:val="00815F73"/>
    <w:rsid w:val="00815FBA"/>
    <w:rsid w:val="00817B26"/>
    <w:rsid w:val="00817E8F"/>
    <w:rsid w:val="00820278"/>
    <w:rsid w:val="008208A9"/>
    <w:rsid w:val="00820E5E"/>
    <w:rsid w:val="00822EB1"/>
    <w:rsid w:val="008232ED"/>
    <w:rsid w:val="008233BC"/>
    <w:rsid w:val="00823538"/>
    <w:rsid w:val="00823E77"/>
    <w:rsid w:val="00825496"/>
    <w:rsid w:val="0082549F"/>
    <w:rsid w:val="00825E0D"/>
    <w:rsid w:val="00826D1C"/>
    <w:rsid w:val="00830B9D"/>
    <w:rsid w:val="00831D00"/>
    <w:rsid w:val="00831FA7"/>
    <w:rsid w:val="008321B9"/>
    <w:rsid w:val="00832DD4"/>
    <w:rsid w:val="00832FDE"/>
    <w:rsid w:val="00833924"/>
    <w:rsid w:val="008348EC"/>
    <w:rsid w:val="00835195"/>
    <w:rsid w:val="00836054"/>
    <w:rsid w:val="008366BB"/>
    <w:rsid w:val="00836761"/>
    <w:rsid w:val="00836ABE"/>
    <w:rsid w:val="00837BAB"/>
    <w:rsid w:val="00837E37"/>
    <w:rsid w:val="00840A2B"/>
    <w:rsid w:val="008414D7"/>
    <w:rsid w:val="00841677"/>
    <w:rsid w:val="00842268"/>
    <w:rsid w:val="00842269"/>
    <w:rsid w:val="008426FC"/>
    <w:rsid w:val="008430A9"/>
    <w:rsid w:val="008438EE"/>
    <w:rsid w:val="00843B79"/>
    <w:rsid w:val="00843D30"/>
    <w:rsid w:val="00844068"/>
    <w:rsid w:val="00844B32"/>
    <w:rsid w:val="00844F3A"/>
    <w:rsid w:val="00845404"/>
    <w:rsid w:val="0084615F"/>
    <w:rsid w:val="00846471"/>
    <w:rsid w:val="00846E93"/>
    <w:rsid w:val="00846FE2"/>
    <w:rsid w:val="008471D2"/>
    <w:rsid w:val="0084772C"/>
    <w:rsid w:val="00847C80"/>
    <w:rsid w:val="0085031F"/>
    <w:rsid w:val="00850CE3"/>
    <w:rsid w:val="00850E12"/>
    <w:rsid w:val="00850F65"/>
    <w:rsid w:val="00851A8A"/>
    <w:rsid w:val="00855E2B"/>
    <w:rsid w:val="0085699F"/>
    <w:rsid w:val="00856E77"/>
    <w:rsid w:val="00860018"/>
    <w:rsid w:val="008603EF"/>
    <w:rsid w:val="00860A48"/>
    <w:rsid w:val="00860D90"/>
    <w:rsid w:val="00860DEB"/>
    <w:rsid w:val="008612B4"/>
    <w:rsid w:val="00861B34"/>
    <w:rsid w:val="00862728"/>
    <w:rsid w:val="008627CE"/>
    <w:rsid w:val="00863A35"/>
    <w:rsid w:val="00864FD7"/>
    <w:rsid w:val="008704B3"/>
    <w:rsid w:val="00871885"/>
    <w:rsid w:val="008727B7"/>
    <w:rsid w:val="0087334A"/>
    <w:rsid w:val="0087382B"/>
    <w:rsid w:val="00873963"/>
    <w:rsid w:val="00873C77"/>
    <w:rsid w:val="00874B75"/>
    <w:rsid w:val="0087536F"/>
    <w:rsid w:val="0087547A"/>
    <w:rsid w:val="00876363"/>
    <w:rsid w:val="008763C8"/>
    <w:rsid w:val="00876DD9"/>
    <w:rsid w:val="00877453"/>
    <w:rsid w:val="0087765A"/>
    <w:rsid w:val="00877CDF"/>
    <w:rsid w:val="00880AB9"/>
    <w:rsid w:val="00880CB0"/>
    <w:rsid w:val="008810D0"/>
    <w:rsid w:val="00881B96"/>
    <w:rsid w:val="00881F28"/>
    <w:rsid w:val="00882109"/>
    <w:rsid w:val="0088484B"/>
    <w:rsid w:val="00884C67"/>
    <w:rsid w:val="00884CDC"/>
    <w:rsid w:val="0088533D"/>
    <w:rsid w:val="0088539C"/>
    <w:rsid w:val="008857A9"/>
    <w:rsid w:val="008861A0"/>
    <w:rsid w:val="00886302"/>
    <w:rsid w:val="00886492"/>
    <w:rsid w:val="00886A7A"/>
    <w:rsid w:val="00890B0B"/>
    <w:rsid w:val="00890D19"/>
    <w:rsid w:val="00891331"/>
    <w:rsid w:val="00891C65"/>
    <w:rsid w:val="00891C76"/>
    <w:rsid w:val="008925D8"/>
    <w:rsid w:val="008930A7"/>
    <w:rsid w:val="008931F6"/>
    <w:rsid w:val="00893259"/>
    <w:rsid w:val="00893BE2"/>
    <w:rsid w:val="00893DAE"/>
    <w:rsid w:val="0089655C"/>
    <w:rsid w:val="00896769"/>
    <w:rsid w:val="008978E9"/>
    <w:rsid w:val="008A06E1"/>
    <w:rsid w:val="008A18A3"/>
    <w:rsid w:val="008A2582"/>
    <w:rsid w:val="008A5789"/>
    <w:rsid w:val="008A5A63"/>
    <w:rsid w:val="008A663C"/>
    <w:rsid w:val="008A6937"/>
    <w:rsid w:val="008A694B"/>
    <w:rsid w:val="008A6BC2"/>
    <w:rsid w:val="008A70DA"/>
    <w:rsid w:val="008A75AF"/>
    <w:rsid w:val="008A7E09"/>
    <w:rsid w:val="008A7F28"/>
    <w:rsid w:val="008B02CD"/>
    <w:rsid w:val="008B1641"/>
    <w:rsid w:val="008B1B35"/>
    <w:rsid w:val="008B1B95"/>
    <w:rsid w:val="008B1E78"/>
    <w:rsid w:val="008B225D"/>
    <w:rsid w:val="008B2269"/>
    <w:rsid w:val="008B2AE1"/>
    <w:rsid w:val="008B3229"/>
    <w:rsid w:val="008B360C"/>
    <w:rsid w:val="008B39C8"/>
    <w:rsid w:val="008B517A"/>
    <w:rsid w:val="008B52EC"/>
    <w:rsid w:val="008B5464"/>
    <w:rsid w:val="008B5500"/>
    <w:rsid w:val="008B56AD"/>
    <w:rsid w:val="008B58AF"/>
    <w:rsid w:val="008B7256"/>
    <w:rsid w:val="008C00C1"/>
    <w:rsid w:val="008C0C79"/>
    <w:rsid w:val="008C2622"/>
    <w:rsid w:val="008C2AD7"/>
    <w:rsid w:val="008C2F89"/>
    <w:rsid w:val="008C3974"/>
    <w:rsid w:val="008C3F4D"/>
    <w:rsid w:val="008C4528"/>
    <w:rsid w:val="008C4778"/>
    <w:rsid w:val="008C4818"/>
    <w:rsid w:val="008C4FB9"/>
    <w:rsid w:val="008C63D1"/>
    <w:rsid w:val="008C6900"/>
    <w:rsid w:val="008C77A4"/>
    <w:rsid w:val="008C7895"/>
    <w:rsid w:val="008C7B2A"/>
    <w:rsid w:val="008C7F44"/>
    <w:rsid w:val="008D06FA"/>
    <w:rsid w:val="008D105B"/>
    <w:rsid w:val="008D1957"/>
    <w:rsid w:val="008D22C7"/>
    <w:rsid w:val="008D2BC7"/>
    <w:rsid w:val="008D2CB9"/>
    <w:rsid w:val="008D2EE2"/>
    <w:rsid w:val="008D59E4"/>
    <w:rsid w:val="008D6416"/>
    <w:rsid w:val="008D71AF"/>
    <w:rsid w:val="008D780E"/>
    <w:rsid w:val="008E06CC"/>
    <w:rsid w:val="008E09CE"/>
    <w:rsid w:val="008E0BA4"/>
    <w:rsid w:val="008E0D3A"/>
    <w:rsid w:val="008E1069"/>
    <w:rsid w:val="008E1F42"/>
    <w:rsid w:val="008E1F94"/>
    <w:rsid w:val="008E304B"/>
    <w:rsid w:val="008E3ECA"/>
    <w:rsid w:val="008E41F1"/>
    <w:rsid w:val="008E4BAB"/>
    <w:rsid w:val="008E526B"/>
    <w:rsid w:val="008E54CB"/>
    <w:rsid w:val="008E5E92"/>
    <w:rsid w:val="008E6B23"/>
    <w:rsid w:val="008E6DA4"/>
    <w:rsid w:val="008E74D9"/>
    <w:rsid w:val="008E7B04"/>
    <w:rsid w:val="008E7FC1"/>
    <w:rsid w:val="008F0224"/>
    <w:rsid w:val="008F0D67"/>
    <w:rsid w:val="008F1291"/>
    <w:rsid w:val="008F2FC8"/>
    <w:rsid w:val="008F56CF"/>
    <w:rsid w:val="008F5A4C"/>
    <w:rsid w:val="008F6278"/>
    <w:rsid w:val="008F648A"/>
    <w:rsid w:val="008F6D45"/>
    <w:rsid w:val="008F6D7F"/>
    <w:rsid w:val="008F6F09"/>
    <w:rsid w:val="008F711A"/>
    <w:rsid w:val="008F7AF2"/>
    <w:rsid w:val="009008A6"/>
    <w:rsid w:val="00900A3E"/>
    <w:rsid w:val="009024FC"/>
    <w:rsid w:val="009036C3"/>
    <w:rsid w:val="0090399A"/>
    <w:rsid w:val="00903E73"/>
    <w:rsid w:val="00905434"/>
    <w:rsid w:val="00906890"/>
    <w:rsid w:val="00906E0A"/>
    <w:rsid w:val="0090710A"/>
    <w:rsid w:val="0091037B"/>
    <w:rsid w:val="009104F0"/>
    <w:rsid w:val="00910E3B"/>
    <w:rsid w:val="009116A4"/>
    <w:rsid w:val="00911EA3"/>
    <w:rsid w:val="00912F9D"/>
    <w:rsid w:val="00915A04"/>
    <w:rsid w:val="00915BFE"/>
    <w:rsid w:val="00916BA1"/>
    <w:rsid w:val="00916BF2"/>
    <w:rsid w:val="0091726A"/>
    <w:rsid w:val="00917459"/>
    <w:rsid w:val="00917530"/>
    <w:rsid w:val="00920381"/>
    <w:rsid w:val="0092186E"/>
    <w:rsid w:val="00922007"/>
    <w:rsid w:val="00922C53"/>
    <w:rsid w:val="0092307E"/>
    <w:rsid w:val="009237C2"/>
    <w:rsid w:val="009237FA"/>
    <w:rsid w:val="009249E7"/>
    <w:rsid w:val="00925B1B"/>
    <w:rsid w:val="00925B6F"/>
    <w:rsid w:val="009274BD"/>
    <w:rsid w:val="00927518"/>
    <w:rsid w:val="009276B6"/>
    <w:rsid w:val="00927AA9"/>
    <w:rsid w:val="009307AB"/>
    <w:rsid w:val="00930D0B"/>
    <w:rsid w:val="00930D7B"/>
    <w:rsid w:val="00931DFF"/>
    <w:rsid w:val="0093204C"/>
    <w:rsid w:val="009324C2"/>
    <w:rsid w:val="00932CEE"/>
    <w:rsid w:val="00933701"/>
    <w:rsid w:val="009345B4"/>
    <w:rsid w:val="0093627A"/>
    <w:rsid w:val="00936A3E"/>
    <w:rsid w:val="00936CFC"/>
    <w:rsid w:val="00936D1B"/>
    <w:rsid w:val="00936ED6"/>
    <w:rsid w:val="009370E4"/>
    <w:rsid w:val="0093730B"/>
    <w:rsid w:val="00937D1D"/>
    <w:rsid w:val="009417E8"/>
    <w:rsid w:val="00942197"/>
    <w:rsid w:val="00942356"/>
    <w:rsid w:val="00943806"/>
    <w:rsid w:val="00943B17"/>
    <w:rsid w:val="00943BE4"/>
    <w:rsid w:val="00944E85"/>
    <w:rsid w:val="00945B72"/>
    <w:rsid w:val="00945F37"/>
    <w:rsid w:val="009474F2"/>
    <w:rsid w:val="009478E9"/>
    <w:rsid w:val="00947DC2"/>
    <w:rsid w:val="009512EA"/>
    <w:rsid w:val="00952475"/>
    <w:rsid w:val="009529CF"/>
    <w:rsid w:val="009529D8"/>
    <w:rsid w:val="00953127"/>
    <w:rsid w:val="00953F6A"/>
    <w:rsid w:val="00954634"/>
    <w:rsid w:val="00954949"/>
    <w:rsid w:val="00954B13"/>
    <w:rsid w:val="009550CC"/>
    <w:rsid w:val="00955A7A"/>
    <w:rsid w:val="00955D69"/>
    <w:rsid w:val="009560A7"/>
    <w:rsid w:val="009569D6"/>
    <w:rsid w:val="00956A6D"/>
    <w:rsid w:val="00957364"/>
    <w:rsid w:val="0095749D"/>
    <w:rsid w:val="0096028A"/>
    <w:rsid w:val="0096079D"/>
    <w:rsid w:val="0096100F"/>
    <w:rsid w:val="0096101C"/>
    <w:rsid w:val="009611D3"/>
    <w:rsid w:val="009619DA"/>
    <w:rsid w:val="00961DD8"/>
    <w:rsid w:val="00962250"/>
    <w:rsid w:val="0096242B"/>
    <w:rsid w:val="00962EAD"/>
    <w:rsid w:val="00963B41"/>
    <w:rsid w:val="009650EF"/>
    <w:rsid w:val="00965CEC"/>
    <w:rsid w:val="00967110"/>
    <w:rsid w:val="00970B69"/>
    <w:rsid w:val="00971AE3"/>
    <w:rsid w:val="00971D5A"/>
    <w:rsid w:val="009722E1"/>
    <w:rsid w:val="0097283E"/>
    <w:rsid w:val="009731FF"/>
    <w:rsid w:val="00973A03"/>
    <w:rsid w:val="00974197"/>
    <w:rsid w:val="00974224"/>
    <w:rsid w:val="009743FC"/>
    <w:rsid w:val="00974832"/>
    <w:rsid w:val="009748D3"/>
    <w:rsid w:val="00975E7C"/>
    <w:rsid w:val="0097629B"/>
    <w:rsid w:val="0097706F"/>
    <w:rsid w:val="00980315"/>
    <w:rsid w:val="0098159D"/>
    <w:rsid w:val="00982941"/>
    <w:rsid w:val="00983424"/>
    <w:rsid w:val="00983A19"/>
    <w:rsid w:val="00983D9C"/>
    <w:rsid w:val="0098415E"/>
    <w:rsid w:val="00984D01"/>
    <w:rsid w:val="00984D7A"/>
    <w:rsid w:val="00984EB9"/>
    <w:rsid w:val="00984F90"/>
    <w:rsid w:val="00985050"/>
    <w:rsid w:val="00985687"/>
    <w:rsid w:val="009861B4"/>
    <w:rsid w:val="00986970"/>
    <w:rsid w:val="0098783B"/>
    <w:rsid w:val="009900B2"/>
    <w:rsid w:val="00990633"/>
    <w:rsid w:val="00991653"/>
    <w:rsid w:val="0099178B"/>
    <w:rsid w:val="0099271E"/>
    <w:rsid w:val="00993874"/>
    <w:rsid w:val="00994D7F"/>
    <w:rsid w:val="0099541D"/>
    <w:rsid w:val="00995B55"/>
    <w:rsid w:val="00995C11"/>
    <w:rsid w:val="009961F1"/>
    <w:rsid w:val="00996247"/>
    <w:rsid w:val="00996D76"/>
    <w:rsid w:val="00997574"/>
    <w:rsid w:val="00997637"/>
    <w:rsid w:val="009A0953"/>
    <w:rsid w:val="009A14AA"/>
    <w:rsid w:val="009A20CC"/>
    <w:rsid w:val="009A294C"/>
    <w:rsid w:val="009A29B4"/>
    <w:rsid w:val="009A3667"/>
    <w:rsid w:val="009A3B42"/>
    <w:rsid w:val="009A43C4"/>
    <w:rsid w:val="009A4809"/>
    <w:rsid w:val="009A496D"/>
    <w:rsid w:val="009A4CBC"/>
    <w:rsid w:val="009A5EB0"/>
    <w:rsid w:val="009B02CB"/>
    <w:rsid w:val="009B0641"/>
    <w:rsid w:val="009B08E0"/>
    <w:rsid w:val="009B0924"/>
    <w:rsid w:val="009B15F4"/>
    <w:rsid w:val="009B1904"/>
    <w:rsid w:val="009B2051"/>
    <w:rsid w:val="009B269B"/>
    <w:rsid w:val="009B2770"/>
    <w:rsid w:val="009B3300"/>
    <w:rsid w:val="009B4141"/>
    <w:rsid w:val="009B5399"/>
    <w:rsid w:val="009B635F"/>
    <w:rsid w:val="009B66C8"/>
    <w:rsid w:val="009B69FE"/>
    <w:rsid w:val="009C0B6B"/>
    <w:rsid w:val="009C161F"/>
    <w:rsid w:val="009C17B0"/>
    <w:rsid w:val="009C1967"/>
    <w:rsid w:val="009C1CC8"/>
    <w:rsid w:val="009C2808"/>
    <w:rsid w:val="009C3032"/>
    <w:rsid w:val="009C4D14"/>
    <w:rsid w:val="009C4F85"/>
    <w:rsid w:val="009C54B5"/>
    <w:rsid w:val="009C5921"/>
    <w:rsid w:val="009C7018"/>
    <w:rsid w:val="009C76A3"/>
    <w:rsid w:val="009C7D5C"/>
    <w:rsid w:val="009D0263"/>
    <w:rsid w:val="009D07A6"/>
    <w:rsid w:val="009D12FF"/>
    <w:rsid w:val="009D1AD1"/>
    <w:rsid w:val="009D1C61"/>
    <w:rsid w:val="009D1DF1"/>
    <w:rsid w:val="009D21F0"/>
    <w:rsid w:val="009D2A2E"/>
    <w:rsid w:val="009D2CD7"/>
    <w:rsid w:val="009D2F81"/>
    <w:rsid w:val="009D32AE"/>
    <w:rsid w:val="009D3F89"/>
    <w:rsid w:val="009D45E6"/>
    <w:rsid w:val="009D49BD"/>
    <w:rsid w:val="009D4A9B"/>
    <w:rsid w:val="009D50FE"/>
    <w:rsid w:val="009D64E1"/>
    <w:rsid w:val="009D6D97"/>
    <w:rsid w:val="009D6E9C"/>
    <w:rsid w:val="009E0714"/>
    <w:rsid w:val="009E1477"/>
    <w:rsid w:val="009E19BE"/>
    <w:rsid w:val="009E20CB"/>
    <w:rsid w:val="009E248E"/>
    <w:rsid w:val="009E2A22"/>
    <w:rsid w:val="009E2A5E"/>
    <w:rsid w:val="009E2EC0"/>
    <w:rsid w:val="009E3442"/>
    <w:rsid w:val="009E3864"/>
    <w:rsid w:val="009E3EA8"/>
    <w:rsid w:val="009E48C6"/>
    <w:rsid w:val="009E52AA"/>
    <w:rsid w:val="009E6106"/>
    <w:rsid w:val="009E6579"/>
    <w:rsid w:val="009E699D"/>
    <w:rsid w:val="009E6A4C"/>
    <w:rsid w:val="009E6ACA"/>
    <w:rsid w:val="009E7850"/>
    <w:rsid w:val="009E7AFB"/>
    <w:rsid w:val="009F0AD6"/>
    <w:rsid w:val="009F1317"/>
    <w:rsid w:val="009F2074"/>
    <w:rsid w:val="009F24D1"/>
    <w:rsid w:val="009F47BF"/>
    <w:rsid w:val="009F4FC8"/>
    <w:rsid w:val="009F5801"/>
    <w:rsid w:val="009F5FF0"/>
    <w:rsid w:val="009F693C"/>
    <w:rsid w:val="009F6ABA"/>
    <w:rsid w:val="009F75A4"/>
    <w:rsid w:val="009F7C87"/>
    <w:rsid w:val="00A00931"/>
    <w:rsid w:val="00A00D73"/>
    <w:rsid w:val="00A0184E"/>
    <w:rsid w:val="00A01D74"/>
    <w:rsid w:val="00A0276C"/>
    <w:rsid w:val="00A02C6A"/>
    <w:rsid w:val="00A02DF5"/>
    <w:rsid w:val="00A04B94"/>
    <w:rsid w:val="00A0502F"/>
    <w:rsid w:val="00A0512D"/>
    <w:rsid w:val="00A054DB"/>
    <w:rsid w:val="00A05888"/>
    <w:rsid w:val="00A06876"/>
    <w:rsid w:val="00A0689E"/>
    <w:rsid w:val="00A07303"/>
    <w:rsid w:val="00A074D7"/>
    <w:rsid w:val="00A10056"/>
    <w:rsid w:val="00A105FC"/>
    <w:rsid w:val="00A107F4"/>
    <w:rsid w:val="00A10974"/>
    <w:rsid w:val="00A1157C"/>
    <w:rsid w:val="00A11D26"/>
    <w:rsid w:val="00A11EA5"/>
    <w:rsid w:val="00A12333"/>
    <w:rsid w:val="00A1260A"/>
    <w:rsid w:val="00A13111"/>
    <w:rsid w:val="00A139F8"/>
    <w:rsid w:val="00A13ABD"/>
    <w:rsid w:val="00A1459C"/>
    <w:rsid w:val="00A15A47"/>
    <w:rsid w:val="00A15F7D"/>
    <w:rsid w:val="00A17C3B"/>
    <w:rsid w:val="00A20CEB"/>
    <w:rsid w:val="00A21F69"/>
    <w:rsid w:val="00A223B0"/>
    <w:rsid w:val="00A224AA"/>
    <w:rsid w:val="00A22E49"/>
    <w:rsid w:val="00A23CBA"/>
    <w:rsid w:val="00A246C4"/>
    <w:rsid w:val="00A24736"/>
    <w:rsid w:val="00A24F62"/>
    <w:rsid w:val="00A25228"/>
    <w:rsid w:val="00A2785C"/>
    <w:rsid w:val="00A27B72"/>
    <w:rsid w:val="00A27BA3"/>
    <w:rsid w:val="00A27CA1"/>
    <w:rsid w:val="00A3010A"/>
    <w:rsid w:val="00A30E03"/>
    <w:rsid w:val="00A32046"/>
    <w:rsid w:val="00A32DFE"/>
    <w:rsid w:val="00A34ADC"/>
    <w:rsid w:val="00A35516"/>
    <w:rsid w:val="00A359A8"/>
    <w:rsid w:val="00A36048"/>
    <w:rsid w:val="00A368D3"/>
    <w:rsid w:val="00A36A33"/>
    <w:rsid w:val="00A37AAF"/>
    <w:rsid w:val="00A37B74"/>
    <w:rsid w:val="00A37BDC"/>
    <w:rsid w:val="00A40304"/>
    <w:rsid w:val="00A405BA"/>
    <w:rsid w:val="00A40674"/>
    <w:rsid w:val="00A40C5A"/>
    <w:rsid w:val="00A41615"/>
    <w:rsid w:val="00A41922"/>
    <w:rsid w:val="00A41BA9"/>
    <w:rsid w:val="00A41E88"/>
    <w:rsid w:val="00A41EE4"/>
    <w:rsid w:val="00A424DB"/>
    <w:rsid w:val="00A42F06"/>
    <w:rsid w:val="00A4389A"/>
    <w:rsid w:val="00A43D24"/>
    <w:rsid w:val="00A44557"/>
    <w:rsid w:val="00A45005"/>
    <w:rsid w:val="00A456AF"/>
    <w:rsid w:val="00A461BF"/>
    <w:rsid w:val="00A50361"/>
    <w:rsid w:val="00A50678"/>
    <w:rsid w:val="00A51610"/>
    <w:rsid w:val="00A5239C"/>
    <w:rsid w:val="00A5374F"/>
    <w:rsid w:val="00A5407F"/>
    <w:rsid w:val="00A54098"/>
    <w:rsid w:val="00A55429"/>
    <w:rsid w:val="00A55B4B"/>
    <w:rsid w:val="00A55D54"/>
    <w:rsid w:val="00A56089"/>
    <w:rsid w:val="00A560E9"/>
    <w:rsid w:val="00A5693C"/>
    <w:rsid w:val="00A56A1A"/>
    <w:rsid w:val="00A56EB0"/>
    <w:rsid w:val="00A573A0"/>
    <w:rsid w:val="00A57A53"/>
    <w:rsid w:val="00A60508"/>
    <w:rsid w:val="00A6091F"/>
    <w:rsid w:val="00A60CE3"/>
    <w:rsid w:val="00A60D4B"/>
    <w:rsid w:val="00A60D77"/>
    <w:rsid w:val="00A61D54"/>
    <w:rsid w:val="00A61DAE"/>
    <w:rsid w:val="00A61F85"/>
    <w:rsid w:val="00A6261C"/>
    <w:rsid w:val="00A626E9"/>
    <w:rsid w:val="00A6275F"/>
    <w:rsid w:val="00A64A80"/>
    <w:rsid w:val="00A64F6F"/>
    <w:rsid w:val="00A6556D"/>
    <w:rsid w:val="00A65590"/>
    <w:rsid w:val="00A6571A"/>
    <w:rsid w:val="00A6599F"/>
    <w:rsid w:val="00A659A1"/>
    <w:rsid w:val="00A65C96"/>
    <w:rsid w:val="00A65D8F"/>
    <w:rsid w:val="00A671DC"/>
    <w:rsid w:val="00A672E4"/>
    <w:rsid w:val="00A700CA"/>
    <w:rsid w:val="00A70177"/>
    <w:rsid w:val="00A711CB"/>
    <w:rsid w:val="00A72010"/>
    <w:rsid w:val="00A72256"/>
    <w:rsid w:val="00A725A8"/>
    <w:rsid w:val="00A731A5"/>
    <w:rsid w:val="00A74238"/>
    <w:rsid w:val="00A74FB2"/>
    <w:rsid w:val="00A753A9"/>
    <w:rsid w:val="00A758C1"/>
    <w:rsid w:val="00A76A19"/>
    <w:rsid w:val="00A77045"/>
    <w:rsid w:val="00A8036A"/>
    <w:rsid w:val="00A80505"/>
    <w:rsid w:val="00A807AF"/>
    <w:rsid w:val="00A81BF9"/>
    <w:rsid w:val="00A82073"/>
    <w:rsid w:val="00A8254F"/>
    <w:rsid w:val="00A82E09"/>
    <w:rsid w:val="00A84E31"/>
    <w:rsid w:val="00A85602"/>
    <w:rsid w:val="00A858FA"/>
    <w:rsid w:val="00A85C00"/>
    <w:rsid w:val="00A87C7D"/>
    <w:rsid w:val="00A87DC0"/>
    <w:rsid w:val="00A87E67"/>
    <w:rsid w:val="00A87EB0"/>
    <w:rsid w:val="00A9001B"/>
    <w:rsid w:val="00A91043"/>
    <w:rsid w:val="00A916CB"/>
    <w:rsid w:val="00A91EDE"/>
    <w:rsid w:val="00A93948"/>
    <w:rsid w:val="00A93C97"/>
    <w:rsid w:val="00A94928"/>
    <w:rsid w:val="00A94978"/>
    <w:rsid w:val="00A94FFB"/>
    <w:rsid w:val="00A95277"/>
    <w:rsid w:val="00A95A1A"/>
    <w:rsid w:val="00A96ED0"/>
    <w:rsid w:val="00A97AAF"/>
    <w:rsid w:val="00AA0124"/>
    <w:rsid w:val="00AA014A"/>
    <w:rsid w:val="00AA04F3"/>
    <w:rsid w:val="00AA0A2B"/>
    <w:rsid w:val="00AA1534"/>
    <w:rsid w:val="00AA1663"/>
    <w:rsid w:val="00AA1C5F"/>
    <w:rsid w:val="00AA24BD"/>
    <w:rsid w:val="00AA2593"/>
    <w:rsid w:val="00AA2F90"/>
    <w:rsid w:val="00AA35BA"/>
    <w:rsid w:val="00AA4112"/>
    <w:rsid w:val="00AA46C7"/>
    <w:rsid w:val="00AA4C47"/>
    <w:rsid w:val="00AA4DBB"/>
    <w:rsid w:val="00AA51A1"/>
    <w:rsid w:val="00AA5E00"/>
    <w:rsid w:val="00AA69A8"/>
    <w:rsid w:val="00AA6B59"/>
    <w:rsid w:val="00AA79F1"/>
    <w:rsid w:val="00AA7E55"/>
    <w:rsid w:val="00AB0174"/>
    <w:rsid w:val="00AB0961"/>
    <w:rsid w:val="00AB0A3E"/>
    <w:rsid w:val="00AB0B3A"/>
    <w:rsid w:val="00AB1425"/>
    <w:rsid w:val="00AB195F"/>
    <w:rsid w:val="00AB23B6"/>
    <w:rsid w:val="00AB27C2"/>
    <w:rsid w:val="00AB2869"/>
    <w:rsid w:val="00AB3842"/>
    <w:rsid w:val="00AB38CD"/>
    <w:rsid w:val="00AB3EEC"/>
    <w:rsid w:val="00AB45CE"/>
    <w:rsid w:val="00AB4C5E"/>
    <w:rsid w:val="00AB4D77"/>
    <w:rsid w:val="00AB5B74"/>
    <w:rsid w:val="00AB658C"/>
    <w:rsid w:val="00AB715C"/>
    <w:rsid w:val="00AB7382"/>
    <w:rsid w:val="00AB74A7"/>
    <w:rsid w:val="00AB76E2"/>
    <w:rsid w:val="00AB778F"/>
    <w:rsid w:val="00AB7AFA"/>
    <w:rsid w:val="00AC06FC"/>
    <w:rsid w:val="00AC10DB"/>
    <w:rsid w:val="00AC142D"/>
    <w:rsid w:val="00AC1DC1"/>
    <w:rsid w:val="00AC2D0B"/>
    <w:rsid w:val="00AC3E41"/>
    <w:rsid w:val="00AC3F74"/>
    <w:rsid w:val="00AC4CE5"/>
    <w:rsid w:val="00AC5C1A"/>
    <w:rsid w:val="00AC5FEA"/>
    <w:rsid w:val="00AC626F"/>
    <w:rsid w:val="00AC6E27"/>
    <w:rsid w:val="00AC7E47"/>
    <w:rsid w:val="00AC7FFC"/>
    <w:rsid w:val="00AD09F9"/>
    <w:rsid w:val="00AD1061"/>
    <w:rsid w:val="00AD1A56"/>
    <w:rsid w:val="00AD24F7"/>
    <w:rsid w:val="00AD2FDA"/>
    <w:rsid w:val="00AD37F5"/>
    <w:rsid w:val="00AD3A86"/>
    <w:rsid w:val="00AD3D80"/>
    <w:rsid w:val="00AD46E7"/>
    <w:rsid w:val="00AD4D9F"/>
    <w:rsid w:val="00AD5274"/>
    <w:rsid w:val="00AD5665"/>
    <w:rsid w:val="00AD5936"/>
    <w:rsid w:val="00AD5ED6"/>
    <w:rsid w:val="00AD65EF"/>
    <w:rsid w:val="00AD7646"/>
    <w:rsid w:val="00AE0B19"/>
    <w:rsid w:val="00AE155F"/>
    <w:rsid w:val="00AE1BAC"/>
    <w:rsid w:val="00AE1E88"/>
    <w:rsid w:val="00AE1EDD"/>
    <w:rsid w:val="00AE2427"/>
    <w:rsid w:val="00AE3E74"/>
    <w:rsid w:val="00AE4DB4"/>
    <w:rsid w:val="00AE4E0D"/>
    <w:rsid w:val="00AE5CEA"/>
    <w:rsid w:val="00AE5FE6"/>
    <w:rsid w:val="00AE647C"/>
    <w:rsid w:val="00AE67E1"/>
    <w:rsid w:val="00AE67E7"/>
    <w:rsid w:val="00AE68C4"/>
    <w:rsid w:val="00AE7A14"/>
    <w:rsid w:val="00AE7EAE"/>
    <w:rsid w:val="00AE7EDB"/>
    <w:rsid w:val="00AF0A38"/>
    <w:rsid w:val="00AF0DFC"/>
    <w:rsid w:val="00AF118B"/>
    <w:rsid w:val="00AF1227"/>
    <w:rsid w:val="00AF12F4"/>
    <w:rsid w:val="00AF1738"/>
    <w:rsid w:val="00AF195A"/>
    <w:rsid w:val="00AF1A16"/>
    <w:rsid w:val="00AF1AB4"/>
    <w:rsid w:val="00AF1F17"/>
    <w:rsid w:val="00AF223E"/>
    <w:rsid w:val="00AF280F"/>
    <w:rsid w:val="00AF289B"/>
    <w:rsid w:val="00AF2B37"/>
    <w:rsid w:val="00AF4101"/>
    <w:rsid w:val="00AF625E"/>
    <w:rsid w:val="00AF64BA"/>
    <w:rsid w:val="00B00493"/>
    <w:rsid w:val="00B0062D"/>
    <w:rsid w:val="00B00D75"/>
    <w:rsid w:val="00B01106"/>
    <w:rsid w:val="00B01549"/>
    <w:rsid w:val="00B01A93"/>
    <w:rsid w:val="00B01A9E"/>
    <w:rsid w:val="00B01AE3"/>
    <w:rsid w:val="00B01E2A"/>
    <w:rsid w:val="00B02F15"/>
    <w:rsid w:val="00B03262"/>
    <w:rsid w:val="00B04897"/>
    <w:rsid w:val="00B04DA5"/>
    <w:rsid w:val="00B04FF9"/>
    <w:rsid w:val="00B050BE"/>
    <w:rsid w:val="00B056A0"/>
    <w:rsid w:val="00B059AE"/>
    <w:rsid w:val="00B06A7B"/>
    <w:rsid w:val="00B06E59"/>
    <w:rsid w:val="00B10A52"/>
    <w:rsid w:val="00B117CB"/>
    <w:rsid w:val="00B1211F"/>
    <w:rsid w:val="00B12451"/>
    <w:rsid w:val="00B12FCF"/>
    <w:rsid w:val="00B134CC"/>
    <w:rsid w:val="00B13E0A"/>
    <w:rsid w:val="00B13E7D"/>
    <w:rsid w:val="00B13FE9"/>
    <w:rsid w:val="00B146EF"/>
    <w:rsid w:val="00B1500D"/>
    <w:rsid w:val="00B151D3"/>
    <w:rsid w:val="00B15804"/>
    <w:rsid w:val="00B16323"/>
    <w:rsid w:val="00B1675E"/>
    <w:rsid w:val="00B16BE5"/>
    <w:rsid w:val="00B1740B"/>
    <w:rsid w:val="00B202A9"/>
    <w:rsid w:val="00B202C6"/>
    <w:rsid w:val="00B20658"/>
    <w:rsid w:val="00B22087"/>
    <w:rsid w:val="00B22914"/>
    <w:rsid w:val="00B2358B"/>
    <w:rsid w:val="00B23770"/>
    <w:rsid w:val="00B2408E"/>
    <w:rsid w:val="00B24942"/>
    <w:rsid w:val="00B24A59"/>
    <w:rsid w:val="00B25AD2"/>
    <w:rsid w:val="00B266BF"/>
    <w:rsid w:val="00B27DAA"/>
    <w:rsid w:val="00B30080"/>
    <w:rsid w:val="00B30BAE"/>
    <w:rsid w:val="00B30F48"/>
    <w:rsid w:val="00B317EA"/>
    <w:rsid w:val="00B31C7C"/>
    <w:rsid w:val="00B3300A"/>
    <w:rsid w:val="00B33099"/>
    <w:rsid w:val="00B33120"/>
    <w:rsid w:val="00B33148"/>
    <w:rsid w:val="00B34975"/>
    <w:rsid w:val="00B352C8"/>
    <w:rsid w:val="00B36FE6"/>
    <w:rsid w:val="00B37127"/>
    <w:rsid w:val="00B37625"/>
    <w:rsid w:val="00B37919"/>
    <w:rsid w:val="00B37D10"/>
    <w:rsid w:val="00B40C76"/>
    <w:rsid w:val="00B41120"/>
    <w:rsid w:val="00B4186E"/>
    <w:rsid w:val="00B41BFD"/>
    <w:rsid w:val="00B41E7D"/>
    <w:rsid w:val="00B425AC"/>
    <w:rsid w:val="00B4284F"/>
    <w:rsid w:val="00B43208"/>
    <w:rsid w:val="00B436C6"/>
    <w:rsid w:val="00B438EF"/>
    <w:rsid w:val="00B44134"/>
    <w:rsid w:val="00B44B85"/>
    <w:rsid w:val="00B4529B"/>
    <w:rsid w:val="00B45CD3"/>
    <w:rsid w:val="00B46EF6"/>
    <w:rsid w:val="00B47795"/>
    <w:rsid w:val="00B505DF"/>
    <w:rsid w:val="00B519E4"/>
    <w:rsid w:val="00B51C28"/>
    <w:rsid w:val="00B51D5C"/>
    <w:rsid w:val="00B523D3"/>
    <w:rsid w:val="00B5379F"/>
    <w:rsid w:val="00B53D17"/>
    <w:rsid w:val="00B53FAD"/>
    <w:rsid w:val="00B5410C"/>
    <w:rsid w:val="00B5417B"/>
    <w:rsid w:val="00B54A38"/>
    <w:rsid w:val="00B55084"/>
    <w:rsid w:val="00B555DB"/>
    <w:rsid w:val="00B561CE"/>
    <w:rsid w:val="00B56454"/>
    <w:rsid w:val="00B5790C"/>
    <w:rsid w:val="00B57CB2"/>
    <w:rsid w:val="00B57D56"/>
    <w:rsid w:val="00B57DD8"/>
    <w:rsid w:val="00B60A5D"/>
    <w:rsid w:val="00B616CD"/>
    <w:rsid w:val="00B621A7"/>
    <w:rsid w:val="00B6234D"/>
    <w:rsid w:val="00B62391"/>
    <w:rsid w:val="00B64081"/>
    <w:rsid w:val="00B6494C"/>
    <w:rsid w:val="00B64D1C"/>
    <w:rsid w:val="00B64D86"/>
    <w:rsid w:val="00B65D3A"/>
    <w:rsid w:val="00B6641C"/>
    <w:rsid w:val="00B66C2B"/>
    <w:rsid w:val="00B67137"/>
    <w:rsid w:val="00B7208E"/>
    <w:rsid w:val="00B72400"/>
    <w:rsid w:val="00B72782"/>
    <w:rsid w:val="00B72AC7"/>
    <w:rsid w:val="00B72B1A"/>
    <w:rsid w:val="00B72FDB"/>
    <w:rsid w:val="00B73910"/>
    <w:rsid w:val="00B73BD7"/>
    <w:rsid w:val="00B73C66"/>
    <w:rsid w:val="00B756E8"/>
    <w:rsid w:val="00B75856"/>
    <w:rsid w:val="00B7588C"/>
    <w:rsid w:val="00B758BC"/>
    <w:rsid w:val="00B77BDA"/>
    <w:rsid w:val="00B77C90"/>
    <w:rsid w:val="00B77D32"/>
    <w:rsid w:val="00B7C7E3"/>
    <w:rsid w:val="00B80434"/>
    <w:rsid w:val="00B812C9"/>
    <w:rsid w:val="00B83DE3"/>
    <w:rsid w:val="00B83EDE"/>
    <w:rsid w:val="00B83F6D"/>
    <w:rsid w:val="00B8412C"/>
    <w:rsid w:val="00B847E9"/>
    <w:rsid w:val="00B84A2A"/>
    <w:rsid w:val="00B86A46"/>
    <w:rsid w:val="00B8789F"/>
    <w:rsid w:val="00B87CEB"/>
    <w:rsid w:val="00B9036F"/>
    <w:rsid w:val="00B9050B"/>
    <w:rsid w:val="00B91202"/>
    <w:rsid w:val="00B91D5D"/>
    <w:rsid w:val="00B92B4D"/>
    <w:rsid w:val="00B93085"/>
    <w:rsid w:val="00B9399A"/>
    <w:rsid w:val="00B9422E"/>
    <w:rsid w:val="00B942FF"/>
    <w:rsid w:val="00B944F5"/>
    <w:rsid w:val="00B959CF"/>
    <w:rsid w:val="00B95CD2"/>
    <w:rsid w:val="00B95E25"/>
    <w:rsid w:val="00B970EB"/>
    <w:rsid w:val="00BA00F3"/>
    <w:rsid w:val="00BA0849"/>
    <w:rsid w:val="00BA18CD"/>
    <w:rsid w:val="00BA1D67"/>
    <w:rsid w:val="00BA1F01"/>
    <w:rsid w:val="00BA249B"/>
    <w:rsid w:val="00BA37EF"/>
    <w:rsid w:val="00BA41E9"/>
    <w:rsid w:val="00BA4B38"/>
    <w:rsid w:val="00BA52C2"/>
    <w:rsid w:val="00BA5AA7"/>
    <w:rsid w:val="00BA5B41"/>
    <w:rsid w:val="00BA6A8E"/>
    <w:rsid w:val="00BA79E9"/>
    <w:rsid w:val="00BA7E3A"/>
    <w:rsid w:val="00BA7F68"/>
    <w:rsid w:val="00BA7F9B"/>
    <w:rsid w:val="00BB0D87"/>
    <w:rsid w:val="00BB0DB0"/>
    <w:rsid w:val="00BB21A6"/>
    <w:rsid w:val="00BB28BF"/>
    <w:rsid w:val="00BB2D3C"/>
    <w:rsid w:val="00BB3A1A"/>
    <w:rsid w:val="00BB3AA4"/>
    <w:rsid w:val="00BB3CA7"/>
    <w:rsid w:val="00BB3CB9"/>
    <w:rsid w:val="00BB4A76"/>
    <w:rsid w:val="00BB54AF"/>
    <w:rsid w:val="00BB5B16"/>
    <w:rsid w:val="00BB6421"/>
    <w:rsid w:val="00BB73B9"/>
    <w:rsid w:val="00BB77F3"/>
    <w:rsid w:val="00BB7FF3"/>
    <w:rsid w:val="00BC0C0C"/>
    <w:rsid w:val="00BC0E87"/>
    <w:rsid w:val="00BC1157"/>
    <w:rsid w:val="00BC12F4"/>
    <w:rsid w:val="00BC14C6"/>
    <w:rsid w:val="00BC17CA"/>
    <w:rsid w:val="00BC2AB9"/>
    <w:rsid w:val="00BC3BCD"/>
    <w:rsid w:val="00BC42DD"/>
    <w:rsid w:val="00BC47D0"/>
    <w:rsid w:val="00BC5A54"/>
    <w:rsid w:val="00BC5E20"/>
    <w:rsid w:val="00BC7C43"/>
    <w:rsid w:val="00BD0197"/>
    <w:rsid w:val="00BD0584"/>
    <w:rsid w:val="00BD060A"/>
    <w:rsid w:val="00BD2121"/>
    <w:rsid w:val="00BD2394"/>
    <w:rsid w:val="00BD2BD5"/>
    <w:rsid w:val="00BD2CC7"/>
    <w:rsid w:val="00BD2E81"/>
    <w:rsid w:val="00BD39B8"/>
    <w:rsid w:val="00BD441D"/>
    <w:rsid w:val="00BD4521"/>
    <w:rsid w:val="00BD49F5"/>
    <w:rsid w:val="00BD5C96"/>
    <w:rsid w:val="00BD66DC"/>
    <w:rsid w:val="00BD67BB"/>
    <w:rsid w:val="00BD68CC"/>
    <w:rsid w:val="00BD69D6"/>
    <w:rsid w:val="00BD7A9B"/>
    <w:rsid w:val="00BE0239"/>
    <w:rsid w:val="00BE068C"/>
    <w:rsid w:val="00BE0E2D"/>
    <w:rsid w:val="00BE27D6"/>
    <w:rsid w:val="00BE2938"/>
    <w:rsid w:val="00BE3C67"/>
    <w:rsid w:val="00BE3C7D"/>
    <w:rsid w:val="00BE3DDB"/>
    <w:rsid w:val="00BE45DA"/>
    <w:rsid w:val="00BE498B"/>
    <w:rsid w:val="00BE54D1"/>
    <w:rsid w:val="00BE6094"/>
    <w:rsid w:val="00BE6806"/>
    <w:rsid w:val="00BE6CB3"/>
    <w:rsid w:val="00BE715D"/>
    <w:rsid w:val="00BE728C"/>
    <w:rsid w:val="00BE746A"/>
    <w:rsid w:val="00BF0389"/>
    <w:rsid w:val="00BF0540"/>
    <w:rsid w:val="00BF15A1"/>
    <w:rsid w:val="00BF2483"/>
    <w:rsid w:val="00BF308A"/>
    <w:rsid w:val="00BF325C"/>
    <w:rsid w:val="00BF4322"/>
    <w:rsid w:val="00BF50B5"/>
    <w:rsid w:val="00BF51DD"/>
    <w:rsid w:val="00BF5308"/>
    <w:rsid w:val="00BF562E"/>
    <w:rsid w:val="00BF59CA"/>
    <w:rsid w:val="00BF6812"/>
    <w:rsid w:val="00BF6B79"/>
    <w:rsid w:val="00BF7483"/>
    <w:rsid w:val="00BF7975"/>
    <w:rsid w:val="00C01B43"/>
    <w:rsid w:val="00C02764"/>
    <w:rsid w:val="00C0311B"/>
    <w:rsid w:val="00C033FA"/>
    <w:rsid w:val="00C036F1"/>
    <w:rsid w:val="00C037FC"/>
    <w:rsid w:val="00C03E1B"/>
    <w:rsid w:val="00C0406A"/>
    <w:rsid w:val="00C04139"/>
    <w:rsid w:val="00C04335"/>
    <w:rsid w:val="00C04C30"/>
    <w:rsid w:val="00C05048"/>
    <w:rsid w:val="00C058C6"/>
    <w:rsid w:val="00C05E4D"/>
    <w:rsid w:val="00C061CA"/>
    <w:rsid w:val="00C0634C"/>
    <w:rsid w:val="00C063B1"/>
    <w:rsid w:val="00C06BF7"/>
    <w:rsid w:val="00C07C78"/>
    <w:rsid w:val="00C108DB"/>
    <w:rsid w:val="00C11008"/>
    <w:rsid w:val="00C12014"/>
    <w:rsid w:val="00C12690"/>
    <w:rsid w:val="00C126D3"/>
    <w:rsid w:val="00C12B1D"/>
    <w:rsid w:val="00C12C2C"/>
    <w:rsid w:val="00C13000"/>
    <w:rsid w:val="00C13782"/>
    <w:rsid w:val="00C13B82"/>
    <w:rsid w:val="00C14CA2"/>
    <w:rsid w:val="00C14E73"/>
    <w:rsid w:val="00C152FC"/>
    <w:rsid w:val="00C15D93"/>
    <w:rsid w:val="00C1664C"/>
    <w:rsid w:val="00C17DD0"/>
    <w:rsid w:val="00C20C6D"/>
    <w:rsid w:val="00C20CCA"/>
    <w:rsid w:val="00C20F3F"/>
    <w:rsid w:val="00C21749"/>
    <w:rsid w:val="00C226F6"/>
    <w:rsid w:val="00C22D92"/>
    <w:rsid w:val="00C22E50"/>
    <w:rsid w:val="00C22F54"/>
    <w:rsid w:val="00C2315A"/>
    <w:rsid w:val="00C23B19"/>
    <w:rsid w:val="00C2421C"/>
    <w:rsid w:val="00C243BD"/>
    <w:rsid w:val="00C247FD"/>
    <w:rsid w:val="00C24C06"/>
    <w:rsid w:val="00C25295"/>
    <w:rsid w:val="00C256C5"/>
    <w:rsid w:val="00C25A91"/>
    <w:rsid w:val="00C25E8F"/>
    <w:rsid w:val="00C25EAB"/>
    <w:rsid w:val="00C26201"/>
    <w:rsid w:val="00C26C92"/>
    <w:rsid w:val="00C27CE8"/>
    <w:rsid w:val="00C300C4"/>
    <w:rsid w:val="00C30230"/>
    <w:rsid w:val="00C310F4"/>
    <w:rsid w:val="00C31372"/>
    <w:rsid w:val="00C31661"/>
    <w:rsid w:val="00C31DD5"/>
    <w:rsid w:val="00C32F38"/>
    <w:rsid w:val="00C33986"/>
    <w:rsid w:val="00C33F9B"/>
    <w:rsid w:val="00C33FA1"/>
    <w:rsid w:val="00C34504"/>
    <w:rsid w:val="00C3484C"/>
    <w:rsid w:val="00C3591B"/>
    <w:rsid w:val="00C359E0"/>
    <w:rsid w:val="00C3655A"/>
    <w:rsid w:val="00C36C5F"/>
    <w:rsid w:val="00C36F41"/>
    <w:rsid w:val="00C372EB"/>
    <w:rsid w:val="00C37C31"/>
    <w:rsid w:val="00C37CE2"/>
    <w:rsid w:val="00C40E15"/>
    <w:rsid w:val="00C411C6"/>
    <w:rsid w:val="00C414C0"/>
    <w:rsid w:val="00C415C1"/>
    <w:rsid w:val="00C41F24"/>
    <w:rsid w:val="00C438A0"/>
    <w:rsid w:val="00C43AD5"/>
    <w:rsid w:val="00C43E48"/>
    <w:rsid w:val="00C44016"/>
    <w:rsid w:val="00C441D4"/>
    <w:rsid w:val="00C4420C"/>
    <w:rsid w:val="00C44FC0"/>
    <w:rsid w:val="00C453C1"/>
    <w:rsid w:val="00C4627A"/>
    <w:rsid w:val="00C4646A"/>
    <w:rsid w:val="00C4668F"/>
    <w:rsid w:val="00C46AB0"/>
    <w:rsid w:val="00C46ED4"/>
    <w:rsid w:val="00C4705F"/>
    <w:rsid w:val="00C501E7"/>
    <w:rsid w:val="00C52473"/>
    <w:rsid w:val="00C52DBA"/>
    <w:rsid w:val="00C53CA6"/>
    <w:rsid w:val="00C54292"/>
    <w:rsid w:val="00C54787"/>
    <w:rsid w:val="00C54ED1"/>
    <w:rsid w:val="00C54F3F"/>
    <w:rsid w:val="00C55A5A"/>
    <w:rsid w:val="00C55E01"/>
    <w:rsid w:val="00C565BC"/>
    <w:rsid w:val="00C57089"/>
    <w:rsid w:val="00C573D9"/>
    <w:rsid w:val="00C5771E"/>
    <w:rsid w:val="00C60014"/>
    <w:rsid w:val="00C600E4"/>
    <w:rsid w:val="00C606E4"/>
    <w:rsid w:val="00C60A27"/>
    <w:rsid w:val="00C613F1"/>
    <w:rsid w:val="00C618DD"/>
    <w:rsid w:val="00C61A81"/>
    <w:rsid w:val="00C61AF7"/>
    <w:rsid w:val="00C622F2"/>
    <w:rsid w:val="00C624ED"/>
    <w:rsid w:val="00C62FCE"/>
    <w:rsid w:val="00C63495"/>
    <w:rsid w:val="00C634D5"/>
    <w:rsid w:val="00C63BDB"/>
    <w:rsid w:val="00C63DE0"/>
    <w:rsid w:val="00C63E2F"/>
    <w:rsid w:val="00C64A13"/>
    <w:rsid w:val="00C6580B"/>
    <w:rsid w:val="00C66328"/>
    <w:rsid w:val="00C6765E"/>
    <w:rsid w:val="00C67E4C"/>
    <w:rsid w:val="00C7004A"/>
    <w:rsid w:val="00C7023B"/>
    <w:rsid w:val="00C708B0"/>
    <w:rsid w:val="00C71B55"/>
    <w:rsid w:val="00C71C13"/>
    <w:rsid w:val="00C721B1"/>
    <w:rsid w:val="00C7255B"/>
    <w:rsid w:val="00C74623"/>
    <w:rsid w:val="00C74D42"/>
    <w:rsid w:val="00C751EC"/>
    <w:rsid w:val="00C75ACB"/>
    <w:rsid w:val="00C75E8E"/>
    <w:rsid w:val="00C76A53"/>
    <w:rsid w:val="00C77658"/>
    <w:rsid w:val="00C77837"/>
    <w:rsid w:val="00C779B8"/>
    <w:rsid w:val="00C77CE2"/>
    <w:rsid w:val="00C810CC"/>
    <w:rsid w:val="00C813DD"/>
    <w:rsid w:val="00C817B0"/>
    <w:rsid w:val="00C81ED5"/>
    <w:rsid w:val="00C82D67"/>
    <w:rsid w:val="00C8318F"/>
    <w:rsid w:val="00C83B98"/>
    <w:rsid w:val="00C84B1A"/>
    <w:rsid w:val="00C84CCB"/>
    <w:rsid w:val="00C84FF9"/>
    <w:rsid w:val="00C86076"/>
    <w:rsid w:val="00C8615F"/>
    <w:rsid w:val="00C86F4E"/>
    <w:rsid w:val="00C879ED"/>
    <w:rsid w:val="00C900D2"/>
    <w:rsid w:val="00C9091F"/>
    <w:rsid w:val="00C91554"/>
    <w:rsid w:val="00C91E5E"/>
    <w:rsid w:val="00C9400F"/>
    <w:rsid w:val="00C94922"/>
    <w:rsid w:val="00C9495A"/>
    <w:rsid w:val="00C95200"/>
    <w:rsid w:val="00C95A42"/>
    <w:rsid w:val="00C95D3F"/>
    <w:rsid w:val="00C96559"/>
    <w:rsid w:val="00C96979"/>
    <w:rsid w:val="00C974CB"/>
    <w:rsid w:val="00CA0EB0"/>
    <w:rsid w:val="00CA1E5B"/>
    <w:rsid w:val="00CA1F03"/>
    <w:rsid w:val="00CA1F80"/>
    <w:rsid w:val="00CA250D"/>
    <w:rsid w:val="00CA2715"/>
    <w:rsid w:val="00CA2A94"/>
    <w:rsid w:val="00CA2AE4"/>
    <w:rsid w:val="00CA2B1F"/>
    <w:rsid w:val="00CA2D05"/>
    <w:rsid w:val="00CA51E7"/>
    <w:rsid w:val="00CA57D3"/>
    <w:rsid w:val="00CA5AF1"/>
    <w:rsid w:val="00CA6E4E"/>
    <w:rsid w:val="00CA72C7"/>
    <w:rsid w:val="00CB08AB"/>
    <w:rsid w:val="00CB0F19"/>
    <w:rsid w:val="00CB11D6"/>
    <w:rsid w:val="00CB1754"/>
    <w:rsid w:val="00CB348D"/>
    <w:rsid w:val="00CB3543"/>
    <w:rsid w:val="00CB39A7"/>
    <w:rsid w:val="00CB4664"/>
    <w:rsid w:val="00CB483B"/>
    <w:rsid w:val="00CB4E3E"/>
    <w:rsid w:val="00CB5C21"/>
    <w:rsid w:val="00CB6770"/>
    <w:rsid w:val="00CB6A4C"/>
    <w:rsid w:val="00CB6A55"/>
    <w:rsid w:val="00CB7C68"/>
    <w:rsid w:val="00CC1885"/>
    <w:rsid w:val="00CC23AC"/>
    <w:rsid w:val="00CC37EB"/>
    <w:rsid w:val="00CC45D7"/>
    <w:rsid w:val="00CC4741"/>
    <w:rsid w:val="00CC4A0B"/>
    <w:rsid w:val="00CC55D8"/>
    <w:rsid w:val="00CC57DE"/>
    <w:rsid w:val="00CC5D45"/>
    <w:rsid w:val="00CC5E5B"/>
    <w:rsid w:val="00CC5F65"/>
    <w:rsid w:val="00CC6D09"/>
    <w:rsid w:val="00CD02D7"/>
    <w:rsid w:val="00CD15F9"/>
    <w:rsid w:val="00CD16D4"/>
    <w:rsid w:val="00CD2A9C"/>
    <w:rsid w:val="00CD2B29"/>
    <w:rsid w:val="00CD4560"/>
    <w:rsid w:val="00CD4E20"/>
    <w:rsid w:val="00CD4EBA"/>
    <w:rsid w:val="00CD5031"/>
    <w:rsid w:val="00CD5565"/>
    <w:rsid w:val="00CD617C"/>
    <w:rsid w:val="00CD6C09"/>
    <w:rsid w:val="00CD6FB6"/>
    <w:rsid w:val="00CD6FD1"/>
    <w:rsid w:val="00CD72AB"/>
    <w:rsid w:val="00CE058A"/>
    <w:rsid w:val="00CE105E"/>
    <w:rsid w:val="00CE121A"/>
    <w:rsid w:val="00CE1503"/>
    <w:rsid w:val="00CE1852"/>
    <w:rsid w:val="00CE1EDB"/>
    <w:rsid w:val="00CE26E8"/>
    <w:rsid w:val="00CE30B4"/>
    <w:rsid w:val="00CE3567"/>
    <w:rsid w:val="00CE3AA7"/>
    <w:rsid w:val="00CE3FAA"/>
    <w:rsid w:val="00CE4218"/>
    <w:rsid w:val="00CE4E64"/>
    <w:rsid w:val="00CE59FE"/>
    <w:rsid w:val="00CE5D11"/>
    <w:rsid w:val="00CE6DCA"/>
    <w:rsid w:val="00CE72AF"/>
    <w:rsid w:val="00CF0627"/>
    <w:rsid w:val="00CF253F"/>
    <w:rsid w:val="00CF2CDE"/>
    <w:rsid w:val="00CF2F2A"/>
    <w:rsid w:val="00CF398D"/>
    <w:rsid w:val="00CF3E4B"/>
    <w:rsid w:val="00CF4483"/>
    <w:rsid w:val="00CF4FBA"/>
    <w:rsid w:val="00CF5284"/>
    <w:rsid w:val="00CF57C9"/>
    <w:rsid w:val="00CF64F5"/>
    <w:rsid w:val="00CF7246"/>
    <w:rsid w:val="00CF78AE"/>
    <w:rsid w:val="00D00110"/>
    <w:rsid w:val="00D00ACD"/>
    <w:rsid w:val="00D00B35"/>
    <w:rsid w:val="00D00CAD"/>
    <w:rsid w:val="00D00E65"/>
    <w:rsid w:val="00D0111F"/>
    <w:rsid w:val="00D020CD"/>
    <w:rsid w:val="00D024BE"/>
    <w:rsid w:val="00D02585"/>
    <w:rsid w:val="00D0296B"/>
    <w:rsid w:val="00D0345B"/>
    <w:rsid w:val="00D03AF2"/>
    <w:rsid w:val="00D03E79"/>
    <w:rsid w:val="00D041C8"/>
    <w:rsid w:val="00D04918"/>
    <w:rsid w:val="00D04A5E"/>
    <w:rsid w:val="00D05214"/>
    <w:rsid w:val="00D05374"/>
    <w:rsid w:val="00D05FA4"/>
    <w:rsid w:val="00D06A0E"/>
    <w:rsid w:val="00D07AB3"/>
    <w:rsid w:val="00D07BD5"/>
    <w:rsid w:val="00D0E331"/>
    <w:rsid w:val="00D1020F"/>
    <w:rsid w:val="00D10357"/>
    <w:rsid w:val="00D10475"/>
    <w:rsid w:val="00D11513"/>
    <w:rsid w:val="00D12A5D"/>
    <w:rsid w:val="00D13B75"/>
    <w:rsid w:val="00D13C2D"/>
    <w:rsid w:val="00D141BD"/>
    <w:rsid w:val="00D1455D"/>
    <w:rsid w:val="00D157BF"/>
    <w:rsid w:val="00D16D39"/>
    <w:rsid w:val="00D16DD7"/>
    <w:rsid w:val="00D179C6"/>
    <w:rsid w:val="00D203EE"/>
    <w:rsid w:val="00D2144C"/>
    <w:rsid w:val="00D22064"/>
    <w:rsid w:val="00D22FAE"/>
    <w:rsid w:val="00D234FF"/>
    <w:rsid w:val="00D23C6D"/>
    <w:rsid w:val="00D241D4"/>
    <w:rsid w:val="00D25956"/>
    <w:rsid w:val="00D25B03"/>
    <w:rsid w:val="00D275A5"/>
    <w:rsid w:val="00D27E20"/>
    <w:rsid w:val="00D3096B"/>
    <w:rsid w:val="00D31830"/>
    <w:rsid w:val="00D31B2C"/>
    <w:rsid w:val="00D3201D"/>
    <w:rsid w:val="00D3277D"/>
    <w:rsid w:val="00D3294A"/>
    <w:rsid w:val="00D33127"/>
    <w:rsid w:val="00D3334C"/>
    <w:rsid w:val="00D3404A"/>
    <w:rsid w:val="00D34D4B"/>
    <w:rsid w:val="00D34F07"/>
    <w:rsid w:val="00D351F2"/>
    <w:rsid w:val="00D3592F"/>
    <w:rsid w:val="00D35FDF"/>
    <w:rsid w:val="00D36170"/>
    <w:rsid w:val="00D362CE"/>
    <w:rsid w:val="00D36689"/>
    <w:rsid w:val="00D36E5D"/>
    <w:rsid w:val="00D374B0"/>
    <w:rsid w:val="00D37C8F"/>
    <w:rsid w:val="00D40BD8"/>
    <w:rsid w:val="00D41DCE"/>
    <w:rsid w:val="00D42684"/>
    <w:rsid w:val="00D429ED"/>
    <w:rsid w:val="00D42F8C"/>
    <w:rsid w:val="00D430B7"/>
    <w:rsid w:val="00D43676"/>
    <w:rsid w:val="00D43A19"/>
    <w:rsid w:val="00D44737"/>
    <w:rsid w:val="00D4497A"/>
    <w:rsid w:val="00D44A7D"/>
    <w:rsid w:val="00D46285"/>
    <w:rsid w:val="00D470B9"/>
    <w:rsid w:val="00D47E3E"/>
    <w:rsid w:val="00D50925"/>
    <w:rsid w:val="00D50DAD"/>
    <w:rsid w:val="00D5148D"/>
    <w:rsid w:val="00D51687"/>
    <w:rsid w:val="00D51CCD"/>
    <w:rsid w:val="00D51DD6"/>
    <w:rsid w:val="00D51DF3"/>
    <w:rsid w:val="00D51E91"/>
    <w:rsid w:val="00D5216B"/>
    <w:rsid w:val="00D529A4"/>
    <w:rsid w:val="00D52B67"/>
    <w:rsid w:val="00D5313D"/>
    <w:rsid w:val="00D536A2"/>
    <w:rsid w:val="00D54CAC"/>
    <w:rsid w:val="00D550F6"/>
    <w:rsid w:val="00D55511"/>
    <w:rsid w:val="00D559CE"/>
    <w:rsid w:val="00D5666F"/>
    <w:rsid w:val="00D56BF9"/>
    <w:rsid w:val="00D5728C"/>
    <w:rsid w:val="00D578A5"/>
    <w:rsid w:val="00D605AD"/>
    <w:rsid w:val="00D60DB1"/>
    <w:rsid w:val="00D6190B"/>
    <w:rsid w:val="00D61F07"/>
    <w:rsid w:val="00D622D8"/>
    <w:rsid w:val="00D62E8C"/>
    <w:rsid w:val="00D62FF4"/>
    <w:rsid w:val="00D643BF"/>
    <w:rsid w:val="00D64EF3"/>
    <w:rsid w:val="00D65FC1"/>
    <w:rsid w:val="00D66477"/>
    <w:rsid w:val="00D678D8"/>
    <w:rsid w:val="00D679AB"/>
    <w:rsid w:val="00D70852"/>
    <w:rsid w:val="00D70893"/>
    <w:rsid w:val="00D71B9B"/>
    <w:rsid w:val="00D71DCD"/>
    <w:rsid w:val="00D7347B"/>
    <w:rsid w:val="00D73B3C"/>
    <w:rsid w:val="00D742C7"/>
    <w:rsid w:val="00D75CCB"/>
    <w:rsid w:val="00D75CFD"/>
    <w:rsid w:val="00D75FF5"/>
    <w:rsid w:val="00D77530"/>
    <w:rsid w:val="00D77AA1"/>
    <w:rsid w:val="00D77CCA"/>
    <w:rsid w:val="00D80978"/>
    <w:rsid w:val="00D80CD8"/>
    <w:rsid w:val="00D80F9B"/>
    <w:rsid w:val="00D8112B"/>
    <w:rsid w:val="00D83699"/>
    <w:rsid w:val="00D83941"/>
    <w:rsid w:val="00D83AC3"/>
    <w:rsid w:val="00D84AFF"/>
    <w:rsid w:val="00D84CC4"/>
    <w:rsid w:val="00D85617"/>
    <w:rsid w:val="00D86C0C"/>
    <w:rsid w:val="00D90406"/>
    <w:rsid w:val="00D90C77"/>
    <w:rsid w:val="00D9106B"/>
    <w:rsid w:val="00D91661"/>
    <w:rsid w:val="00D91A74"/>
    <w:rsid w:val="00D921E9"/>
    <w:rsid w:val="00D9231D"/>
    <w:rsid w:val="00D92F33"/>
    <w:rsid w:val="00D93EE9"/>
    <w:rsid w:val="00D9431F"/>
    <w:rsid w:val="00D9451A"/>
    <w:rsid w:val="00D94581"/>
    <w:rsid w:val="00D94D2B"/>
    <w:rsid w:val="00D96A45"/>
    <w:rsid w:val="00D97E0C"/>
    <w:rsid w:val="00D97F1F"/>
    <w:rsid w:val="00DA003F"/>
    <w:rsid w:val="00DA18D1"/>
    <w:rsid w:val="00DA2616"/>
    <w:rsid w:val="00DA3142"/>
    <w:rsid w:val="00DA3C44"/>
    <w:rsid w:val="00DA400F"/>
    <w:rsid w:val="00DA48F5"/>
    <w:rsid w:val="00DA5E19"/>
    <w:rsid w:val="00DB02D4"/>
    <w:rsid w:val="00DB158B"/>
    <w:rsid w:val="00DB1826"/>
    <w:rsid w:val="00DB1CA1"/>
    <w:rsid w:val="00DB21A8"/>
    <w:rsid w:val="00DB239E"/>
    <w:rsid w:val="00DB26E3"/>
    <w:rsid w:val="00DB2DEA"/>
    <w:rsid w:val="00DB3F5F"/>
    <w:rsid w:val="00DB427D"/>
    <w:rsid w:val="00DB50D5"/>
    <w:rsid w:val="00DB532F"/>
    <w:rsid w:val="00DB6029"/>
    <w:rsid w:val="00DB622B"/>
    <w:rsid w:val="00DB626F"/>
    <w:rsid w:val="00DB7708"/>
    <w:rsid w:val="00DC11A3"/>
    <w:rsid w:val="00DC1B50"/>
    <w:rsid w:val="00DC2250"/>
    <w:rsid w:val="00DC28E2"/>
    <w:rsid w:val="00DC2D89"/>
    <w:rsid w:val="00DC3447"/>
    <w:rsid w:val="00DC43A3"/>
    <w:rsid w:val="00DC4AF9"/>
    <w:rsid w:val="00DC4B24"/>
    <w:rsid w:val="00DC4B25"/>
    <w:rsid w:val="00DC501D"/>
    <w:rsid w:val="00DC5F9C"/>
    <w:rsid w:val="00DC64D1"/>
    <w:rsid w:val="00DC6C35"/>
    <w:rsid w:val="00DD0591"/>
    <w:rsid w:val="00DD07C5"/>
    <w:rsid w:val="00DD0AAF"/>
    <w:rsid w:val="00DD1663"/>
    <w:rsid w:val="00DD1D9F"/>
    <w:rsid w:val="00DD2031"/>
    <w:rsid w:val="00DD4CF7"/>
    <w:rsid w:val="00DD5C39"/>
    <w:rsid w:val="00DD5FFE"/>
    <w:rsid w:val="00DD6309"/>
    <w:rsid w:val="00DD6E8C"/>
    <w:rsid w:val="00DD71D5"/>
    <w:rsid w:val="00DE092E"/>
    <w:rsid w:val="00DE1680"/>
    <w:rsid w:val="00DE37A1"/>
    <w:rsid w:val="00DE3840"/>
    <w:rsid w:val="00DE4561"/>
    <w:rsid w:val="00DE531D"/>
    <w:rsid w:val="00DE67DC"/>
    <w:rsid w:val="00DE6B5E"/>
    <w:rsid w:val="00DE6CD8"/>
    <w:rsid w:val="00DE7958"/>
    <w:rsid w:val="00DF01C9"/>
    <w:rsid w:val="00DF07CF"/>
    <w:rsid w:val="00DF07E8"/>
    <w:rsid w:val="00DF0EA5"/>
    <w:rsid w:val="00DF19DE"/>
    <w:rsid w:val="00DF1E35"/>
    <w:rsid w:val="00DF3827"/>
    <w:rsid w:val="00DF60D9"/>
    <w:rsid w:val="00DF6ECC"/>
    <w:rsid w:val="00DF77B7"/>
    <w:rsid w:val="00DF7B50"/>
    <w:rsid w:val="00E001A2"/>
    <w:rsid w:val="00E00D60"/>
    <w:rsid w:val="00E00FA0"/>
    <w:rsid w:val="00E0234A"/>
    <w:rsid w:val="00E02497"/>
    <w:rsid w:val="00E0261B"/>
    <w:rsid w:val="00E02C94"/>
    <w:rsid w:val="00E04BCC"/>
    <w:rsid w:val="00E05093"/>
    <w:rsid w:val="00E05110"/>
    <w:rsid w:val="00E052B6"/>
    <w:rsid w:val="00E0676C"/>
    <w:rsid w:val="00E07898"/>
    <w:rsid w:val="00E10F54"/>
    <w:rsid w:val="00E122DD"/>
    <w:rsid w:val="00E13098"/>
    <w:rsid w:val="00E131C4"/>
    <w:rsid w:val="00E13206"/>
    <w:rsid w:val="00E1359B"/>
    <w:rsid w:val="00E1554E"/>
    <w:rsid w:val="00E15734"/>
    <w:rsid w:val="00E157CE"/>
    <w:rsid w:val="00E16763"/>
    <w:rsid w:val="00E16F2C"/>
    <w:rsid w:val="00E175DD"/>
    <w:rsid w:val="00E17665"/>
    <w:rsid w:val="00E20CFC"/>
    <w:rsid w:val="00E217DB"/>
    <w:rsid w:val="00E21B5D"/>
    <w:rsid w:val="00E221EE"/>
    <w:rsid w:val="00E231A4"/>
    <w:rsid w:val="00E23C58"/>
    <w:rsid w:val="00E24346"/>
    <w:rsid w:val="00E247D2"/>
    <w:rsid w:val="00E2499A"/>
    <w:rsid w:val="00E24BA8"/>
    <w:rsid w:val="00E251C8"/>
    <w:rsid w:val="00E25F85"/>
    <w:rsid w:val="00E26242"/>
    <w:rsid w:val="00E263A0"/>
    <w:rsid w:val="00E263BE"/>
    <w:rsid w:val="00E26E21"/>
    <w:rsid w:val="00E26F5F"/>
    <w:rsid w:val="00E274B8"/>
    <w:rsid w:val="00E2760C"/>
    <w:rsid w:val="00E30147"/>
    <w:rsid w:val="00E30238"/>
    <w:rsid w:val="00E31F78"/>
    <w:rsid w:val="00E31FDE"/>
    <w:rsid w:val="00E32449"/>
    <w:rsid w:val="00E32A74"/>
    <w:rsid w:val="00E32CCD"/>
    <w:rsid w:val="00E32F6E"/>
    <w:rsid w:val="00E33592"/>
    <w:rsid w:val="00E34B00"/>
    <w:rsid w:val="00E34BF9"/>
    <w:rsid w:val="00E352B7"/>
    <w:rsid w:val="00E361FF"/>
    <w:rsid w:val="00E367BE"/>
    <w:rsid w:val="00E373B8"/>
    <w:rsid w:val="00E410D6"/>
    <w:rsid w:val="00E419C4"/>
    <w:rsid w:val="00E41E62"/>
    <w:rsid w:val="00E4254B"/>
    <w:rsid w:val="00E43228"/>
    <w:rsid w:val="00E43F39"/>
    <w:rsid w:val="00E43FC7"/>
    <w:rsid w:val="00E4466D"/>
    <w:rsid w:val="00E45B20"/>
    <w:rsid w:val="00E45B4A"/>
    <w:rsid w:val="00E45F93"/>
    <w:rsid w:val="00E47563"/>
    <w:rsid w:val="00E503E0"/>
    <w:rsid w:val="00E50B03"/>
    <w:rsid w:val="00E518DD"/>
    <w:rsid w:val="00E521F4"/>
    <w:rsid w:val="00E52AD9"/>
    <w:rsid w:val="00E53BA5"/>
    <w:rsid w:val="00E54B43"/>
    <w:rsid w:val="00E54EB0"/>
    <w:rsid w:val="00E55BEC"/>
    <w:rsid w:val="00E55D3E"/>
    <w:rsid w:val="00E56165"/>
    <w:rsid w:val="00E56794"/>
    <w:rsid w:val="00E57348"/>
    <w:rsid w:val="00E57D26"/>
    <w:rsid w:val="00E61230"/>
    <w:rsid w:val="00E61613"/>
    <w:rsid w:val="00E626B3"/>
    <w:rsid w:val="00E62F35"/>
    <w:rsid w:val="00E63E1B"/>
    <w:rsid w:val="00E63FBC"/>
    <w:rsid w:val="00E655AD"/>
    <w:rsid w:val="00E661D4"/>
    <w:rsid w:val="00E66BEE"/>
    <w:rsid w:val="00E670F6"/>
    <w:rsid w:val="00E672B1"/>
    <w:rsid w:val="00E673FB"/>
    <w:rsid w:val="00E67AA2"/>
    <w:rsid w:val="00E67BDD"/>
    <w:rsid w:val="00E70473"/>
    <w:rsid w:val="00E7107E"/>
    <w:rsid w:val="00E71411"/>
    <w:rsid w:val="00E72E71"/>
    <w:rsid w:val="00E735B1"/>
    <w:rsid w:val="00E73FE8"/>
    <w:rsid w:val="00E74063"/>
    <w:rsid w:val="00E741FE"/>
    <w:rsid w:val="00E7429D"/>
    <w:rsid w:val="00E74A7F"/>
    <w:rsid w:val="00E74B51"/>
    <w:rsid w:val="00E74E6D"/>
    <w:rsid w:val="00E75969"/>
    <w:rsid w:val="00E7631E"/>
    <w:rsid w:val="00E76D3D"/>
    <w:rsid w:val="00E76F8A"/>
    <w:rsid w:val="00E77553"/>
    <w:rsid w:val="00E80D9D"/>
    <w:rsid w:val="00E81066"/>
    <w:rsid w:val="00E8173E"/>
    <w:rsid w:val="00E81986"/>
    <w:rsid w:val="00E822D3"/>
    <w:rsid w:val="00E82334"/>
    <w:rsid w:val="00E8238D"/>
    <w:rsid w:val="00E82DD8"/>
    <w:rsid w:val="00E83096"/>
    <w:rsid w:val="00E836E3"/>
    <w:rsid w:val="00E8387B"/>
    <w:rsid w:val="00E83FD0"/>
    <w:rsid w:val="00E8553F"/>
    <w:rsid w:val="00E85CAE"/>
    <w:rsid w:val="00E86056"/>
    <w:rsid w:val="00E86277"/>
    <w:rsid w:val="00E86A37"/>
    <w:rsid w:val="00E904EE"/>
    <w:rsid w:val="00E9097A"/>
    <w:rsid w:val="00E91273"/>
    <w:rsid w:val="00E91298"/>
    <w:rsid w:val="00E91A18"/>
    <w:rsid w:val="00E920E6"/>
    <w:rsid w:val="00E92464"/>
    <w:rsid w:val="00E939BA"/>
    <w:rsid w:val="00E9479E"/>
    <w:rsid w:val="00E94DBC"/>
    <w:rsid w:val="00E9531A"/>
    <w:rsid w:val="00EA020D"/>
    <w:rsid w:val="00EA12A6"/>
    <w:rsid w:val="00EA2289"/>
    <w:rsid w:val="00EA2330"/>
    <w:rsid w:val="00EA3A72"/>
    <w:rsid w:val="00EA3E6B"/>
    <w:rsid w:val="00EA4134"/>
    <w:rsid w:val="00EA4C55"/>
    <w:rsid w:val="00EA508C"/>
    <w:rsid w:val="00EA556A"/>
    <w:rsid w:val="00EA5C18"/>
    <w:rsid w:val="00EA681B"/>
    <w:rsid w:val="00EA7578"/>
    <w:rsid w:val="00EA7EE9"/>
    <w:rsid w:val="00EB08B1"/>
    <w:rsid w:val="00EB248D"/>
    <w:rsid w:val="00EB2652"/>
    <w:rsid w:val="00EB278C"/>
    <w:rsid w:val="00EB27D6"/>
    <w:rsid w:val="00EB2FEF"/>
    <w:rsid w:val="00EB3838"/>
    <w:rsid w:val="00EB39EE"/>
    <w:rsid w:val="00EB401E"/>
    <w:rsid w:val="00EB42B9"/>
    <w:rsid w:val="00EB449A"/>
    <w:rsid w:val="00EB60FA"/>
    <w:rsid w:val="00EB6151"/>
    <w:rsid w:val="00EB655E"/>
    <w:rsid w:val="00EB766D"/>
    <w:rsid w:val="00EB7923"/>
    <w:rsid w:val="00EB7C07"/>
    <w:rsid w:val="00EC1D5A"/>
    <w:rsid w:val="00EC26CB"/>
    <w:rsid w:val="00EC281B"/>
    <w:rsid w:val="00EC338F"/>
    <w:rsid w:val="00EC36A8"/>
    <w:rsid w:val="00EC4086"/>
    <w:rsid w:val="00EC4DDF"/>
    <w:rsid w:val="00EC505A"/>
    <w:rsid w:val="00EC547F"/>
    <w:rsid w:val="00EC5C7A"/>
    <w:rsid w:val="00EC5DD6"/>
    <w:rsid w:val="00EC7E58"/>
    <w:rsid w:val="00ED0023"/>
    <w:rsid w:val="00ED21C2"/>
    <w:rsid w:val="00ED33F4"/>
    <w:rsid w:val="00ED3A7A"/>
    <w:rsid w:val="00ED3BD7"/>
    <w:rsid w:val="00ED4480"/>
    <w:rsid w:val="00ED5E25"/>
    <w:rsid w:val="00ED63DB"/>
    <w:rsid w:val="00ED6505"/>
    <w:rsid w:val="00ED7D74"/>
    <w:rsid w:val="00EE04DB"/>
    <w:rsid w:val="00EE08DB"/>
    <w:rsid w:val="00EE09A8"/>
    <w:rsid w:val="00EE1306"/>
    <w:rsid w:val="00EE1767"/>
    <w:rsid w:val="00EE2290"/>
    <w:rsid w:val="00EE3670"/>
    <w:rsid w:val="00EE395E"/>
    <w:rsid w:val="00EE3B7D"/>
    <w:rsid w:val="00EE52F7"/>
    <w:rsid w:val="00EE5611"/>
    <w:rsid w:val="00EE57D3"/>
    <w:rsid w:val="00EE63CE"/>
    <w:rsid w:val="00EE66F8"/>
    <w:rsid w:val="00EE6AD2"/>
    <w:rsid w:val="00EE6B3A"/>
    <w:rsid w:val="00EF0768"/>
    <w:rsid w:val="00EF169D"/>
    <w:rsid w:val="00EF19BF"/>
    <w:rsid w:val="00EF289A"/>
    <w:rsid w:val="00EF2AD7"/>
    <w:rsid w:val="00EF38C0"/>
    <w:rsid w:val="00EF6D27"/>
    <w:rsid w:val="00EF6D97"/>
    <w:rsid w:val="00EF6F5F"/>
    <w:rsid w:val="00EF740E"/>
    <w:rsid w:val="00EF7B60"/>
    <w:rsid w:val="00EF7E0B"/>
    <w:rsid w:val="00F01716"/>
    <w:rsid w:val="00F0274B"/>
    <w:rsid w:val="00F02E25"/>
    <w:rsid w:val="00F0432B"/>
    <w:rsid w:val="00F045DC"/>
    <w:rsid w:val="00F04625"/>
    <w:rsid w:val="00F04884"/>
    <w:rsid w:val="00F04A65"/>
    <w:rsid w:val="00F054C9"/>
    <w:rsid w:val="00F0742A"/>
    <w:rsid w:val="00F074B2"/>
    <w:rsid w:val="00F0757C"/>
    <w:rsid w:val="00F07B39"/>
    <w:rsid w:val="00F07D26"/>
    <w:rsid w:val="00F11ABD"/>
    <w:rsid w:val="00F11F63"/>
    <w:rsid w:val="00F120A6"/>
    <w:rsid w:val="00F1210D"/>
    <w:rsid w:val="00F12DBB"/>
    <w:rsid w:val="00F12FBA"/>
    <w:rsid w:val="00F135CB"/>
    <w:rsid w:val="00F147B1"/>
    <w:rsid w:val="00F14B5D"/>
    <w:rsid w:val="00F1552E"/>
    <w:rsid w:val="00F15B26"/>
    <w:rsid w:val="00F15D79"/>
    <w:rsid w:val="00F164B8"/>
    <w:rsid w:val="00F16613"/>
    <w:rsid w:val="00F16819"/>
    <w:rsid w:val="00F16D30"/>
    <w:rsid w:val="00F173DB"/>
    <w:rsid w:val="00F178D8"/>
    <w:rsid w:val="00F17D7A"/>
    <w:rsid w:val="00F20594"/>
    <w:rsid w:val="00F20B05"/>
    <w:rsid w:val="00F20B40"/>
    <w:rsid w:val="00F21E74"/>
    <w:rsid w:val="00F22C06"/>
    <w:rsid w:val="00F2338E"/>
    <w:rsid w:val="00F24D61"/>
    <w:rsid w:val="00F25319"/>
    <w:rsid w:val="00F260CC"/>
    <w:rsid w:val="00F2658B"/>
    <w:rsid w:val="00F27158"/>
    <w:rsid w:val="00F271F8"/>
    <w:rsid w:val="00F27A19"/>
    <w:rsid w:val="00F30815"/>
    <w:rsid w:val="00F31385"/>
    <w:rsid w:val="00F3199D"/>
    <w:rsid w:val="00F31B96"/>
    <w:rsid w:val="00F320B3"/>
    <w:rsid w:val="00F350B6"/>
    <w:rsid w:val="00F36838"/>
    <w:rsid w:val="00F375C4"/>
    <w:rsid w:val="00F37C53"/>
    <w:rsid w:val="00F4015F"/>
    <w:rsid w:val="00F401B8"/>
    <w:rsid w:val="00F40518"/>
    <w:rsid w:val="00F40762"/>
    <w:rsid w:val="00F408B5"/>
    <w:rsid w:val="00F414FB"/>
    <w:rsid w:val="00F41F5B"/>
    <w:rsid w:val="00F427DC"/>
    <w:rsid w:val="00F42AAA"/>
    <w:rsid w:val="00F42AF9"/>
    <w:rsid w:val="00F43481"/>
    <w:rsid w:val="00F436F5"/>
    <w:rsid w:val="00F43B63"/>
    <w:rsid w:val="00F43C5D"/>
    <w:rsid w:val="00F43F2C"/>
    <w:rsid w:val="00F443B2"/>
    <w:rsid w:val="00F449E2"/>
    <w:rsid w:val="00F45C2C"/>
    <w:rsid w:val="00F46C34"/>
    <w:rsid w:val="00F478E0"/>
    <w:rsid w:val="00F47DDC"/>
    <w:rsid w:val="00F500B6"/>
    <w:rsid w:val="00F51709"/>
    <w:rsid w:val="00F52BA1"/>
    <w:rsid w:val="00F52E58"/>
    <w:rsid w:val="00F52E93"/>
    <w:rsid w:val="00F53770"/>
    <w:rsid w:val="00F54846"/>
    <w:rsid w:val="00F553AE"/>
    <w:rsid w:val="00F5624C"/>
    <w:rsid w:val="00F566AC"/>
    <w:rsid w:val="00F56A11"/>
    <w:rsid w:val="00F57618"/>
    <w:rsid w:val="00F57B59"/>
    <w:rsid w:val="00F57F15"/>
    <w:rsid w:val="00F601DC"/>
    <w:rsid w:val="00F60671"/>
    <w:rsid w:val="00F6222F"/>
    <w:rsid w:val="00F62C53"/>
    <w:rsid w:val="00F630E8"/>
    <w:rsid w:val="00F635DE"/>
    <w:rsid w:val="00F6361D"/>
    <w:rsid w:val="00F63E4E"/>
    <w:rsid w:val="00F6400F"/>
    <w:rsid w:val="00F64820"/>
    <w:rsid w:val="00F64BC7"/>
    <w:rsid w:val="00F64F26"/>
    <w:rsid w:val="00F6585F"/>
    <w:rsid w:val="00F65B2B"/>
    <w:rsid w:val="00F67C2C"/>
    <w:rsid w:val="00F70186"/>
    <w:rsid w:val="00F70B2F"/>
    <w:rsid w:val="00F70F0B"/>
    <w:rsid w:val="00F71D3F"/>
    <w:rsid w:val="00F726EA"/>
    <w:rsid w:val="00F72A9E"/>
    <w:rsid w:val="00F72C50"/>
    <w:rsid w:val="00F72EC2"/>
    <w:rsid w:val="00F74085"/>
    <w:rsid w:val="00F74200"/>
    <w:rsid w:val="00F74B24"/>
    <w:rsid w:val="00F74F79"/>
    <w:rsid w:val="00F757FF"/>
    <w:rsid w:val="00F75969"/>
    <w:rsid w:val="00F759B7"/>
    <w:rsid w:val="00F765B3"/>
    <w:rsid w:val="00F77187"/>
    <w:rsid w:val="00F77CAE"/>
    <w:rsid w:val="00F81448"/>
    <w:rsid w:val="00F81B9D"/>
    <w:rsid w:val="00F82057"/>
    <w:rsid w:val="00F82BC7"/>
    <w:rsid w:val="00F8337C"/>
    <w:rsid w:val="00F83983"/>
    <w:rsid w:val="00F84143"/>
    <w:rsid w:val="00F84A7D"/>
    <w:rsid w:val="00F8519D"/>
    <w:rsid w:val="00F85DEF"/>
    <w:rsid w:val="00F86454"/>
    <w:rsid w:val="00F86702"/>
    <w:rsid w:val="00F877A8"/>
    <w:rsid w:val="00F87F9E"/>
    <w:rsid w:val="00F903AF"/>
    <w:rsid w:val="00F9099F"/>
    <w:rsid w:val="00F909A8"/>
    <w:rsid w:val="00F91ABB"/>
    <w:rsid w:val="00F92683"/>
    <w:rsid w:val="00F9349A"/>
    <w:rsid w:val="00F93CAD"/>
    <w:rsid w:val="00F949A0"/>
    <w:rsid w:val="00F9537F"/>
    <w:rsid w:val="00F95503"/>
    <w:rsid w:val="00F95A5D"/>
    <w:rsid w:val="00F96ED0"/>
    <w:rsid w:val="00F9788A"/>
    <w:rsid w:val="00F97B25"/>
    <w:rsid w:val="00FA0C6E"/>
    <w:rsid w:val="00FA28B6"/>
    <w:rsid w:val="00FA28BB"/>
    <w:rsid w:val="00FA2EE4"/>
    <w:rsid w:val="00FA2F19"/>
    <w:rsid w:val="00FA3031"/>
    <w:rsid w:val="00FA34BB"/>
    <w:rsid w:val="00FA3520"/>
    <w:rsid w:val="00FA353B"/>
    <w:rsid w:val="00FA3B23"/>
    <w:rsid w:val="00FA4553"/>
    <w:rsid w:val="00FA46D8"/>
    <w:rsid w:val="00FA5002"/>
    <w:rsid w:val="00FA50BB"/>
    <w:rsid w:val="00FA61CE"/>
    <w:rsid w:val="00FA62F8"/>
    <w:rsid w:val="00FA7387"/>
    <w:rsid w:val="00FA7439"/>
    <w:rsid w:val="00FA7884"/>
    <w:rsid w:val="00FB05A2"/>
    <w:rsid w:val="00FB0746"/>
    <w:rsid w:val="00FB0FD8"/>
    <w:rsid w:val="00FB1175"/>
    <w:rsid w:val="00FB1C82"/>
    <w:rsid w:val="00FB2678"/>
    <w:rsid w:val="00FB2B30"/>
    <w:rsid w:val="00FB2C0C"/>
    <w:rsid w:val="00FB2ECC"/>
    <w:rsid w:val="00FB4C1F"/>
    <w:rsid w:val="00FB4DDD"/>
    <w:rsid w:val="00FB4F72"/>
    <w:rsid w:val="00FB5FC2"/>
    <w:rsid w:val="00FB7305"/>
    <w:rsid w:val="00FB7E95"/>
    <w:rsid w:val="00FC0607"/>
    <w:rsid w:val="00FC06E8"/>
    <w:rsid w:val="00FC07E0"/>
    <w:rsid w:val="00FC0C13"/>
    <w:rsid w:val="00FC1499"/>
    <w:rsid w:val="00FC1F68"/>
    <w:rsid w:val="00FC251F"/>
    <w:rsid w:val="00FC277C"/>
    <w:rsid w:val="00FC2B9B"/>
    <w:rsid w:val="00FC3BCC"/>
    <w:rsid w:val="00FC4847"/>
    <w:rsid w:val="00FC62E8"/>
    <w:rsid w:val="00FC65C2"/>
    <w:rsid w:val="00FD033F"/>
    <w:rsid w:val="00FD0F84"/>
    <w:rsid w:val="00FD1AFC"/>
    <w:rsid w:val="00FD2A17"/>
    <w:rsid w:val="00FD35A8"/>
    <w:rsid w:val="00FD4472"/>
    <w:rsid w:val="00FD49BC"/>
    <w:rsid w:val="00FD6182"/>
    <w:rsid w:val="00FD6B6E"/>
    <w:rsid w:val="00FD6C5B"/>
    <w:rsid w:val="00FD7C6A"/>
    <w:rsid w:val="00FE03F5"/>
    <w:rsid w:val="00FE1768"/>
    <w:rsid w:val="00FE19DF"/>
    <w:rsid w:val="00FE2D7A"/>
    <w:rsid w:val="00FE37E6"/>
    <w:rsid w:val="00FE5284"/>
    <w:rsid w:val="00FE5ADD"/>
    <w:rsid w:val="00FE5B5B"/>
    <w:rsid w:val="00FE5CEC"/>
    <w:rsid w:val="00FE78BC"/>
    <w:rsid w:val="00FE7917"/>
    <w:rsid w:val="00FE7D80"/>
    <w:rsid w:val="00FF0790"/>
    <w:rsid w:val="00FF158E"/>
    <w:rsid w:val="00FF1793"/>
    <w:rsid w:val="00FF2914"/>
    <w:rsid w:val="00FF2942"/>
    <w:rsid w:val="00FF35FF"/>
    <w:rsid w:val="00FF3C6E"/>
    <w:rsid w:val="00FF3C96"/>
    <w:rsid w:val="00FF404B"/>
    <w:rsid w:val="00FF43C6"/>
    <w:rsid w:val="00FF4435"/>
    <w:rsid w:val="00FF4436"/>
    <w:rsid w:val="00FF48E0"/>
    <w:rsid w:val="00FF5226"/>
    <w:rsid w:val="00FF59C2"/>
    <w:rsid w:val="00FF612E"/>
    <w:rsid w:val="00FF7162"/>
    <w:rsid w:val="00FF7CB0"/>
    <w:rsid w:val="0132CD4B"/>
    <w:rsid w:val="01A20A40"/>
    <w:rsid w:val="01A3E8F0"/>
    <w:rsid w:val="01D64267"/>
    <w:rsid w:val="0286C980"/>
    <w:rsid w:val="02B43DFB"/>
    <w:rsid w:val="02F27AD0"/>
    <w:rsid w:val="02F64642"/>
    <w:rsid w:val="033175A1"/>
    <w:rsid w:val="03806916"/>
    <w:rsid w:val="03A77A25"/>
    <w:rsid w:val="04141AE6"/>
    <w:rsid w:val="04ADBC8A"/>
    <w:rsid w:val="05291E86"/>
    <w:rsid w:val="054E5D72"/>
    <w:rsid w:val="05FD33A9"/>
    <w:rsid w:val="067BE769"/>
    <w:rsid w:val="06EB6DFB"/>
    <w:rsid w:val="07647F59"/>
    <w:rsid w:val="07A9DF1D"/>
    <w:rsid w:val="07D9E05C"/>
    <w:rsid w:val="0833B4B0"/>
    <w:rsid w:val="096ABB2F"/>
    <w:rsid w:val="098837A4"/>
    <w:rsid w:val="09BECB6A"/>
    <w:rsid w:val="09FCE2D1"/>
    <w:rsid w:val="0A98642E"/>
    <w:rsid w:val="0AA9C3FE"/>
    <w:rsid w:val="0B5660C7"/>
    <w:rsid w:val="0BDF899E"/>
    <w:rsid w:val="0C0E7F07"/>
    <w:rsid w:val="0C5783C3"/>
    <w:rsid w:val="0C5CA6F3"/>
    <w:rsid w:val="0C6CB1E6"/>
    <w:rsid w:val="0C70AC83"/>
    <w:rsid w:val="0CBFFF31"/>
    <w:rsid w:val="0CED8193"/>
    <w:rsid w:val="0D23D6AB"/>
    <w:rsid w:val="0D2BCE99"/>
    <w:rsid w:val="0D2FF2B2"/>
    <w:rsid w:val="0D454062"/>
    <w:rsid w:val="0E03D435"/>
    <w:rsid w:val="0EF7702B"/>
    <w:rsid w:val="0F3689F9"/>
    <w:rsid w:val="0F655F09"/>
    <w:rsid w:val="0FA741F8"/>
    <w:rsid w:val="0FD3812C"/>
    <w:rsid w:val="0FF9B035"/>
    <w:rsid w:val="1000282F"/>
    <w:rsid w:val="1012524B"/>
    <w:rsid w:val="1023FD43"/>
    <w:rsid w:val="10D8C356"/>
    <w:rsid w:val="11075F18"/>
    <w:rsid w:val="1114687B"/>
    <w:rsid w:val="111A47E5"/>
    <w:rsid w:val="1231C372"/>
    <w:rsid w:val="12601A27"/>
    <w:rsid w:val="1271DBC8"/>
    <w:rsid w:val="12C6EA2C"/>
    <w:rsid w:val="12E54907"/>
    <w:rsid w:val="13BBE2AD"/>
    <w:rsid w:val="13D609EF"/>
    <w:rsid w:val="1466D259"/>
    <w:rsid w:val="14ECAA4B"/>
    <w:rsid w:val="15BEFF9D"/>
    <w:rsid w:val="1606C8AA"/>
    <w:rsid w:val="1634A71D"/>
    <w:rsid w:val="163D2590"/>
    <w:rsid w:val="166016F2"/>
    <w:rsid w:val="16BD893F"/>
    <w:rsid w:val="16CB8F50"/>
    <w:rsid w:val="16CFFF27"/>
    <w:rsid w:val="16D92B35"/>
    <w:rsid w:val="16DF58D3"/>
    <w:rsid w:val="17D3FA2A"/>
    <w:rsid w:val="17D4526D"/>
    <w:rsid w:val="18A4BD05"/>
    <w:rsid w:val="18A7CF7C"/>
    <w:rsid w:val="18CE9289"/>
    <w:rsid w:val="1912043C"/>
    <w:rsid w:val="191B3B4A"/>
    <w:rsid w:val="19355BAB"/>
    <w:rsid w:val="1A03638F"/>
    <w:rsid w:val="1A4B0131"/>
    <w:rsid w:val="1A641B42"/>
    <w:rsid w:val="1A7569E4"/>
    <w:rsid w:val="1B4EAF8A"/>
    <w:rsid w:val="1B731B38"/>
    <w:rsid w:val="1BDBEDF6"/>
    <w:rsid w:val="1C02B51E"/>
    <w:rsid w:val="1C0AE220"/>
    <w:rsid w:val="1CE06A47"/>
    <w:rsid w:val="1CF71D60"/>
    <w:rsid w:val="1D1D14E1"/>
    <w:rsid w:val="1D1FEEB1"/>
    <w:rsid w:val="1D679A6C"/>
    <w:rsid w:val="1DCBD2D4"/>
    <w:rsid w:val="1E6C6A4F"/>
    <w:rsid w:val="1F26BE4A"/>
    <w:rsid w:val="1F4E6994"/>
    <w:rsid w:val="1F7E3F1A"/>
    <w:rsid w:val="1F8DBAF2"/>
    <w:rsid w:val="20D4EA54"/>
    <w:rsid w:val="2104D1A9"/>
    <w:rsid w:val="210CA622"/>
    <w:rsid w:val="21531400"/>
    <w:rsid w:val="2233A991"/>
    <w:rsid w:val="223545E7"/>
    <w:rsid w:val="22854ABE"/>
    <w:rsid w:val="22AC4469"/>
    <w:rsid w:val="22BF35B4"/>
    <w:rsid w:val="236CFC78"/>
    <w:rsid w:val="237418CB"/>
    <w:rsid w:val="23C84FB3"/>
    <w:rsid w:val="23EEAD6C"/>
    <w:rsid w:val="23F1191C"/>
    <w:rsid w:val="24413BEA"/>
    <w:rsid w:val="24D0D3FE"/>
    <w:rsid w:val="24E5401E"/>
    <w:rsid w:val="25886E69"/>
    <w:rsid w:val="25AC8C5B"/>
    <w:rsid w:val="262233BA"/>
    <w:rsid w:val="263C736F"/>
    <w:rsid w:val="268F6D70"/>
    <w:rsid w:val="27378FB2"/>
    <w:rsid w:val="27F83CE7"/>
    <w:rsid w:val="281EF39C"/>
    <w:rsid w:val="282DEE45"/>
    <w:rsid w:val="283210D9"/>
    <w:rsid w:val="284DD6B7"/>
    <w:rsid w:val="28614AE9"/>
    <w:rsid w:val="28E6E89D"/>
    <w:rsid w:val="2933BE06"/>
    <w:rsid w:val="294EFBB8"/>
    <w:rsid w:val="296CB7F8"/>
    <w:rsid w:val="29F57413"/>
    <w:rsid w:val="29FF3465"/>
    <w:rsid w:val="2A06C1D3"/>
    <w:rsid w:val="2ACC9173"/>
    <w:rsid w:val="2ACFC068"/>
    <w:rsid w:val="2C114E54"/>
    <w:rsid w:val="2C1EED30"/>
    <w:rsid w:val="2C1F8373"/>
    <w:rsid w:val="2C363821"/>
    <w:rsid w:val="2C45CB48"/>
    <w:rsid w:val="2CCA6E12"/>
    <w:rsid w:val="2CDC8B6A"/>
    <w:rsid w:val="2CE20416"/>
    <w:rsid w:val="2CE7B3B0"/>
    <w:rsid w:val="2D145543"/>
    <w:rsid w:val="2D4EB9DD"/>
    <w:rsid w:val="2D8C5988"/>
    <w:rsid w:val="2D8FCA44"/>
    <w:rsid w:val="2DD9EB66"/>
    <w:rsid w:val="2DE076A3"/>
    <w:rsid w:val="2E4CEB03"/>
    <w:rsid w:val="2E62A17B"/>
    <w:rsid w:val="2ED05026"/>
    <w:rsid w:val="2EDDFD66"/>
    <w:rsid w:val="2F00A0DA"/>
    <w:rsid w:val="2F03B174"/>
    <w:rsid w:val="2F0AD0F4"/>
    <w:rsid w:val="2F1FEAA8"/>
    <w:rsid w:val="2F468C05"/>
    <w:rsid w:val="2F5B3711"/>
    <w:rsid w:val="2F6774D0"/>
    <w:rsid w:val="2FBBCCD9"/>
    <w:rsid w:val="2FCA39C5"/>
    <w:rsid w:val="2FFC0000"/>
    <w:rsid w:val="307905D3"/>
    <w:rsid w:val="308C6813"/>
    <w:rsid w:val="309E4C1A"/>
    <w:rsid w:val="30A8D410"/>
    <w:rsid w:val="30BC528E"/>
    <w:rsid w:val="3149229C"/>
    <w:rsid w:val="3155EDA2"/>
    <w:rsid w:val="315B5941"/>
    <w:rsid w:val="3188A6FA"/>
    <w:rsid w:val="31BA86FA"/>
    <w:rsid w:val="31E7C213"/>
    <w:rsid w:val="3230E63B"/>
    <w:rsid w:val="32363437"/>
    <w:rsid w:val="33175B94"/>
    <w:rsid w:val="332D7EB1"/>
    <w:rsid w:val="3332A530"/>
    <w:rsid w:val="333A49DB"/>
    <w:rsid w:val="338C84E6"/>
    <w:rsid w:val="339659A1"/>
    <w:rsid w:val="3398E076"/>
    <w:rsid w:val="33B385A3"/>
    <w:rsid w:val="33C09192"/>
    <w:rsid w:val="33F7165F"/>
    <w:rsid w:val="342321BC"/>
    <w:rsid w:val="35502945"/>
    <w:rsid w:val="3554C1D5"/>
    <w:rsid w:val="35C83214"/>
    <w:rsid w:val="35EA31B6"/>
    <w:rsid w:val="35EB7CB7"/>
    <w:rsid w:val="36181515"/>
    <w:rsid w:val="36302930"/>
    <w:rsid w:val="36ABA055"/>
    <w:rsid w:val="36BF97BE"/>
    <w:rsid w:val="36FC8207"/>
    <w:rsid w:val="370DCC8C"/>
    <w:rsid w:val="378E29D7"/>
    <w:rsid w:val="37DC124D"/>
    <w:rsid w:val="38193664"/>
    <w:rsid w:val="382D87D3"/>
    <w:rsid w:val="3857CC9F"/>
    <w:rsid w:val="385952D9"/>
    <w:rsid w:val="3973026F"/>
    <w:rsid w:val="39AE6ACC"/>
    <w:rsid w:val="39B9F4DB"/>
    <w:rsid w:val="39ED33EB"/>
    <w:rsid w:val="3A0D8E69"/>
    <w:rsid w:val="3A2B5726"/>
    <w:rsid w:val="3A5354DB"/>
    <w:rsid w:val="3A5EC8EF"/>
    <w:rsid w:val="3A7728B3"/>
    <w:rsid w:val="3AE69D74"/>
    <w:rsid w:val="3B15F2B5"/>
    <w:rsid w:val="3B7AEFEA"/>
    <w:rsid w:val="3B84F04E"/>
    <w:rsid w:val="3B97A2C2"/>
    <w:rsid w:val="3BDED804"/>
    <w:rsid w:val="3BEEBF1F"/>
    <w:rsid w:val="3C1D8CCD"/>
    <w:rsid w:val="3C60DEFA"/>
    <w:rsid w:val="3CEF7F1E"/>
    <w:rsid w:val="3CF5BB96"/>
    <w:rsid w:val="3D705C09"/>
    <w:rsid w:val="3DB320D8"/>
    <w:rsid w:val="3E5AE08B"/>
    <w:rsid w:val="3E890221"/>
    <w:rsid w:val="3E9F121C"/>
    <w:rsid w:val="3EB80246"/>
    <w:rsid w:val="3F1DA195"/>
    <w:rsid w:val="3F5E52D9"/>
    <w:rsid w:val="4086DFB7"/>
    <w:rsid w:val="4108C8E7"/>
    <w:rsid w:val="413DC282"/>
    <w:rsid w:val="4173C225"/>
    <w:rsid w:val="41B77880"/>
    <w:rsid w:val="421A0C8C"/>
    <w:rsid w:val="422CC4C2"/>
    <w:rsid w:val="4257215E"/>
    <w:rsid w:val="4298461F"/>
    <w:rsid w:val="42CA8771"/>
    <w:rsid w:val="42FA3A71"/>
    <w:rsid w:val="43E4721E"/>
    <w:rsid w:val="4453B4E7"/>
    <w:rsid w:val="445FCE4A"/>
    <w:rsid w:val="44941160"/>
    <w:rsid w:val="44A11B9C"/>
    <w:rsid w:val="44C16BEE"/>
    <w:rsid w:val="44D2FD5A"/>
    <w:rsid w:val="44E4CFCF"/>
    <w:rsid w:val="44F3BC29"/>
    <w:rsid w:val="44FD6925"/>
    <w:rsid w:val="457D25DA"/>
    <w:rsid w:val="4588EE9D"/>
    <w:rsid w:val="458AEE24"/>
    <w:rsid w:val="45AA03D0"/>
    <w:rsid w:val="45AB691F"/>
    <w:rsid w:val="45D2D7E8"/>
    <w:rsid w:val="4724242B"/>
    <w:rsid w:val="4776277B"/>
    <w:rsid w:val="47B6FAF4"/>
    <w:rsid w:val="47DE66D6"/>
    <w:rsid w:val="47EA898C"/>
    <w:rsid w:val="485D2AC8"/>
    <w:rsid w:val="487B5793"/>
    <w:rsid w:val="48BAE064"/>
    <w:rsid w:val="48D2D90D"/>
    <w:rsid w:val="4952C967"/>
    <w:rsid w:val="49AF6804"/>
    <w:rsid w:val="49CB9523"/>
    <w:rsid w:val="4A3FABF9"/>
    <w:rsid w:val="4AFE5611"/>
    <w:rsid w:val="4B3BBBFA"/>
    <w:rsid w:val="4B56425F"/>
    <w:rsid w:val="4C105804"/>
    <w:rsid w:val="4C28AE48"/>
    <w:rsid w:val="4C49414D"/>
    <w:rsid w:val="4C96CA7E"/>
    <w:rsid w:val="4D3869F9"/>
    <w:rsid w:val="4D52CBA3"/>
    <w:rsid w:val="4DDBDDB1"/>
    <w:rsid w:val="4DE51A6B"/>
    <w:rsid w:val="4DE941A2"/>
    <w:rsid w:val="4DEE630B"/>
    <w:rsid w:val="4E493A49"/>
    <w:rsid w:val="4E58E5F3"/>
    <w:rsid w:val="4E77D061"/>
    <w:rsid w:val="4EA1081D"/>
    <w:rsid w:val="4EBDDFBF"/>
    <w:rsid w:val="4ECCDFA1"/>
    <w:rsid w:val="4ED835EB"/>
    <w:rsid w:val="4F409748"/>
    <w:rsid w:val="4F593615"/>
    <w:rsid w:val="4F7BD412"/>
    <w:rsid w:val="4F8204E5"/>
    <w:rsid w:val="50013498"/>
    <w:rsid w:val="500436D1"/>
    <w:rsid w:val="50BC23FE"/>
    <w:rsid w:val="5127621C"/>
    <w:rsid w:val="522426A2"/>
    <w:rsid w:val="5237A7CC"/>
    <w:rsid w:val="527AEFB8"/>
    <w:rsid w:val="52BB4B13"/>
    <w:rsid w:val="52F9E89A"/>
    <w:rsid w:val="5390680E"/>
    <w:rsid w:val="53DFF7B2"/>
    <w:rsid w:val="53F73DF0"/>
    <w:rsid w:val="541CA9DD"/>
    <w:rsid w:val="54782212"/>
    <w:rsid w:val="547A7DD8"/>
    <w:rsid w:val="54CC0CC3"/>
    <w:rsid w:val="54D560BB"/>
    <w:rsid w:val="54DAEC2E"/>
    <w:rsid w:val="54E8BD61"/>
    <w:rsid w:val="54F749E2"/>
    <w:rsid w:val="554E41E5"/>
    <w:rsid w:val="55675AC7"/>
    <w:rsid w:val="5588DF31"/>
    <w:rsid w:val="55D1EF4B"/>
    <w:rsid w:val="55F1A3E7"/>
    <w:rsid w:val="5666771B"/>
    <w:rsid w:val="566A890D"/>
    <w:rsid w:val="567396E9"/>
    <w:rsid w:val="56846F2D"/>
    <w:rsid w:val="56A690F5"/>
    <w:rsid w:val="5700E310"/>
    <w:rsid w:val="570614A3"/>
    <w:rsid w:val="573F9B6C"/>
    <w:rsid w:val="57B0CD2F"/>
    <w:rsid w:val="5839D7CC"/>
    <w:rsid w:val="586B99B1"/>
    <w:rsid w:val="588DE610"/>
    <w:rsid w:val="59D76DD8"/>
    <w:rsid w:val="5A0763CF"/>
    <w:rsid w:val="5A0E6E99"/>
    <w:rsid w:val="5A11EA4C"/>
    <w:rsid w:val="5A6875D1"/>
    <w:rsid w:val="5AC3762E"/>
    <w:rsid w:val="5AF508A0"/>
    <w:rsid w:val="5B4C5B0E"/>
    <w:rsid w:val="5BC7209D"/>
    <w:rsid w:val="5BF9BD5A"/>
    <w:rsid w:val="5C0B965E"/>
    <w:rsid w:val="5C80F7FA"/>
    <w:rsid w:val="5CB05415"/>
    <w:rsid w:val="5D0DAE0D"/>
    <w:rsid w:val="5D3B6099"/>
    <w:rsid w:val="5D56AC77"/>
    <w:rsid w:val="5DBC5A9A"/>
    <w:rsid w:val="5DDD90A2"/>
    <w:rsid w:val="5E336873"/>
    <w:rsid w:val="5E95FEEA"/>
    <w:rsid w:val="5EB55AAF"/>
    <w:rsid w:val="5ED800B6"/>
    <w:rsid w:val="5FCA7B3C"/>
    <w:rsid w:val="5FE706B4"/>
    <w:rsid w:val="6016C06F"/>
    <w:rsid w:val="60674F86"/>
    <w:rsid w:val="6070FADD"/>
    <w:rsid w:val="60D3C0BF"/>
    <w:rsid w:val="61234036"/>
    <w:rsid w:val="614C930E"/>
    <w:rsid w:val="61F56388"/>
    <w:rsid w:val="62E600A2"/>
    <w:rsid w:val="63260648"/>
    <w:rsid w:val="63716A8C"/>
    <w:rsid w:val="63957186"/>
    <w:rsid w:val="6414273E"/>
    <w:rsid w:val="64470F4D"/>
    <w:rsid w:val="645274D8"/>
    <w:rsid w:val="64868EF7"/>
    <w:rsid w:val="64888C40"/>
    <w:rsid w:val="64D06045"/>
    <w:rsid w:val="64D14A11"/>
    <w:rsid w:val="6571F287"/>
    <w:rsid w:val="658BD2AA"/>
    <w:rsid w:val="65B0F5D6"/>
    <w:rsid w:val="667AF8B3"/>
    <w:rsid w:val="667DDD88"/>
    <w:rsid w:val="6695732C"/>
    <w:rsid w:val="66991CB4"/>
    <w:rsid w:val="66C2B92B"/>
    <w:rsid w:val="6705381A"/>
    <w:rsid w:val="676E0652"/>
    <w:rsid w:val="67AFAD82"/>
    <w:rsid w:val="67FC66AA"/>
    <w:rsid w:val="6803F83B"/>
    <w:rsid w:val="686A8A78"/>
    <w:rsid w:val="68BFBC77"/>
    <w:rsid w:val="68D0E8F6"/>
    <w:rsid w:val="68DD25FE"/>
    <w:rsid w:val="69C6C81F"/>
    <w:rsid w:val="6A5F4C42"/>
    <w:rsid w:val="6AA7AFCF"/>
    <w:rsid w:val="6B61A6E2"/>
    <w:rsid w:val="6B778B91"/>
    <w:rsid w:val="6B807CE0"/>
    <w:rsid w:val="6B8407A1"/>
    <w:rsid w:val="6BD90FA9"/>
    <w:rsid w:val="6C09FACC"/>
    <w:rsid w:val="6C25C231"/>
    <w:rsid w:val="6C2BB6BB"/>
    <w:rsid w:val="6C9D294B"/>
    <w:rsid w:val="6D304509"/>
    <w:rsid w:val="6D4F59E8"/>
    <w:rsid w:val="6D9AC6BF"/>
    <w:rsid w:val="6DC65473"/>
    <w:rsid w:val="6E027FC6"/>
    <w:rsid w:val="6E39304B"/>
    <w:rsid w:val="6EAFB6B1"/>
    <w:rsid w:val="6ECC9104"/>
    <w:rsid w:val="6EEE3A5D"/>
    <w:rsid w:val="6EF8886B"/>
    <w:rsid w:val="6FB8DF69"/>
    <w:rsid w:val="6FE78431"/>
    <w:rsid w:val="6FEBB9B4"/>
    <w:rsid w:val="7003B69F"/>
    <w:rsid w:val="700867EA"/>
    <w:rsid w:val="7015D7EA"/>
    <w:rsid w:val="7016D00D"/>
    <w:rsid w:val="707BB33B"/>
    <w:rsid w:val="708F6D49"/>
    <w:rsid w:val="70C3C9DC"/>
    <w:rsid w:val="70CB8558"/>
    <w:rsid w:val="71590C08"/>
    <w:rsid w:val="7197C6EF"/>
    <w:rsid w:val="71C22B42"/>
    <w:rsid w:val="71CBFED6"/>
    <w:rsid w:val="72454838"/>
    <w:rsid w:val="728A6E05"/>
    <w:rsid w:val="7295437F"/>
    <w:rsid w:val="72CA9B37"/>
    <w:rsid w:val="73360AC7"/>
    <w:rsid w:val="7342D1DB"/>
    <w:rsid w:val="734F8B09"/>
    <w:rsid w:val="738CE9B8"/>
    <w:rsid w:val="73A0E141"/>
    <w:rsid w:val="73C4A35D"/>
    <w:rsid w:val="7411E9D4"/>
    <w:rsid w:val="7416C325"/>
    <w:rsid w:val="7434BA8A"/>
    <w:rsid w:val="744AD7CA"/>
    <w:rsid w:val="74E5BBA1"/>
    <w:rsid w:val="75004393"/>
    <w:rsid w:val="7512B382"/>
    <w:rsid w:val="75289B45"/>
    <w:rsid w:val="7560CF09"/>
    <w:rsid w:val="75A53D29"/>
    <w:rsid w:val="75CB6DCF"/>
    <w:rsid w:val="7606B192"/>
    <w:rsid w:val="7611F426"/>
    <w:rsid w:val="763BDAC0"/>
    <w:rsid w:val="76450642"/>
    <w:rsid w:val="76AF17D9"/>
    <w:rsid w:val="76B85261"/>
    <w:rsid w:val="76CDA75F"/>
    <w:rsid w:val="76EF9646"/>
    <w:rsid w:val="770DBBF9"/>
    <w:rsid w:val="771F1A8E"/>
    <w:rsid w:val="772D699E"/>
    <w:rsid w:val="77497892"/>
    <w:rsid w:val="774C810F"/>
    <w:rsid w:val="77541D91"/>
    <w:rsid w:val="7767170E"/>
    <w:rsid w:val="780640CE"/>
    <w:rsid w:val="784084ED"/>
    <w:rsid w:val="78E654BC"/>
    <w:rsid w:val="7962C789"/>
    <w:rsid w:val="79808212"/>
    <w:rsid w:val="79EB590E"/>
    <w:rsid w:val="7A072BDC"/>
    <w:rsid w:val="7A7E21E0"/>
    <w:rsid w:val="7AA7C518"/>
    <w:rsid w:val="7AC4466A"/>
    <w:rsid w:val="7ACA65D0"/>
    <w:rsid w:val="7ADEF189"/>
    <w:rsid w:val="7AFBCBA3"/>
    <w:rsid w:val="7B63F016"/>
    <w:rsid w:val="7B839D4C"/>
    <w:rsid w:val="7B9F1C1E"/>
    <w:rsid w:val="7BCFC173"/>
    <w:rsid w:val="7BE5F48F"/>
    <w:rsid w:val="7BE8CF19"/>
    <w:rsid w:val="7C5E6855"/>
    <w:rsid w:val="7C711FA5"/>
    <w:rsid w:val="7C914C50"/>
    <w:rsid w:val="7CA5986F"/>
    <w:rsid w:val="7CC32106"/>
    <w:rsid w:val="7CCE03A4"/>
    <w:rsid w:val="7D3DD075"/>
    <w:rsid w:val="7DAFEEE8"/>
    <w:rsid w:val="7DD1FCAB"/>
    <w:rsid w:val="7E01FE1A"/>
    <w:rsid w:val="7E13DCEA"/>
    <w:rsid w:val="7EBE5170"/>
    <w:rsid w:val="7F160943"/>
    <w:rsid w:val="7F691FFD"/>
    <w:rsid w:val="7FA84049"/>
    <w:rsid w:val="7FAB096D"/>
    <w:rsid w:val="7FB7A79A"/>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E6FB0"/>
  <w15:docId w15:val="{3F0B7071-6D42-2443-ABBC-064A8B79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A49"/>
    <w:rPr>
      <w:sz w:val="24"/>
      <w:szCs w:val="24"/>
    </w:rPr>
  </w:style>
  <w:style w:type="paragraph" w:styleId="Heading1">
    <w:name w:val="heading 1"/>
    <w:basedOn w:val="Normal"/>
    <w:next w:val="Normal"/>
    <w:link w:val="Heading1Char"/>
    <w:uiPriority w:val="9"/>
    <w:qFormat/>
    <w:rsid w:val="00A85602"/>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8560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4F6897"/>
    <w:pPr>
      <w:tabs>
        <w:tab w:val="right" w:leader="dot" w:pos="9350"/>
      </w:tabs>
    </w:pPr>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val="en-US" w:eastAsia="en-US"/>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3"/>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4"/>
      </w:numPr>
    </w:pPr>
  </w:style>
  <w:style w:type="paragraph" w:styleId="TOC2">
    <w:name w:val="toc 2"/>
    <w:basedOn w:val="Normal"/>
    <w:next w:val="Normal"/>
    <w:autoRedefine/>
    <w:uiPriority w:val="39"/>
    <w:unhideWhenUsed/>
    <w:rsid w:val="002E7E53"/>
    <w:pPr>
      <w:tabs>
        <w:tab w:val="left" w:pos="720"/>
        <w:tab w:val="right" w:leader="dot" w:pos="9350"/>
      </w:tabs>
      <w:spacing w:line="360" w:lineRule="auto"/>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rPr>
  </w:style>
  <w:style w:type="paragraph" w:customStyle="1" w:styleId="DocsID">
    <w:name w:val="DocsID"/>
    <w:basedOn w:val="Normal"/>
    <w:rsid w:val="00B30F48"/>
    <w:pPr>
      <w:spacing w:before="20"/>
    </w:pPr>
    <w:rPr>
      <w:sz w:val="16"/>
      <w:szCs w:val="20"/>
    </w:rPr>
  </w:style>
  <w:style w:type="paragraph" w:styleId="Revision">
    <w:name w:val="Revision"/>
    <w:hidden/>
    <w:uiPriority w:val="99"/>
    <w:semiHidden/>
    <w:rsid w:val="00915A04"/>
    <w:rPr>
      <w:sz w:val="24"/>
      <w:szCs w:val="24"/>
    </w:rPr>
  </w:style>
  <w:style w:type="table" w:styleId="TableGrid">
    <w:name w:val="Table Grid"/>
    <w:basedOn w:val="TableNormal"/>
    <w:uiPriority w:val="59"/>
    <w:rsid w:val="000F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2EC1"/>
  </w:style>
  <w:style w:type="character" w:customStyle="1" w:styleId="eop">
    <w:name w:val="eop"/>
    <w:basedOn w:val="DefaultParagraphFont"/>
    <w:rsid w:val="00102EC1"/>
  </w:style>
  <w:style w:type="character" w:styleId="CommentReference">
    <w:name w:val="annotation reference"/>
    <w:uiPriority w:val="99"/>
    <w:semiHidden/>
    <w:unhideWhenUsed/>
    <w:rsid w:val="00F57B59"/>
    <w:rPr>
      <w:sz w:val="16"/>
      <w:szCs w:val="16"/>
    </w:rPr>
  </w:style>
  <w:style w:type="paragraph" w:styleId="CommentText">
    <w:name w:val="annotation text"/>
    <w:basedOn w:val="Normal"/>
    <w:link w:val="CommentTextChar"/>
    <w:uiPriority w:val="99"/>
    <w:unhideWhenUsed/>
    <w:rsid w:val="00F57B59"/>
    <w:rPr>
      <w:sz w:val="20"/>
      <w:szCs w:val="20"/>
    </w:rPr>
  </w:style>
  <w:style w:type="character" w:customStyle="1" w:styleId="CommentTextChar">
    <w:name w:val="Comment Text Char"/>
    <w:basedOn w:val="DefaultParagraphFont"/>
    <w:link w:val="CommentText"/>
    <w:uiPriority w:val="99"/>
    <w:rsid w:val="00F57B59"/>
  </w:style>
  <w:style w:type="paragraph" w:styleId="CommentSubject">
    <w:name w:val="annotation subject"/>
    <w:basedOn w:val="CommentText"/>
    <w:next w:val="CommentText"/>
    <w:link w:val="CommentSubjectChar"/>
    <w:uiPriority w:val="99"/>
    <w:semiHidden/>
    <w:unhideWhenUsed/>
    <w:rsid w:val="00F57B59"/>
    <w:rPr>
      <w:b/>
      <w:bCs/>
    </w:rPr>
  </w:style>
  <w:style w:type="character" w:customStyle="1" w:styleId="CommentSubjectChar">
    <w:name w:val="Comment Subject Char"/>
    <w:basedOn w:val="CommentTextChar"/>
    <w:link w:val="CommentSubject"/>
    <w:uiPriority w:val="99"/>
    <w:semiHidden/>
    <w:rsid w:val="00F57B59"/>
    <w:rPr>
      <w:b/>
      <w:bCs/>
    </w:rPr>
  </w:style>
  <w:style w:type="paragraph" w:customStyle="1" w:styleId="paragraph">
    <w:name w:val="paragraph"/>
    <w:basedOn w:val="Normal"/>
    <w:rsid w:val="008861A0"/>
    <w:pPr>
      <w:spacing w:before="100" w:beforeAutospacing="1" w:after="100" w:afterAutospacing="1"/>
    </w:pPr>
  </w:style>
  <w:style w:type="paragraph" w:styleId="ListParagraph">
    <w:name w:val="List Paragraph"/>
    <w:basedOn w:val="Normal"/>
    <w:uiPriority w:val="34"/>
    <w:qFormat/>
    <w:rsid w:val="006E05E5"/>
    <w:pPr>
      <w:ind w:left="720"/>
    </w:pPr>
  </w:style>
  <w:style w:type="paragraph" w:customStyle="1" w:styleId="subpara">
    <w:name w:val="subpara"/>
    <w:basedOn w:val="Normal"/>
    <w:rsid w:val="00200A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D27-748E-42DF-ADBB-191DA5E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9488</Words>
  <Characters>54088</Characters>
  <Application>Microsoft Office Word</Application>
  <DocSecurity>4</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63450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Vijai Dasrat</cp:lastModifiedBy>
  <cp:revision>2</cp:revision>
  <cp:lastPrinted>2025-09-16T20:26:00Z</cp:lastPrinted>
  <dcterms:created xsi:type="dcterms:W3CDTF">2026-01-23T21:14:00Z</dcterms:created>
  <dcterms:modified xsi:type="dcterms:W3CDTF">2026-01-23T21:14:00Z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2016903</vt:lpwstr>
  </op:property>
  <op:property fmtid="{D5CDD505-2E9C-101B-9397-08002B2CF9AE}" pid="4" name="ndDocumentId">
    <vt:lpwstr>1392-9822-7483</vt:lpwstr>
  </op:property>
</op:Properties>
</file>