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63EC" w14:textId="77777777" w:rsidR="007C01F5" w:rsidRPr="003E027B" w:rsidRDefault="007C01F5" w:rsidP="007C01F5">
      <w:pPr>
        <w:jc w:val="center"/>
      </w:pPr>
      <w:r w:rsidRPr="003E027B">
        <w:t>WILLMS &amp; SHIER ENVIRONMENTAL LAW MOOT COURT COMPETITION</w:t>
      </w:r>
      <w:r w:rsidR="00803711">
        <w:t xml:space="preserve"> </w:t>
      </w:r>
      <w:r w:rsidR="00915A04">
        <w:t>202</w:t>
      </w:r>
      <w:r w:rsidR="00B72782">
        <w:t>6</w:t>
      </w:r>
    </w:p>
    <w:p w14:paraId="487C1852" w14:textId="77777777" w:rsidR="007C01F5" w:rsidRDefault="007C01F5" w:rsidP="007C01F5"/>
    <w:p w14:paraId="5BBDD57C" w14:textId="77777777" w:rsidR="007C01F5" w:rsidRPr="003E027B" w:rsidRDefault="007C01F5" w:rsidP="007C01F5"/>
    <w:p w14:paraId="1CB3CBC4" w14:textId="77777777" w:rsidR="007C01F5" w:rsidRPr="003E027B" w:rsidRDefault="007C01F5" w:rsidP="007C01F5">
      <w:pPr>
        <w:jc w:val="right"/>
      </w:pPr>
      <w:r w:rsidRPr="003E027B">
        <w:t>S.</w:t>
      </w:r>
      <w:r w:rsidR="00FC1F68">
        <w:t>E.</w:t>
      </w:r>
      <w:r w:rsidRPr="003E027B">
        <w:t>M.C.C. File Number</w:t>
      </w:r>
      <w:r w:rsidR="00292738">
        <w:t>:</w:t>
      </w:r>
      <w:r w:rsidR="00803711">
        <w:t xml:space="preserve"> 0</w:t>
      </w:r>
      <w:r w:rsidR="00915A04">
        <w:t>2</w:t>
      </w:r>
      <w:r w:rsidR="00803711">
        <w:t>-</w:t>
      </w:r>
      <w:r w:rsidR="007541A0">
        <w:t>14</w:t>
      </w:r>
      <w:r w:rsidR="00803711">
        <w:t>-</w:t>
      </w:r>
      <w:r w:rsidR="00915A04">
        <w:t>202</w:t>
      </w:r>
      <w:r w:rsidR="007541A0">
        <w:t>6</w:t>
      </w:r>
    </w:p>
    <w:p w14:paraId="389CF040" w14:textId="77777777" w:rsidR="007C01F5" w:rsidRPr="003E027B" w:rsidRDefault="007C01F5" w:rsidP="007C01F5"/>
    <w:p w14:paraId="77B99D1D" w14:textId="77777777" w:rsidR="007C01F5" w:rsidRPr="003E027B" w:rsidRDefault="007C01F5" w:rsidP="007C01F5">
      <w:pPr>
        <w:jc w:val="center"/>
        <w:rPr>
          <w:b/>
        </w:rPr>
      </w:pPr>
      <w:r w:rsidRPr="003E027B">
        <w:rPr>
          <w:b/>
        </w:rPr>
        <w:t xml:space="preserve">IN THE SUPREME </w:t>
      </w:r>
      <w:r w:rsidR="00FC1F68">
        <w:rPr>
          <w:b/>
        </w:rPr>
        <w:t xml:space="preserve">ENVIRONMENTAL </w:t>
      </w:r>
      <w:r w:rsidRPr="003E027B">
        <w:rPr>
          <w:b/>
        </w:rPr>
        <w:t>MOOT COURT OF CANADA</w:t>
      </w:r>
    </w:p>
    <w:p w14:paraId="26CD67E2" w14:textId="77777777" w:rsidR="007C01F5" w:rsidRPr="003E027B" w:rsidRDefault="007C01F5" w:rsidP="007C01F5">
      <w:pPr>
        <w:jc w:val="center"/>
      </w:pPr>
    </w:p>
    <w:p w14:paraId="311716CE" w14:textId="77777777" w:rsidR="007C01F5" w:rsidRPr="00665D50" w:rsidRDefault="007C01F5" w:rsidP="007C01F5">
      <w:pPr>
        <w:jc w:val="center"/>
        <w:rPr>
          <w:b/>
        </w:rPr>
      </w:pPr>
      <w:r w:rsidRPr="00665D50">
        <w:rPr>
          <w:b/>
        </w:rPr>
        <w:t>(</w:t>
      </w:r>
      <w:r w:rsidR="00915A04" w:rsidRPr="00665D50">
        <w:rPr>
          <w:b/>
        </w:rPr>
        <w:t xml:space="preserve">ON APPEAL FROM THE </w:t>
      </w:r>
      <w:r w:rsidR="007541A0">
        <w:rPr>
          <w:b/>
        </w:rPr>
        <w:t>ONTARIO</w:t>
      </w:r>
      <w:r w:rsidR="00915A04">
        <w:rPr>
          <w:b/>
        </w:rPr>
        <w:t xml:space="preserve"> COURT OF </w:t>
      </w:r>
      <w:r w:rsidR="00B72782">
        <w:rPr>
          <w:b/>
        </w:rPr>
        <w:t>JUSTICE</w:t>
      </w:r>
      <w:r w:rsidRPr="00665D50">
        <w:rPr>
          <w:b/>
        </w:rPr>
        <w:t>)</w:t>
      </w:r>
    </w:p>
    <w:p w14:paraId="5DD29E2C" w14:textId="77777777" w:rsidR="007C01F5" w:rsidRPr="003E027B" w:rsidRDefault="007C01F5" w:rsidP="007C01F5"/>
    <w:p w14:paraId="740AE6CE" w14:textId="77777777" w:rsidR="007C01F5" w:rsidRPr="003E027B" w:rsidRDefault="007C01F5" w:rsidP="007C01F5">
      <w:r w:rsidRPr="003E027B">
        <w:t>B E T W E E N:</w:t>
      </w:r>
    </w:p>
    <w:p w14:paraId="61457175" w14:textId="77777777" w:rsidR="007C01F5" w:rsidRPr="003E027B" w:rsidRDefault="007C01F5" w:rsidP="007C01F5"/>
    <w:p w14:paraId="401E82D3" w14:textId="77777777" w:rsidR="00DB21A8" w:rsidRPr="003E027B" w:rsidRDefault="00E91273" w:rsidP="00DB21A8">
      <w:pPr>
        <w:jc w:val="center"/>
        <w:rPr>
          <w:b/>
        </w:rPr>
      </w:pPr>
      <w:r>
        <w:rPr>
          <w:b/>
        </w:rPr>
        <w:t>HIS MAJESTY THE KING</w:t>
      </w:r>
    </w:p>
    <w:p w14:paraId="6D8DB303" w14:textId="77777777" w:rsidR="007C01F5" w:rsidRDefault="007C01F5" w:rsidP="00EF6D27">
      <w:pPr>
        <w:jc w:val="center"/>
      </w:pPr>
    </w:p>
    <w:p w14:paraId="70197C8A" w14:textId="77777777" w:rsidR="007C01F5" w:rsidRPr="003E027B" w:rsidRDefault="007C01F5" w:rsidP="007C01F5">
      <w:pPr>
        <w:jc w:val="right"/>
      </w:pPr>
      <w:r w:rsidRPr="003E027B">
        <w:t>APPELLANT</w:t>
      </w:r>
    </w:p>
    <w:p w14:paraId="1CCB9D1E" w14:textId="77777777" w:rsidR="007C01F5" w:rsidRPr="003E027B" w:rsidRDefault="007C01F5" w:rsidP="007C01F5">
      <w:pPr>
        <w:jc w:val="right"/>
      </w:pPr>
    </w:p>
    <w:p w14:paraId="4A57396D" w14:textId="77777777" w:rsidR="007C01F5" w:rsidRPr="003E027B" w:rsidRDefault="007C01F5" w:rsidP="007C01F5">
      <w:pPr>
        <w:jc w:val="center"/>
      </w:pPr>
      <w:r w:rsidRPr="003E027B">
        <w:t>- and -</w:t>
      </w:r>
    </w:p>
    <w:p w14:paraId="0F42E6EA" w14:textId="77777777" w:rsidR="007C01F5" w:rsidRPr="003E027B" w:rsidRDefault="007C01F5" w:rsidP="007C01F5"/>
    <w:p w14:paraId="14A14A18" w14:textId="77777777" w:rsidR="007C01F5" w:rsidRPr="003E027B" w:rsidRDefault="007C01F5" w:rsidP="007C01F5"/>
    <w:p w14:paraId="0AA43F35" w14:textId="77777777" w:rsidR="00555F8D" w:rsidRPr="00E91273" w:rsidRDefault="008C00C1" w:rsidP="009F693C">
      <w:pPr>
        <w:jc w:val="center"/>
        <w:rPr>
          <w:b/>
          <w:caps/>
        </w:rPr>
      </w:pPr>
      <w:r w:rsidRPr="00E91273">
        <w:rPr>
          <w:b/>
          <w:caps/>
        </w:rPr>
        <w:t>Consolidated Homes Ltd.</w:t>
      </w:r>
    </w:p>
    <w:p w14:paraId="5A19887A" w14:textId="77777777" w:rsidR="008C00C1" w:rsidRDefault="008C00C1" w:rsidP="00216A01">
      <w:pPr>
        <w:jc w:val="right"/>
      </w:pPr>
    </w:p>
    <w:p w14:paraId="2095A150" w14:textId="77777777" w:rsidR="00216A01" w:rsidRPr="00D7293C" w:rsidRDefault="00216A01" w:rsidP="00216A01">
      <w:pPr>
        <w:jc w:val="right"/>
      </w:pPr>
      <w:r w:rsidRPr="00D7293C">
        <w:t>RESPONDENT</w:t>
      </w:r>
    </w:p>
    <w:p w14:paraId="275A509B" w14:textId="77777777" w:rsidR="007C01F5" w:rsidRPr="003E027B" w:rsidRDefault="007C01F5" w:rsidP="007C01F5"/>
    <w:p w14:paraId="4ED31C48" w14:textId="77777777" w:rsidR="007C01F5" w:rsidRDefault="007C01F5" w:rsidP="007C01F5"/>
    <w:p w14:paraId="13F0C50F" w14:textId="77777777" w:rsidR="007C01F5" w:rsidRPr="003E027B" w:rsidRDefault="009E3766" w:rsidP="007C01F5">
      <w:r>
        <w:rPr>
          <w:noProof/>
          <w:lang w:eastAsia="it-IT"/>
        </w:rPr>
        <mc:AlternateContent>
          <mc:Choice Requires="wps">
            <w:drawing>
              <wp:anchor distT="0" distB="0" distL="114300" distR="114300" simplePos="0" relativeHeight="251657216" behindDoc="0" locked="0" layoutInCell="1" allowOverlap="1" wp14:anchorId="47B94CD8" wp14:editId="2AC5E28C">
                <wp:simplePos x="0" y="0"/>
                <wp:positionH relativeFrom="margin">
                  <wp:align>left</wp:align>
                </wp:positionH>
                <wp:positionV relativeFrom="line">
                  <wp:align>bottom</wp:align>
                </wp:positionV>
                <wp:extent cx="5915025" cy="0"/>
                <wp:effectExtent l="0" t="12700" r="0" b="0"/>
                <wp:wrapNone/>
                <wp:docPr id="1218633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shapetype w14:anchorId="00E40203" id="_x0000_t32" coordsize="21600,21600" o:spt="32" o:oned="t" path="m,l21600,21600e" filled="f">
                <v:path arrowok="t" fillok="f" o:connecttype="none"/>
                <o:lock v:ext="edit" shapetype="t"/>
              </v:shapetype>
              <v:shape id="AutoShape 3" o:spid="_x0000_s1026" type="#_x0000_t32" style="position:absolute;margin-left:0;margin-top:0;width:465.75pt;height:0;z-index:251657216;visibility:visible;mso-wrap-style:square;mso-width-percent:1000;mso-height-percent:0;mso-wrap-distance-left:9pt;mso-wrap-distance-top:0;mso-wrap-distance-right:9pt;mso-wrap-distance-bottom:0;mso-position-horizontal:left;mso-position-horizontal-relative:margin;mso-position-vertical:bottom;mso-position-vertical-relative:line;mso-width-percent:100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" strokeweight="2.25pt">
                <o:lock v:ext="edit" shapetype="f"/>
                <w10:wrap anchorx="margin" anchory="line"/>
              </v:shape>
            </w:pict>
          </mc:Fallback>
        </mc:AlternateContent>
      </w:r>
    </w:p>
    <w:p w14:paraId="16C48E31" w14:textId="77777777" w:rsidR="007C01F5" w:rsidRDefault="007C01F5" w:rsidP="007C01F5">
      <w:pPr>
        <w:jc w:val="center"/>
        <w:rPr>
          <w:b/>
        </w:rPr>
      </w:pPr>
      <w:r w:rsidRPr="007C01F5">
        <w:rPr>
          <w:b/>
        </w:rPr>
        <w:t xml:space="preserve">FACTUM OF THE </w:t>
      </w:r>
      <w:r w:rsidR="00EE2290">
        <w:rPr>
          <w:b/>
        </w:rPr>
        <w:t>RESPONDENT</w:t>
      </w:r>
    </w:p>
    <w:p w14:paraId="0D8FBB0E" w14:textId="77777777" w:rsidR="00FC4847" w:rsidRDefault="00E91273" w:rsidP="007C01F5">
      <w:pPr>
        <w:jc w:val="center"/>
      </w:pPr>
      <w:r w:rsidRPr="00E91273">
        <w:rPr>
          <w:b/>
          <w:caps/>
        </w:rPr>
        <w:t>Consolidated Homes</w:t>
      </w:r>
      <w:r w:rsidRPr="00E91273">
        <w:rPr>
          <w:b/>
        </w:rPr>
        <w:t xml:space="preserve"> </w:t>
      </w:r>
      <w:r w:rsidR="00DB21A8" w:rsidRPr="00DB21A8">
        <w:rPr>
          <w:b/>
        </w:rPr>
        <w:t>LTD.</w:t>
      </w:r>
    </w:p>
    <w:p w14:paraId="5E07C5FA" w14:textId="77777777" w:rsidR="007C01F5" w:rsidRPr="003E027B" w:rsidRDefault="007C01F5" w:rsidP="007C01F5">
      <w:pPr>
        <w:jc w:val="center"/>
      </w:pPr>
      <w:r w:rsidRPr="003E027B">
        <w:t>Pursuant to Rule 12 of the</w:t>
      </w:r>
    </w:p>
    <w:p w14:paraId="6B42E301" w14:textId="77777777" w:rsidR="007C01F5" w:rsidRDefault="007C01F5" w:rsidP="007C01F5">
      <w:pPr>
        <w:jc w:val="center"/>
      </w:pPr>
      <w:r w:rsidRPr="003E027B">
        <w:t>Willms &amp; Shier Environmental Law Moot Official</w:t>
      </w:r>
      <w:r w:rsidR="00803711">
        <w:t xml:space="preserve"> Competition Rules </w:t>
      </w:r>
      <w:r w:rsidR="00915A04">
        <w:t>202</w:t>
      </w:r>
      <w:r w:rsidR="00FF7162">
        <w:t>6</w:t>
      </w:r>
    </w:p>
    <w:p w14:paraId="000B9FBE" w14:textId="77777777" w:rsidR="007C01F5" w:rsidRPr="003E027B" w:rsidRDefault="007C01F5" w:rsidP="007C01F5">
      <w:pPr>
        <w:jc w:val="center"/>
      </w:pPr>
    </w:p>
    <w:p w14:paraId="58FBF199" w14:textId="77777777" w:rsidR="007C01F5" w:rsidRPr="003E027B" w:rsidRDefault="009E3766" w:rsidP="007C01F5">
      <w:r>
        <w:rPr>
          <w:noProof/>
          <w:lang w:eastAsia="it-IT"/>
        </w:rPr>
        <mc:AlternateContent>
          <mc:Choice Requires="wps">
            <w:drawing>
              <wp:anchor distT="0" distB="0" distL="114300" distR="114300" simplePos="0" relativeHeight="251658240" behindDoc="0" locked="0" layoutInCell="1" allowOverlap="1" wp14:anchorId="0490D3CE" wp14:editId="431A2921">
                <wp:simplePos x="0" y="0"/>
                <wp:positionH relativeFrom="margin">
                  <wp:align>left</wp:align>
                </wp:positionH>
                <wp:positionV relativeFrom="line">
                  <wp:align>top</wp:align>
                </wp:positionV>
                <wp:extent cx="5913755" cy="0"/>
                <wp:effectExtent l="0" t="12700" r="0" b="0"/>
                <wp:wrapNone/>
                <wp:docPr id="8357202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375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shape w14:anchorId="318B0F9D" id="AutoShape 4" o:spid="_x0000_s1026" type="#_x0000_t32" style="position:absolute;margin-left:0;margin-top:0;width:465.65pt;height:0;z-index:251658240;visibility:visible;mso-wrap-style:square;mso-width-percent:1000;mso-height-percent:0;mso-wrap-distance-left:9pt;mso-wrap-distance-top:0;mso-wrap-distance-right:9pt;mso-wrap-distance-bottom:0;mso-position-horizontal:left;mso-position-horizontal-relative:margin;mso-position-vertical:top;mso-position-vertical-relative:line;mso-width-percent:100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" strokeweight="2.25pt">
                <o:lock v:ext="edit" shapetype="f"/>
                <w10:wrap anchorx="margin" anchory="line"/>
              </v:shape>
            </w:pict>
          </mc:Fallback>
        </mc:AlternateContent>
      </w:r>
    </w:p>
    <w:p w14:paraId="54704F8D" w14:textId="77777777" w:rsidR="007C01F5" w:rsidRPr="003E027B" w:rsidRDefault="007C01F5" w:rsidP="007C01F5"/>
    <w:p w14:paraId="73A8BAF2" w14:textId="77777777" w:rsidR="00665D50" w:rsidRDefault="007C01F5" w:rsidP="00665D50">
      <w:pPr>
        <w:jc w:val="right"/>
      </w:pPr>
      <w:r w:rsidRPr="00790A7B">
        <w:t>T</w:t>
      </w:r>
      <w:r w:rsidR="00812A9C">
        <w:t>EAM #</w:t>
      </w:r>
      <w:r w:rsidR="005A2005">
        <w:t>06</w:t>
      </w:r>
    </w:p>
    <w:p w14:paraId="2B18D73E" w14:textId="77777777" w:rsidR="000E4220" w:rsidRDefault="000E4220" w:rsidP="00665D50">
      <w:pPr>
        <w:ind w:left="1440" w:hanging="1440"/>
        <w:rPr>
          <w:b/>
        </w:rPr>
        <w:sectPr w:rsidR="000E4220" w:rsidSect="00194038">
          <w:footerReference w:type="default" r:id="rId9"/>
          <w:pgSz w:w="12240" w:h="15840" w:code="1"/>
          <w:pgMar w:top="1440" w:right="1440" w:bottom="1440" w:left="1440" w:header="720" w:footer="720" w:gutter="0"/>
          <w:cols w:space="720"/>
          <w:titlePg/>
          <w:docGrid w:linePitch="360"/>
        </w:sectPr>
      </w:pPr>
    </w:p>
    <w:p w14:paraId="73062CC7" w14:textId="77777777" w:rsidR="00665D50" w:rsidRPr="00665D50" w:rsidRDefault="00665D50" w:rsidP="00665D50">
      <w:pPr>
        <w:ind w:left="1440" w:hanging="1440"/>
        <w:rPr>
          <w:b/>
        </w:rPr>
      </w:pPr>
      <w:r w:rsidRPr="00665D50">
        <w:rPr>
          <w:b/>
        </w:rPr>
        <w:lastRenderedPageBreak/>
        <w:t xml:space="preserve">TO: </w:t>
      </w:r>
      <w:r>
        <w:rPr>
          <w:b/>
        </w:rPr>
        <w:tab/>
      </w:r>
      <w:r w:rsidRPr="00665D50">
        <w:rPr>
          <w:b/>
        </w:rPr>
        <w:t xml:space="preserve">THE REGISTRAR OF THE </w:t>
      </w:r>
      <w:r w:rsidR="000B51BA">
        <w:rPr>
          <w:b/>
        </w:rPr>
        <w:br/>
      </w:r>
      <w:r w:rsidRPr="00665D50">
        <w:rPr>
          <w:b/>
        </w:rPr>
        <w:t>SUPREME ENVIRONMENTAL MOOT COURT OF CANADA</w:t>
      </w:r>
    </w:p>
    <w:p w14:paraId="4EF0C487" w14:textId="77777777" w:rsidR="00665D50" w:rsidRPr="00665D50" w:rsidRDefault="00665D50" w:rsidP="00665D50">
      <w:pPr>
        <w:ind w:left="1440" w:hanging="1440"/>
        <w:rPr>
          <w:b/>
        </w:rPr>
      </w:pPr>
    </w:p>
    <w:p w14:paraId="05B0612A" w14:textId="77777777" w:rsidR="00665D50" w:rsidRDefault="00665D50" w:rsidP="00665D50">
      <w:pPr>
        <w:ind w:left="1440" w:hanging="1440"/>
        <w:rPr>
          <w:b/>
        </w:rPr>
      </w:pPr>
      <w:r w:rsidRPr="00665D50">
        <w:rPr>
          <w:b/>
        </w:rPr>
        <w:t xml:space="preserve">AND TO: </w:t>
      </w:r>
      <w:r>
        <w:rPr>
          <w:b/>
        </w:rPr>
        <w:tab/>
      </w:r>
      <w:r w:rsidRPr="00665D50">
        <w:rPr>
          <w:b/>
        </w:rPr>
        <w:t>ALL REGISTERED TEAMS</w:t>
      </w:r>
    </w:p>
    <w:p w14:paraId="5A8C2DDF" w14:textId="77777777" w:rsidR="00896769" w:rsidRDefault="00896769" w:rsidP="00896769">
      <w:pPr>
        <w:sectPr w:rsidR="00896769" w:rsidSect="00194038">
          <w:pgSz w:w="12240" w:h="15840" w:code="1"/>
          <w:pgMar w:top="1440" w:right="1440" w:bottom="1440" w:left="1440" w:header="720" w:footer="720" w:gutter="0"/>
          <w:cols w:space="720"/>
          <w:titlePg/>
          <w:docGrid w:linePitch="360"/>
        </w:sectPr>
      </w:pPr>
    </w:p>
    <w:p w14:paraId="4EC8A4E5" w14:textId="77777777" w:rsidR="00A85602" w:rsidRDefault="00037BFB" w:rsidP="00DD6E8C">
      <w:pPr>
        <w:spacing w:line="360" w:lineRule="auto"/>
        <w:jc w:val="center"/>
        <w:rPr>
          <w:b/>
        </w:rPr>
      </w:pPr>
      <w:r w:rsidRPr="00037BFB">
        <w:rPr>
          <w:b/>
        </w:rPr>
        <w:lastRenderedPageBreak/>
        <w:t>TABLE OF CONTENTS</w:t>
      </w:r>
    </w:p>
    <w:p w14:paraId="026AB9B7" w14:textId="77777777" w:rsidR="00665D50" w:rsidRDefault="00665D50" w:rsidP="00CE4218">
      <w:pPr>
        <w:spacing w:line="360" w:lineRule="auto"/>
        <w:jc w:val="right"/>
      </w:pPr>
      <w:r>
        <w:rPr>
          <w:b/>
        </w:rPr>
        <w:t>Page No.</w:t>
      </w:r>
    </w:p>
    <w:p w14:paraId="67DA6CD9" w14:textId="0E2EF3B6" w:rsidR="000F5AE4" w:rsidRDefault="009F5FF0">
      <w:pPr>
        <w:pStyle w:val="TOC1"/>
        <w:rPr>
          <w:rFonts w:asciiTheme="minorHAnsi" w:eastAsiaTheme="minorEastAsia" w:hAnsiTheme="minorHAnsi" w:cstheme="minorBidi"/>
          <w:noProof/>
          <w:kern w:val="2"/>
          <w14:ligatures w14:val="standardContextual"/>
        </w:rPr>
      </w:pPr>
      <w:r>
        <w:fldChar w:fldCharType="begin"/>
      </w:r>
      <w:r w:rsidR="00847C80">
        <w:instrText xml:space="preserve"> TOC \o "1-3" \u </w:instrText>
      </w:r>
      <w:r>
        <w:fldChar w:fldCharType="separate"/>
      </w:r>
      <w:r w:rsidR="000F5AE4" w:rsidRPr="003C31C8">
        <w:rPr>
          <w:noProof/>
        </w:rPr>
        <w:t>PART I -- OVERVIEW AND STATEMENT OF FACTS</w:t>
      </w:r>
      <w:r w:rsidR="000F5AE4">
        <w:rPr>
          <w:noProof/>
        </w:rPr>
        <w:tab/>
      </w:r>
      <w:r w:rsidR="000F5AE4">
        <w:rPr>
          <w:noProof/>
        </w:rPr>
        <w:fldChar w:fldCharType="begin"/>
      </w:r>
      <w:r w:rsidR="000F5AE4">
        <w:rPr>
          <w:noProof/>
        </w:rPr>
        <w:instrText xml:space="preserve"> PAGEREF _Toc220075811 \h </w:instrText>
      </w:r>
      <w:r w:rsidR="000F5AE4">
        <w:rPr>
          <w:noProof/>
        </w:rPr>
      </w:r>
      <w:r w:rsidR="000F5AE4">
        <w:rPr>
          <w:noProof/>
        </w:rPr>
        <w:fldChar w:fldCharType="separate"/>
      </w:r>
      <w:r w:rsidR="00D60DF6">
        <w:rPr>
          <w:noProof/>
        </w:rPr>
        <w:t>1</w:t>
      </w:r>
      <w:r w:rsidR="000F5AE4">
        <w:rPr>
          <w:noProof/>
        </w:rPr>
        <w:fldChar w:fldCharType="end"/>
      </w:r>
    </w:p>
    <w:p w14:paraId="418EB678" w14:textId="0466906A" w:rsidR="000F5AE4" w:rsidRDefault="000F5AE4">
      <w:pPr>
        <w:pStyle w:val="TOC2"/>
        <w:tabs>
          <w:tab w:val="left" w:pos="720"/>
          <w:tab w:val="right" w:leader="dot" w:pos="9350"/>
        </w:tabs>
        <w:rPr>
          <w:rFonts w:asciiTheme="minorHAnsi" w:eastAsiaTheme="minorEastAsia" w:hAnsiTheme="minorHAnsi" w:cstheme="minorBidi"/>
          <w:noProof/>
          <w:kern w:val="2"/>
          <w14:ligatures w14:val="standardContextual"/>
        </w:rPr>
      </w:pPr>
      <w:r w:rsidRPr="003C31C8">
        <w:rPr>
          <w:noProof/>
        </w:rPr>
        <w:t>A.</w:t>
      </w:r>
      <w:r>
        <w:rPr>
          <w:rFonts w:asciiTheme="minorHAnsi" w:eastAsiaTheme="minorEastAsia" w:hAnsiTheme="minorHAnsi" w:cstheme="minorBidi"/>
          <w:noProof/>
          <w:kern w:val="2"/>
          <w14:ligatures w14:val="standardContextual"/>
        </w:rPr>
        <w:tab/>
      </w:r>
      <w:r w:rsidRPr="003C31C8">
        <w:rPr>
          <w:noProof/>
        </w:rPr>
        <w:t>Overview of the Respondent’s Position</w:t>
      </w:r>
      <w:r>
        <w:rPr>
          <w:noProof/>
        </w:rPr>
        <w:tab/>
      </w:r>
      <w:r>
        <w:rPr>
          <w:noProof/>
        </w:rPr>
        <w:fldChar w:fldCharType="begin"/>
      </w:r>
      <w:r>
        <w:rPr>
          <w:noProof/>
        </w:rPr>
        <w:instrText xml:space="preserve"> PAGEREF _Toc220075812 \h </w:instrText>
      </w:r>
      <w:r>
        <w:rPr>
          <w:noProof/>
        </w:rPr>
      </w:r>
      <w:r>
        <w:rPr>
          <w:noProof/>
        </w:rPr>
        <w:fldChar w:fldCharType="separate"/>
      </w:r>
      <w:r w:rsidR="00D60DF6">
        <w:rPr>
          <w:noProof/>
        </w:rPr>
        <w:t>1</w:t>
      </w:r>
      <w:r>
        <w:rPr>
          <w:noProof/>
        </w:rPr>
        <w:fldChar w:fldCharType="end"/>
      </w:r>
    </w:p>
    <w:p w14:paraId="1AFAFA2E" w14:textId="51A34E09" w:rsidR="000F5AE4" w:rsidRDefault="000F5AE4">
      <w:pPr>
        <w:pStyle w:val="TOC2"/>
        <w:tabs>
          <w:tab w:val="left" w:pos="720"/>
          <w:tab w:val="right" w:leader="dot" w:pos="9350"/>
        </w:tabs>
        <w:rPr>
          <w:rFonts w:asciiTheme="minorHAnsi" w:eastAsiaTheme="minorEastAsia" w:hAnsiTheme="minorHAnsi" w:cstheme="minorBidi"/>
          <w:noProof/>
          <w:kern w:val="2"/>
          <w14:ligatures w14:val="standardContextual"/>
        </w:rPr>
      </w:pPr>
      <w:r w:rsidRPr="003C31C8">
        <w:rPr>
          <w:noProof/>
        </w:rPr>
        <w:t>B.</w:t>
      </w:r>
      <w:r>
        <w:rPr>
          <w:rFonts w:asciiTheme="minorHAnsi" w:eastAsiaTheme="minorEastAsia" w:hAnsiTheme="minorHAnsi" w:cstheme="minorBidi"/>
          <w:noProof/>
          <w:kern w:val="2"/>
          <w14:ligatures w14:val="standardContextual"/>
        </w:rPr>
        <w:tab/>
      </w:r>
      <w:r w:rsidRPr="003C31C8">
        <w:rPr>
          <w:noProof/>
        </w:rPr>
        <w:t>Statement of the Facts</w:t>
      </w:r>
      <w:r>
        <w:rPr>
          <w:noProof/>
        </w:rPr>
        <w:tab/>
      </w:r>
      <w:r>
        <w:rPr>
          <w:noProof/>
        </w:rPr>
        <w:fldChar w:fldCharType="begin"/>
      </w:r>
      <w:r>
        <w:rPr>
          <w:noProof/>
        </w:rPr>
        <w:instrText xml:space="preserve"> PAGEREF _Toc220075813 \h </w:instrText>
      </w:r>
      <w:r>
        <w:rPr>
          <w:noProof/>
        </w:rPr>
      </w:r>
      <w:r>
        <w:rPr>
          <w:noProof/>
        </w:rPr>
        <w:fldChar w:fldCharType="separate"/>
      </w:r>
      <w:r w:rsidR="00D60DF6">
        <w:rPr>
          <w:noProof/>
        </w:rPr>
        <w:t>2</w:t>
      </w:r>
      <w:r>
        <w:rPr>
          <w:noProof/>
        </w:rPr>
        <w:fldChar w:fldCharType="end"/>
      </w:r>
    </w:p>
    <w:p w14:paraId="295C6F5C" w14:textId="660A0F4F" w:rsidR="000F5AE4" w:rsidRDefault="000F5AE4">
      <w:pPr>
        <w:pStyle w:val="TOC3"/>
        <w:tabs>
          <w:tab w:val="left" w:pos="960"/>
          <w:tab w:val="right" w:leader="dot" w:pos="9350"/>
        </w:tabs>
        <w:rPr>
          <w:rFonts w:asciiTheme="minorHAnsi" w:eastAsiaTheme="minorEastAsia" w:hAnsiTheme="minorHAnsi" w:cstheme="minorBidi"/>
          <w:noProof/>
          <w:kern w:val="2"/>
          <w14:ligatures w14:val="standardContextual"/>
        </w:rPr>
      </w:pPr>
      <w:r w:rsidRPr="003C31C8">
        <w:rPr>
          <w:noProof/>
        </w:rPr>
        <w:t>(i)</w:t>
      </w:r>
      <w:r>
        <w:rPr>
          <w:rFonts w:asciiTheme="minorHAnsi" w:eastAsiaTheme="minorEastAsia" w:hAnsiTheme="minorHAnsi" w:cstheme="minorBidi"/>
          <w:noProof/>
          <w:kern w:val="2"/>
          <w14:ligatures w14:val="standardContextual"/>
        </w:rPr>
        <w:tab/>
      </w:r>
      <w:r w:rsidRPr="003C31C8">
        <w:rPr>
          <w:noProof/>
        </w:rPr>
        <w:t>CHL’s Ongoing Regulatory Compliance in North Bay</w:t>
      </w:r>
      <w:r>
        <w:rPr>
          <w:noProof/>
        </w:rPr>
        <w:tab/>
      </w:r>
      <w:r>
        <w:rPr>
          <w:noProof/>
        </w:rPr>
        <w:fldChar w:fldCharType="begin"/>
      </w:r>
      <w:r>
        <w:rPr>
          <w:noProof/>
        </w:rPr>
        <w:instrText xml:space="preserve"> PAGEREF _Toc220075814 \h </w:instrText>
      </w:r>
      <w:r>
        <w:rPr>
          <w:noProof/>
        </w:rPr>
      </w:r>
      <w:r>
        <w:rPr>
          <w:noProof/>
        </w:rPr>
        <w:fldChar w:fldCharType="separate"/>
      </w:r>
      <w:r w:rsidR="00D60DF6">
        <w:rPr>
          <w:noProof/>
        </w:rPr>
        <w:t>2</w:t>
      </w:r>
      <w:r>
        <w:rPr>
          <w:noProof/>
        </w:rPr>
        <w:fldChar w:fldCharType="end"/>
      </w:r>
    </w:p>
    <w:p w14:paraId="5A28DC2F" w14:textId="5B432A79" w:rsidR="000F5AE4" w:rsidRDefault="000F5AE4">
      <w:pPr>
        <w:pStyle w:val="TOC3"/>
        <w:tabs>
          <w:tab w:val="left" w:pos="1200"/>
          <w:tab w:val="right" w:leader="dot" w:pos="9350"/>
        </w:tabs>
        <w:rPr>
          <w:rFonts w:asciiTheme="minorHAnsi" w:eastAsiaTheme="minorEastAsia" w:hAnsiTheme="minorHAnsi" w:cstheme="minorBidi"/>
          <w:noProof/>
          <w:kern w:val="2"/>
          <w14:ligatures w14:val="standardContextual"/>
        </w:rPr>
      </w:pPr>
      <w:r w:rsidRPr="003C31C8">
        <w:rPr>
          <w:noProof/>
        </w:rPr>
        <w:t>(ii)</w:t>
      </w:r>
      <w:r>
        <w:rPr>
          <w:rFonts w:asciiTheme="minorHAnsi" w:eastAsiaTheme="minorEastAsia" w:hAnsiTheme="minorHAnsi" w:cstheme="minorBidi"/>
          <w:noProof/>
          <w:kern w:val="2"/>
          <w14:ligatures w14:val="standardContextual"/>
        </w:rPr>
        <w:tab/>
      </w:r>
      <w:r w:rsidRPr="003C31C8">
        <w:rPr>
          <w:noProof/>
        </w:rPr>
        <w:t>CHL’s Regulatory Approval and Grubbing</w:t>
      </w:r>
      <w:r>
        <w:rPr>
          <w:noProof/>
        </w:rPr>
        <w:tab/>
      </w:r>
      <w:r>
        <w:rPr>
          <w:noProof/>
        </w:rPr>
        <w:fldChar w:fldCharType="begin"/>
      </w:r>
      <w:r>
        <w:rPr>
          <w:noProof/>
        </w:rPr>
        <w:instrText xml:space="preserve"> PAGEREF _Toc220075815 \h </w:instrText>
      </w:r>
      <w:r>
        <w:rPr>
          <w:noProof/>
        </w:rPr>
      </w:r>
      <w:r>
        <w:rPr>
          <w:noProof/>
        </w:rPr>
        <w:fldChar w:fldCharType="separate"/>
      </w:r>
      <w:r w:rsidR="00D60DF6">
        <w:rPr>
          <w:noProof/>
        </w:rPr>
        <w:t>3</w:t>
      </w:r>
      <w:r>
        <w:rPr>
          <w:noProof/>
        </w:rPr>
        <w:fldChar w:fldCharType="end"/>
      </w:r>
    </w:p>
    <w:p w14:paraId="6C93E704" w14:textId="2280ABE1" w:rsidR="000F5AE4" w:rsidRDefault="000F5AE4">
      <w:pPr>
        <w:pStyle w:val="TOC3"/>
        <w:tabs>
          <w:tab w:val="left" w:pos="1200"/>
          <w:tab w:val="right" w:leader="dot" w:pos="9350"/>
        </w:tabs>
        <w:rPr>
          <w:rFonts w:asciiTheme="minorHAnsi" w:eastAsiaTheme="minorEastAsia" w:hAnsiTheme="minorHAnsi" w:cstheme="minorBidi"/>
          <w:noProof/>
          <w:kern w:val="2"/>
          <w14:ligatures w14:val="standardContextual"/>
        </w:rPr>
      </w:pPr>
      <w:r w:rsidRPr="003C31C8">
        <w:rPr>
          <w:noProof/>
        </w:rPr>
        <w:t>(iii)</w:t>
      </w:r>
      <w:r>
        <w:rPr>
          <w:rFonts w:asciiTheme="minorHAnsi" w:eastAsiaTheme="minorEastAsia" w:hAnsiTheme="minorHAnsi" w:cstheme="minorBidi"/>
          <w:noProof/>
          <w:kern w:val="2"/>
          <w14:ligatures w14:val="standardContextual"/>
        </w:rPr>
        <w:tab/>
      </w:r>
      <w:r w:rsidRPr="003C31C8">
        <w:rPr>
          <w:noProof/>
        </w:rPr>
        <w:t>The Offence</w:t>
      </w:r>
      <w:r>
        <w:rPr>
          <w:noProof/>
        </w:rPr>
        <w:tab/>
      </w:r>
      <w:r>
        <w:rPr>
          <w:noProof/>
        </w:rPr>
        <w:fldChar w:fldCharType="begin"/>
      </w:r>
      <w:r>
        <w:rPr>
          <w:noProof/>
        </w:rPr>
        <w:instrText xml:space="preserve"> PAGEREF _Toc220075816 \h </w:instrText>
      </w:r>
      <w:r>
        <w:rPr>
          <w:noProof/>
        </w:rPr>
      </w:r>
      <w:r>
        <w:rPr>
          <w:noProof/>
        </w:rPr>
        <w:fldChar w:fldCharType="separate"/>
      </w:r>
      <w:r w:rsidR="00D60DF6">
        <w:rPr>
          <w:noProof/>
        </w:rPr>
        <w:t>4</w:t>
      </w:r>
      <w:r>
        <w:rPr>
          <w:noProof/>
        </w:rPr>
        <w:fldChar w:fldCharType="end"/>
      </w:r>
    </w:p>
    <w:p w14:paraId="01126C88" w14:textId="0A750202" w:rsidR="000F5AE4" w:rsidRDefault="000F5AE4">
      <w:pPr>
        <w:pStyle w:val="TOC3"/>
        <w:tabs>
          <w:tab w:val="left" w:pos="1200"/>
          <w:tab w:val="right" w:leader="dot" w:pos="9350"/>
        </w:tabs>
        <w:rPr>
          <w:rFonts w:asciiTheme="minorHAnsi" w:eastAsiaTheme="minorEastAsia" w:hAnsiTheme="minorHAnsi" w:cstheme="minorBidi"/>
          <w:noProof/>
          <w:kern w:val="2"/>
          <w14:ligatures w14:val="standardContextual"/>
        </w:rPr>
      </w:pPr>
      <w:r w:rsidRPr="003C31C8">
        <w:rPr>
          <w:noProof/>
        </w:rPr>
        <w:t>(iv)</w:t>
      </w:r>
      <w:r>
        <w:rPr>
          <w:rFonts w:asciiTheme="minorHAnsi" w:eastAsiaTheme="minorEastAsia" w:hAnsiTheme="minorHAnsi" w:cstheme="minorBidi"/>
          <w:noProof/>
          <w:kern w:val="2"/>
          <w14:ligatures w14:val="standardContextual"/>
        </w:rPr>
        <w:tab/>
      </w:r>
      <w:r w:rsidRPr="003C31C8">
        <w:rPr>
          <w:noProof/>
        </w:rPr>
        <w:t>Evidence at Trial</w:t>
      </w:r>
      <w:r>
        <w:rPr>
          <w:noProof/>
        </w:rPr>
        <w:tab/>
      </w:r>
      <w:r>
        <w:rPr>
          <w:noProof/>
        </w:rPr>
        <w:fldChar w:fldCharType="begin"/>
      </w:r>
      <w:r>
        <w:rPr>
          <w:noProof/>
        </w:rPr>
        <w:instrText xml:space="preserve"> PAGEREF _Toc220075817 \h </w:instrText>
      </w:r>
      <w:r>
        <w:rPr>
          <w:noProof/>
        </w:rPr>
      </w:r>
      <w:r>
        <w:rPr>
          <w:noProof/>
        </w:rPr>
        <w:fldChar w:fldCharType="separate"/>
      </w:r>
      <w:r w:rsidR="00D60DF6">
        <w:rPr>
          <w:noProof/>
        </w:rPr>
        <w:t>4</w:t>
      </w:r>
      <w:r>
        <w:rPr>
          <w:noProof/>
        </w:rPr>
        <w:fldChar w:fldCharType="end"/>
      </w:r>
    </w:p>
    <w:p w14:paraId="3ADA5C6C" w14:textId="7317CF35" w:rsidR="000F5AE4" w:rsidRDefault="000F5AE4">
      <w:pPr>
        <w:pStyle w:val="TOC3"/>
        <w:tabs>
          <w:tab w:val="left" w:pos="1200"/>
          <w:tab w:val="right" w:leader="dot" w:pos="9350"/>
        </w:tabs>
        <w:rPr>
          <w:rFonts w:asciiTheme="minorHAnsi" w:eastAsiaTheme="minorEastAsia" w:hAnsiTheme="minorHAnsi" w:cstheme="minorBidi"/>
          <w:noProof/>
          <w:kern w:val="2"/>
          <w14:ligatures w14:val="standardContextual"/>
        </w:rPr>
      </w:pPr>
      <w:r w:rsidRPr="003C31C8">
        <w:rPr>
          <w:noProof/>
        </w:rPr>
        <w:t>(v)</w:t>
      </w:r>
      <w:r>
        <w:rPr>
          <w:rFonts w:asciiTheme="minorHAnsi" w:eastAsiaTheme="minorEastAsia" w:hAnsiTheme="minorHAnsi" w:cstheme="minorBidi"/>
          <w:noProof/>
          <w:kern w:val="2"/>
          <w14:ligatures w14:val="standardContextual"/>
        </w:rPr>
        <w:tab/>
      </w:r>
      <w:r w:rsidRPr="003C31C8">
        <w:rPr>
          <w:i/>
          <w:iCs/>
          <w:noProof/>
        </w:rPr>
        <w:t>ESA</w:t>
      </w:r>
      <w:r w:rsidRPr="003C31C8">
        <w:rPr>
          <w:noProof/>
        </w:rPr>
        <w:t xml:space="preserve"> Amendments to Definition of “Habitat”</w:t>
      </w:r>
      <w:r>
        <w:rPr>
          <w:noProof/>
        </w:rPr>
        <w:tab/>
      </w:r>
      <w:r>
        <w:rPr>
          <w:noProof/>
        </w:rPr>
        <w:fldChar w:fldCharType="begin"/>
      </w:r>
      <w:r>
        <w:rPr>
          <w:noProof/>
        </w:rPr>
        <w:instrText xml:space="preserve"> PAGEREF _Toc220075818 \h </w:instrText>
      </w:r>
      <w:r>
        <w:rPr>
          <w:noProof/>
        </w:rPr>
      </w:r>
      <w:r>
        <w:rPr>
          <w:noProof/>
        </w:rPr>
        <w:fldChar w:fldCharType="separate"/>
      </w:r>
      <w:r w:rsidR="00D60DF6">
        <w:rPr>
          <w:noProof/>
        </w:rPr>
        <w:t>6</w:t>
      </w:r>
      <w:r>
        <w:rPr>
          <w:noProof/>
        </w:rPr>
        <w:fldChar w:fldCharType="end"/>
      </w:r>
    </w:p>
    <w:p w14:paraId="66186BDB" w14:textId="6D49ED99" w:rsidR="000F5AE4" w:rsidRDefault="000F5AE4">
      <w:pPr>
        <w:pStyle w:val="TOC2"/>
        <w:tabs>
          <w:tab w:val="left" w:pos="720"/>
          <w:tab w:val="right" w:leader="dot" w:pos="9350"/>
        </w:tabs>
        <w:rPr>
          <w:rFonts w:asciiTheme="minorHAnsi" w:eastAsiaTheme="minorEastAsia" w:hAnsiTheme="minorHAnsi" w:cstheme="minorBidi"/>
          <w:noProof/>
          <w:kern w:val="2"/>
          <w14:ligatures w14:val="standardContextual"/>
        </w:rPr>
      </w:pPr>
      <w:r w:rsidRPr="003C31C8">
        <w:rPr>
          <w:noProof/>
        </w:rPr>
        <w:t>C.</w:t>
      </w:r>
      <w:r>
        <w:rPr>
          <w:rFonts w:asciiTheme="minorHAnsi" w:eastAsiaTheme="minorEastAsia" w:hAnsiTheme="minorHAnsi" w:cstheme="minorBidi"/>
          <w:noProof/>
          <w:kern w:val="2"/>
          <w14:ligatures w14:val="standardContextual"/>
        </w:rPr>
        <w:tab/>
      </w:r>
      <w:r w:rsidRPr="003C31C8">
        <w:rPr>
          <w:noProof/>
        </w:rPr>
        <w:t>Respondent’s Position with Respect to the Appellant’s Statement of Facts</w:t>
      </w:r>
      <w:r>
        <w:rPr>
          <w:noProof/>
        </w:rPr>
        <w:tab/>
      </w:r>
      <w:r>
        <w:rPr>
          <w:noProof/>
        </w:rPr>
        <w:fldChar w:fldCharType="begin"/>
      </w:r>
      <w:r>
        <w:rPr>
          <w:noProof/>
        </w:rPr>
        <w:instrText xml:space="preserve"> PAGEREF _Toc220075819 \h </w:instrText>
      </w:r>
      <w:r>
        <w:rPr>
          <w:noProof/>
        </w:rPr>
      </w:r>
      <w:r>
        <w:rPr>
          <w:noProof/>
        </w:rPr>
        <w:fldChar w:fldCharType="separate"/>
      </w:r>
      <w:r w:rsidR="00D60DF6">
        <w:rPr>
          <w:noProof/>
        </w:rPr>
        <w:t>6</w:t>
      </w:r>
      <w:r>
        <w:rPr>
          <w:noProof/>
        </w:rPr>
        <w:fldChar w:fldCharType="end"/>
      </w:r>
    </w:p>
    <w:p w14:paraId="51EEA6F2" w14:textId="02F41890" w:rsidR="000F5AE4" w:rsidRDefault="000F5AE4">
      <w:pPr>
        <w:pStyle w:val="TOC3"/>
        <w:tabs>
          <w:tab w:val="left" w:pos="960"/>
          <w:tab w:val="right" w:leader="dot" w:pos="9350"/>
        </w:tabs>
        <w:rPr>
          <w:rFonts w:asciiTheme="minorHAnsi" w:eastAsiaTheme="minorEastAsia" w:hAnsiTheme="minorHAnsi" w:cstheme="minorBidi"/>
          <w:noProof/>
          <w:kern w:val="2"/>
          <w14:ligatures w14:val="standardContextual"/>
        </w:rPr>
      </w:pPr>
      <w:r w:rsidRPr="003C31C8">
        <w:rPr>
          <w:noProof/>
        </w:rPr>
        <w:t>(i)</w:t>
      </w:r>
      <w:r>
        <w:rPr>
          <w:rFonts w:asciiTheme="minorHAnsi" w:eastAsiaTheme="minorEastAsia" w:hAnsiTheme="minorHAnsi" w:cstheme="minorBidi"/>
          <w:noProof/>
          <w:kern w:val="2"/>
          <w14:ligatures w14:val="standardContextual"/>
        </w:rPr>
        <w:tab/>
      </w:r>
      <w:r w:rsidRPr="003C31C8">
        <w:rPr>
          <w:noProof/>
        </w:rPr>
        <w:t>Alleged Development Planning (2010)</w:t>
      </w:r>
      <w:r>
        <w:rPr>
          <w:noProof/>
        </w:rPr>
        <w:tab/>
      </w:r>
      <w:r>
        <w:rPr>
          <w:noProof/>
        </w:rPr>
        <w:fldChar w:fldCharType="begin"/>
      </w:r>
      <w:r>
        <w:rPr>
          <w:noProof/>
        </w:rPr>
        <w:instrText xml:space="preserve"> PAGEREF _Toc220075820 \h </w:instrText>
      </w:r>
      <w:r>
        <w:rPr>
          <w:noProof/>
        </w:rPr>
      </w:r>
      <w:r>
        <w:rPr>
          <w:noProof/>
        </w:rPr>
        <w:fldChar w:fldCharType="separate"/>
      </w:r>
      <w:r w:rsidR="00D60DF6">
        <w:rPr>
          <w:noProof/>
        </w:rPr>
        <w:t>6</w:t>
      </w:r>
      <w:r>
        <w:rPr>
          <w:noProof/>
        </w:rPr>
        <w:fldChar w:fldCharType="end"/>
      </w:r>
    </w:p>
    <w:p w14:paraId="4B876B74" w14:textId="7C9BD926" w:rsidR="000F5AE4" w:rsidRDefault="000F5AE4">
      <w:pPr>
        <w:pStyle w:val="TOC3"/>
        <w:tabs>
          <w:tab w:val="left" w:pos="1200"/>
          <w:tab w:val="right" w:leader="dot" w:pos="9350"/>
        </w:tabs>
        <w:rPr>
          <w:rFonts w:asciiTheme="minorHAnsi" w:eastAsiaTheme="minorEastAsia" w:hAnsiTheme="minorHAnsi" w:cstheme="minorBidi"/>
          <w:noProof/>
          <w:kern w:val="2"/>
          <w14:ligatures w14:val="standardContextual"/>
        </w:rPr>
      </w:pPr>
      <w:r w:rsidRPr="003C31C8">
        <w:rPr>
          <w:noProof/>
        </w:rPr>
        <w:t>(ii)</w:t>
      </w:r>
      <w:r>
        <w:rPr>
          <w:rFonts w:asciiTheme="minorHAnsi" w:eastAsiaTheme="minorEastAsia" w:hAnsiTheme="minorHAnsi" w:cstheme="minorBidi"/>
          <w:noProof/>
          <w:kern w:val="2"/>
          <w14:ligatures w14:val="standardContextual"/>
        </w:rPr>
        <w:tab/>
      </w:r>
      <w:r w:rsidRPr="003C31C8">
        <w:rPr>
          <w:noProof/>
        </w:rPr>
        <w:t>The 2017 Stop Work Letter</w:t>
      </w:r>
      <w:r>
        <w:rPr>
          <w:noProof/>
        </w:rPr>
        <w:tab/>
      </w:r>
      <w:r>
        <w:rPr>
          <w:noProof/>
        </w:rPr>
        <w:fldChar w:fldCharType="begin"/>
      </w:r>
      <w:r>
        <w:rPr>
          <w:noProof/>
        </w:rPr>
        <w:instrText xml:space="preserve"> PAGEREF _Toc220075821 \h </w:instrText>
      </w:r>
      <w:r>
        <w:rPr>
          <w:noProof/>
        </w:rPr>
      </w:r>
      <w:r>
        <w:rPr>
          <w:noProof/>
        </w:rPr>
        <w:fldChar w:fldCharType="separate"/>
      </w:r>
      <w:r w:rsidR="00D60DF6">
        <w:rPr>
          <w:noProof/>
        </w:rPr>
        <w:t>6</w:t>
      </w:r>
      <w:r>
        <w:rPr>
          <w:noProof/>
        </w:rPr>
        <w:fldChar w:fldCharType="end"/>
      </w:r>
    </w:p>
    <w:p w14:paraId="25321D4E" w14:textId="02E4B457" w:rsidR="000F5AE4" w:rsidRDefault="000F5AE4">
      <w:pPr>
        <w:pStyle w:val="TOC3"/>
        <w:tabs>
          <w:tab w:val="left" w:pos="1200"/>
          <w:tab w:val="right" w:leader="dot" w:pos="9350"/>
        </w:tabs>
        <w:rPr>
          <w:rFonts w:asciiTheme="minorHAnsi" w:eastAsiaTheme="minorEastAsia" w:hAnsiTheme="minorHAnsi" w:cstheme="minorBidi"/>
          <w:noProof/>
          <w:kern w:val="2"/>
          <w14:ligatures w14:val="standardContextual"/>
        </w:rPr>
      </w:pPr>
      <w:r w:rsidRPr="003C31C8">
        <w:rPr>
          <w:noProof/>
        </w:rPr>
        <w:t>(iii)</w:t>
      </w:r>
      <w:r>
        <w:rPr>
          <w:rFonts w:asciiTheme="minorHAnsi" w:eastAsiaTheme="minorEastAsia" w:hAnsiTheme="minorHAnsi" w:cstheme="minorBidi"/>
          <w:noProof/>
          <w:kern w:val="2"/>
          <w14:ligatures w14:val="standardContextual"/>
        </w:rPr>
        <w:tab/>
      </w:r>
      <w:r w:rsidRPr="003C31C8">
        <w:rPr>
          <w:noProof/>
        </w:rPr>
        <w:t>Omission of Obtaining the 2018 DIA Permit</w:t>
      </w:r>
      <w:r>
        <w:rPr>
          <w:noProof/>
        </w:rPr>
        <w:tab/>
      </w:r>
      <w:r>
        <w:rPr>
          <w:noProof/>
        </w:rPr>
        <w:fldChar w:fldCharType="begin"/>
      </w:r>
      <w:r>
        <w:rPr>
          <w:noProof/>
        </w:rPr>
        <w:instrText xml:space="preserve"> PAGEREF _Toc220075822 \h </w:instrText>
      </w:r>
      <w:r>
        <w:rPr>
          <w:noProof/>
        </w:rPr>
      </w:r>
      <w:r>
        <w:rPr>
          <w:noProof/>
        </w:rPr>
        <w:fldChar w:fldCharType="separate"/>
      </w:r>
      <w:r w:rsidR="00D60DF6">
        <w:rPr>
          <w:noProof/>
        </w:rPr>
        <w:t>7</w:t>
      </w:r>
      <w:r>
        <w:rPr>
          <w:noProof/>
        </w:rPr>
        <w:fldChar w:fldCharType="end"/>
      </w:r>
    </w:p>
    <w:p w14:paraId="0E9AFCDA" w14:textId="31099E7F" w:rsidR="000F5AE4" w:rsidRDefault="000F5AE4">
      <w:pPr>
        <w:pStyle w:val="TOC1"/>
        <w:rPr>
          <w:rFonts w:asciiTheme="minorHAnsi" w:eastAsiaTheme="minorEastAsia" w:hAnsiTheme="minorHAnsi" w:cstheme="minorBidi"/>
          <w:noProof/>
          <w:kern w:val="2"/>
          <w14:ligatures w14:val="standardContextual"/>
        </w:rPr>
      </w:pPr>
      <w:r w:rsidRPr="003C31C8">
        <w:rPr>
          <w:noProof/>
        </w:rPr>
        <w:t>PART II -- THE RESPONDENT’S POSITION WITH RESPECT TO THE APPELLANTS’ QUESTIONS IN ISSUE</w:t>
      </w:r>
      <w:r>
        <w:rPr>
          <w:noProof/>
        </w:rPr>
        <w:tab/>
      </w:r>
      <w:r>
        <w:rPr>
          <w:noProof/>
        </w:rPr>
        <w:fldChar w:fldCharType="begin"/>
      </w:r>
      <w:r>
        <w:rPr>
          <w:noProof/>
        </w:rPr>
        <w:instrText xml:space="preserve"> PAGEREF _Toc220075823 \h </w:instrText>
      </w:r>
      <w:r>
        <w:rPr>
          <w:noProof/>
        </w:rPr>
      </w:r>
      <w:r>
        <w:rPr>
          <w:noProof/>
        </w:rPr>
        <w:fldChar w:fldCharType="separate"/>
      </w:r>
      <w:r w:rsidR="00D60DF6">
        <w:rPr>
          <w:noProof/>
        </w:rPr>
        <w:t>7</w:t>
      </w:r>
      <w:r>
        <w:rPr>
          <w:noProof/>
        </w:rPr>
        <w:fldChar w:fldCharType="end"/>
      </w:r>
    </w:p>
    <w:p w14:paraId="6AE2DD8E" w14:textId="2CE758ED" w:rsidR="000F5AE4" w:rsidRDefault="000F5AE4">
      <w:pPr>
        <w:pStyle w:val="TOC1"/>
        <w:rPr>
          <w:rFonts w:asciiTheme="minorHAnsi" w:eastAsiaTheme="minorEastAsia" w:hAnsiTheme="minorHAnsi" w:cstheme="minorBidi"/>
          <w:noProof/>
          <w:kern w:val="2"/>
          <w14:ligatures w14:val="standardContextual"/>
        </w:rPr>
      </w:pPr>
      <w:r w:rsidRPr="003C31C8">
        <w:rPr>
          <w:noProof/>
        </w:rPr>
        <w:t>PART III -- ARGUMENT</w:t>
      </w:r>
      <w:r>
        <w:rPr>
          <w:noProof/>
        </w:rPr>
        <w:tab/>
      </w:r>
      <w:r>
        <w:rPr>
          <w:noProof/>
        </w:rPr>
        <w:fldChar w:fldCharType="begin"/>
      </w:r>
      <w:r>
        <w:rPr>
          <w:noProof/>
        </w:rPr>
        <w:instrText xml:space="preserve"> PAGEREF _Toc220075824 \h </w:instrText>
      </w:r>
      <w:r>
        <w:rPr>
          <w:noProof/>
        </w:rPr>
      </w:r>
      <w:r>
        <w:rPr>
          <w:noProof/>
        </w:rPr>
        <w:fldChar w:fldCharType="separate"/>
      </w:r>
      <w:r w:rsidR="00D60DF6">
        <w:rPr>
          <w:noProof/>
        </w:rPr>
        <w:t>7</w:t>
      </w:r>
      <w:r>
        <w:rPr>
          <w:noProof/>
        </w:rPr>
        <w:fldChar w:fldCharType="end"/>
      </w:r>
    </w:p>
    <w:p w14:paraId="1C5A90CA" w14:textId="5C4CCAF7" w:rsidR="000F5AE4" w:rsidRDefault="000F5AE4">
      <w:pPr>
        <w:pStyle w:val="TOC2"/>
        <w:tabs>
          <w:tab w:val="left" w:pos="720"/>
          <w:tab w:val="right" w:leader="dot" w:pos="9350"/>
        </w:tabs>
        <w:rPr>
          <w:rFonts w:asciiTheme="minorHAnsi" w:eastAsiaTheme="minorEastAsia" w:hAnsiTheme="minorHAnsi" w:cstheme="minorBidi"/>
          <w:noProof/>
          <w:kern w:val="2"/>
          <w14:ligatures w14:val="standardContextual"/>
        </w:rPr>
      </w:pPr>
      <w:r w:rsidRPr="003C31C8">
        <w:rPr>
          <w:noProof/>
        </w:rPr>
        <w:t>A.</w:t>
      </w:r>
      <w:r>
        <w:rPr>
          <w:rFonts w:asciiTheme="minorHAnsi" w:eastAsiaTheme="minorEastAsia" w:hAnsiTheme="minorHAnsi" w:cstheme="minorBidi"/>
          <w:noProof/>
          <w:kern w:val="2"/>
          <w14:ligatures w14:val="standardContextual"/>
        </w:rPr>
        <w:tab/>
      </w:r>
      <w:r w:rsidRPr="003C31C8">
        <w:rPr>
          <w:noProof/>
        </w:rPr>
        <w:t>The Standard of Review is Correctness</w:t>
      </w:r>
      <w:r>
        <w:rPr>
          <w:noProof/>
        </w:rPr>
        <w:tab/>
      </w:r>
      <w:r>
        <w:rPr>
          <w:noProof/>
        </w:rPr>
        <w:fldChar w:fldCharType="begin"/>
      </w:r>
      <w:r>
        <w:rPr>
          <w:noProof/>
        </w:rPr>
        <w:instrText xml:space="preserve"> PAGEREF _Toc220075825 \h </w:instrText>
      </w:r>
      <w:r>
        <w:rPr>
          <w:noProof/>
        </w:rPr>
      </w:r>
      <w:r>
        <w:rPr>
          <w:noProof/>
        </w:rPr>
        <w:fldChar w:fldCharType="separate"/>
      </w:r>
      <w:r w:rsidR="00D60DF6">
        <w:rPr>
          <w:noProof/>
        </w:rPr>
        <w:t>7</w:t>
      </w:r>
      <w:r>
        <w:rPr>
          <w:noProof/>
        </w:rPr>
        <w:fldChar w:fldCharType="end"/>
      </w:r>
    </w:p>
    <w:p w14:paraId="59716721" w14:textId="45493561" w:rsidR="000F5AE4" w:rsidRDefault="000F5AE4">
      <w:pPr>
        <w:pStyle w:val="TOC2"/>
        <w:tabs>
          <w:tab w:val="left" w:pos="720"/>
          <w:tab w:val="right" w:leader="dot" w:pos="9350"/>
        </w:tabs>
        <w:rPr>
          <w:rFonts w:asciiTheme="minorHAnsi" w:eastAsiaTheme="minorEastAsia" w:hAnsiTheme="minorHAnsi" w:cstheme="minorBidi"/>
          <w:noProof/>
          <w:kern w:val="2"/>
          <w14:ligatures w14:val="standardContextual"/>
        </w:rPr>
      </w:pPr>
      <w:r w:rsidRPr="003C31C8">
        <w:rPr>
          <w:noProof/>
        </w:rPr>
        <w:t>B.</w:t>
      </w:r>
      <w:r>
        <w:rPr>
          <w:rFonts w:asciiTheme="minorHAnsi" w:eastAsiaTheme="minorEastAsia" w:hAnsiTheme="minorHAnsi" w:cstheme="minorBidi"/>
          <w:noProof/>
          <w:kern w:val="2"/>
          <w14:ligatures w14:val="standardContextual"/>
        </w:rPr>
        <w:tab/>
      </w:r>
      <w:r w:rsidRPr="003C31C8">
        <w:rPr>
          <w:noProof/>
        </w:rPr>
        <w:t>Issue One: The OCJ Did Not Err in its Treatment of the Sightings Outside the Offence Window</w:t>
      </w:r>
      <w:r>
        <w:rPr>
          <w:noProof/>
        </w:rPr>
        <w:tab/>
      </w:r>
      <w:r>
        <w:rPr>
          <w:noProof/>
        </w:rPr>
        <w:fldChar w:fldCharType="begin"/>
      </w:r>
      <w:r>
        <w:rPr>
          <w:noProof/>
        </w:rPr>
        <w:instrText xml:space="preserve"> PAGEREF _Toc220075826 \h </w:instrText>
      </w:r>
      <w:r>
        <w:rPr>
          <w:noProof/>
        </w:rPr>
      </w:r>
      <w:r>
        <w:rPr>
          <w:noProof/>
        </w:rPr>
        <w:fldChar w:fldCharType="separate"/>
      </w:r>
      <w:r w:rsidR="00D60DF6">
        <w:rPr>
          <w:noProof/>
        </w:rPr>
        <w:t>8</w:t>
      </w:r>
      <w:r>
        <w:rPr>
          <w:noProof/>
        </w:rPr>
        <w:fldChar w:fldCharType="end"/>
      </w:r>
    </w:p>
    <w:p w14:paraId="6E8E3D58" w14:textId="0313DC26" w:rsidR="000F5AE4" w:rsidRDefault="000F5AE4">
      <w:pPr>
        <w:pStyle w:val="TOC3"/>
        <w:tabs>
          <w:tab w:val="left" w:pos="960"/>
          <w:tab w:val="right" w:leader="dot" w:pos="9350"/>
        </w:tabs>
        <w:rPr>
          <w:rFonts w:asciiTheme="minorHAnsi" w:eastAsiaTheme="minorEastAsia" w:hAnsiTheme="minorHAnsi" w:cstheme="minorBidi"/>
          <w:noProof/>
          <w:kern w:val="2"/>
          <w14:ligatures w14:val="standardContextual"/>
        </w:rPr>
      </w:pPr>
      <w:r w:rsidRPr="003C31C8">
        <w:rPr>
          <w:noProof/>
        </w:rPr>
        <w:t>(i)</w:t>
      </w:r>
      <w:r>
        <w:rPr>
          <w:rFonts w:asciiTheme="minorHAnsi" w:eastAsiaTheme="minorEastAsia" w:hAnsiTheme="minorHAnsi" w:cstheme="minorBidi"/>
          <w:noProof/>
          <w:kern w:val="2"/>
          <w14:ligatures w14:val="standardContextual"/>
        </w:rPr>
        <w:tab/>
      </w:r>
      <w:r w:rsidRPr="003C31C8">
        <w:rPr>
          <w:noProof/>
        </w:rPr>
        <w:t>The Test for Overturning a Conviction is a Question of Law</w:t>
      </w:r>
      <w:r>
        <w:rPr>
          <w:noProof/>
        </w:rPr>
        <w:tab/>
      </w:r>
      <w:r>
        <w:rPr>
          <w:noProof/>
        </w:rPr>
        <w:fldChar w:fldCharType="begin"/>
      </w:r>
      <w:r>
        <w:rPr>
          <w:noProof/>
        </w:rPr>
        <w:instrText xml:space="preserve"> PAGEREF _Toc220075827 \h </w:instrText>
      </w:r>
      <w:r>
        <w:rPr>
          <w:noProof/>
        </w:rPr>
      </w:r>
      <w:r>
        <w:rPr>
          <w:noProof/>
        </w:rPr>
        <w:fldChar w:fldCharType="separate"/>
      </w:r>
      <w:r w:rsidR="00D60DF6">
        <w:rPr>
          <w:noProof/>
        </w:rPr>
        <w:t>8</w:t>
      </w:r>
      <w:r>
        <w:rPr>
          <w:noProof/>
        </w:rPr>
        <w:fldChar w:fldCharType="end"/>
      </w:r>
    </w:p>
    <w:p w14:paraId="61D4496F" w14:textId="61F65DC8" w:rsidR="000F5AE4" w:rsidRDefault="000F5AE4">
      <w:pPr>
        <w:pStyle w:val="TOC3"/>
        <w:tabs>
          <w:tab w:val="left" w:pos="1200"/>
          <w:tab w:val="right" w:leader="dot" w:pos="9350"/>
        </w:tabs>
        <w:rPr>
          <w:rFonts w:asciiTheme="minorHAnsi" w:eastAsiaTheme="minorEastAsia" w:hAnsiTheme="minorHAnsi" w:cstheme="minorBidi"/>
          <w:noProof/>
          <w:kern w:val="2"/>
          <w14:ligatures w14:val="standardContextual"/>
        </w:rPr>
      </w:pPr>
      <w:r w:rsidRPr="003C31C8">
        <w:rPr>
          <w:noProof/>
        </w:rPr>
        <w:t>(ii)</w:t>
      </w:r>
      <w:r>
        <w:rPr>
          <w:rFonts w:asciiTheme="minorHAnsi" w:eastAsiaTheme="minorEastAsia" w:hAnsiTheme="minorHAnsi" w:cstheme="minorBidi"/>
          <w:noProof/>
          <w:kern w:val="2"/>
          <w14:ligatures w14:val="standardContextual"/>
        </w:rPr>
        <w:tab/>
      </w:r>
      <w:r w:rsidRPr="003C31C8">
        <w:rPr>
          <w:noProof/>
        </w:rPr>
        <w:t>The Trial Justice Made Unreasonable Inferences About the Sightings</w:t>
      </w:r>
      <w:r>
        <w:rPr>
          <w:noProof/>
        </w:rPr>
        <w:tab/>
      </w:r>
      <w:r>
        <w:rPr>
          <w:noProof/>
        </w:rPr>
        <w:fldChar w:fldCharType="begin"/>
      </w:r>
      <w:r>
        <w:rPr>
          <w:noProof/>
        </w:rPr>
        <w:instrText xml:space="preserve"> PAGEREF _Toc220075828 \h </w:instrText>
      </w:r>
      <w:r>
        <w:rPr>
          <w:noProof/>
        </w:rPr>
      </w:r>
      <w:r>
        <w:rPr>
          <w:noProof/>
        </w:rPr>
        <w:fldChar w:fldCharType="separate"/>
      </w:r>
      <w:r w:rsidR="00D60DF6">
        <w:rPr>
          <w:noProof/>
        </w:rPr>
        <w:t>10</w:t>
      </w:r>
      <w:r>
        <w:rPr>
          <w:noProof/>
        </w:rPr>
        <w:fldChar w:fldCharType="end"/>
      </w:r>
    </w:p>
    <w:p w14:paraId="281219E4" w14:textId="04E3C976" w:rsidR="000F5AE4" w:rsidRDefault="000F5AE4">
      <w:pPr>
        <w:pStyle w:val="TOC2"/>
        <w:tabs>
          <w:tab w:val="left" w:pos="720"/>
          <w:tab w:val="right" w:leader="dot" w:pos="9350"/>
        </w:tabs>
        <w:rPr>
          <w:rFonts w:asciiTheme="minorHAnsi" w:eastAsiaTheme="minorEastAsia" w:hAnsiTheme="minorHAnsi" w:cstheme="minorBidi"/>
          <w:noProof/>
          <w:kern w:val="2"/>
          <w14:ligatures w14:val="standardContextual"/>
        </w:rPr>
      </w:pPr>
      <w:r w:rsidRPr="003C31C8">
        <w:rPr>
          <w:noProof/>
        </w:rPr>
        <w:t>C.</w:t>
      </w:r>
      <w:r>
        <w:rPr>
          <w:rFonts w:asciiTheme="minorHAnsi" w:eastAsiaTheme="minorEastAsia" w:hAnsiTheme="minorHAnsi" w:cstheme="minorBidi"/>
          <w:noProof/>
          <w:kern w:val="2"/>
          <w14:ligatures w14:val="standardContextual"/>
        </w:rPr>
        <w:tab/>
      </w:r>
      <w:r w:rsidRPr="003C31C8">
        <w:rPr>
          <w:noProof/>
        </w:rPr>
        <w:t>Issue Two: The OCJ Correctly Found the Trial Justice Erred in Relying on the GHD</w:t>
      </w:r>
      <w:r>
        <w:rPr>
          <w:noProof/>
        </w:rPr>
        <w:tab/>
      </w:r>
      <w:r>
        <w:rPr>
          <w:noProof/>
        </w:rPr>
        <w:fldChar w:fldCharType="begin"/>
      </w:r>
      <w:r>
        <w:rPr>
          <w:noProof/>
        </w:rPr>
        <w:instrText xml:space="preserve"> PAGEREF _Toc220075829 \h </w:instrText>
      </w:r>
      <w:r>
        <w:rPr>
          <w:noProof/>
        </w:rPr>
      </w:r>
      <w:r>
        <w:rPr>
          <w:noProof/>
        </w:rPr>
        <w:fldChar w:fldCharType="separate"/>
      </w:r>
      <w:r w:rsidR="00D60DF6">
        <w:rPr>
          <w:noProof/>
        </w:rPr>
        <w:t>12</w:t>
      </w:r>
      <w:r>
        <w:rPr>
          <w:noProof/>
        </w:rPr>
        <w:fldChar w:fldCharType="end"/>
      </w:r>
    </w:p>
    <w:p w14:paraId="59780F40" w14:textId="6E32EC10" w:rsidR="000F5AE4" w:rsidRDefault="000F5AE4">
      <w:pPr>
        <w:pStyle w:val="TOC3"/>
        <w:tabs>
          <w:tab w:val="left" w:pos="960"/>
          <w:tab w:val="right" w:leader="dot" w:pos="9350"/>
        </w:tabs>
        <w:rPr>
          <w:rFonts w:asciiTheme="minorHAnsi" w:eastAsiaTheme="minorEastAsia" w:hAnsiTheme="minorHAnsi" w:cstheme="minorBidi"/>
          <w:noProof/>
          <w:kern w:val="2"/>
          <w14:ligatures w14:val="standardContextual"/>
        </w:rPr>
      </w:pPr>
      <w:r w:rsidRPr="003C31C8">
        <w:rPr>
          <w:noProof/>
        </w:rPr>
        <w:t>(i)</w:t>
      </w:r>
      <w:r>
        <w:rPr>
          <w:rFonts w:asciiTheme="minorHAnsi" w:eastAsiaTheme="minorEastAsia" w:hAnsiTheme="minorHAnsi" w:cstheme="minorBidi"/>
          <w:noProof/>
          <w:kern w:val="2"/>
          <w14:ligatures w14:val="standardContextual"/>
        </w:rPr>
        <w:tab/>
      </w:r>
      <w:r w:rsidRPr="003C31C8">
        <w:rPr>
          <w:noProof/>
        </w:rPr>
        <w:t xml:space="preserve">Statutes or Regulations Must Define Penal Liability Under the </w:t>
      </w:r>
      <w:r w:rsidRPr="003C31C8">
        <w:rPr>
          <w:i/>
          <w:iCs/>
          <w:noProof/>
        </w:rPr>
        <w:t>ESA</w:t>
      </w:r>
      <w:r>
        <w:rPr>
          <w:noProof/>
        </w:rPr>
        <w:tab/>
      </w:r>
      <w:r>
        <w:rPr>
          <w:noProof/>
        </w:rPr>
        <w:fldChar w:fldCharType="begin"/>
      </w:r>
      <w:r>
        <w:rPr>
          <w:noProof/>
        </w:rPr>
        <w:instrText xml:space="preserve"> PAGEREF _Toc220075830 \h </w:instrText>
      </w:r>
      <w:r>
        <w:rPr>
          <w:noProof/>
        </w:rPr>
      </w:r>
      <w:r>
        <w:rPr>
          <w:noProof/>
        </w:rPr>
        <w:fldChar w:fldCharType="separate"/>
      </w:r>
      <w:r w:rsidR="00D60DF6">
        <w:rPr>
          <w:noProof/>
        </w:rPr>
        <w:t>12</w:t>
      </w:r>
      <w:r>
        <w:rPr>
          <w:noProof/>
        </w:rPr>
        <w:fldChar w:fldCharType="end"/>
      </w:r>
    </w:p>
    <w:p w14:paraId="6DEDF8C4" w14:textId="6B87DF32" w:rsidR="000F5AE4" w:rsidRDefault="000F5AE4">
      <w:pPr>
        <w:pStyle w:val="TOC3"/>
        <w:tabs>
          <w:tab w:val="left" w:pos="1200"/>
          <w:tab w:val="right" w:leader="dot" w:pos="9350"/>
        </w:tabs>
        <w:rPr>
          <w:rFonts w:asciiTheme="minorHAnsi" w:eastAsiaTheme="minorEastAsia" w:hAnsiTheme="minorHAnsi" w:cstheme="minorBidi"/>
          <w:noProof/>
          <w:kern w:val="2"/>
          <w14:ligatures w14:val="standardContextual"/>
        </w:rPr>
      </w:pPr>
      <w:r w:rsidRPr="003C31C8">
        <w:rPr>
          <w:noProof/>
        </w:rPr>
        <w:t>(ii)</w:t>
      </w:r>
      <w:r>
        <w:rPr>
          <w:rFonts w:asciiTheme="minorHAnsi" w:eastAsiaTheme="minorEastAsia" w:hAnsiTheme="minorHAnsi" w:cstheme="minorBidi"/>
          <w:noProof/>
          <w:kern w:val="2"/>
          <w14:ligatures w14:val="standardContextual"/>
        </w:rPr>
        <w:tab/>
      </w:r>
      <w:r w:rsidRPr="003C31C8">
        <w:rPr>
          <w:noProof/>
        </w:rPr>
        <w:t>The Trial Justice Substituted Policy Guidance for the Statutory Habitat Definition</w:t>
      </w:r>
      <w:r>
        <w:rPr>
          <w:noProof/>
        </w:rPr>
        <w:tab/>
      </w:r>
      <w:r>
        <w:rPr>
          <w:noProof/>
        </w:rPr>
        <w:fldChar w:fldCharType="begin"/>
      </w:r>
      <w:r>
        <w:rPr>
          <w:noProof/>
        </w:rPr>
        <w:instrText xml:space="preserve"> PAGEREF _Toc220075831 \h </w:instrText>
      </w:r>
      <w:r>
        <w:rPr>
          <w:noProof/>
        </w:rPr>
      </w:r>
      <w:r>
        <w:rPr>
          <w:noProof/>
        </w:rPr>
        <w:fldChar w:fldCharType="separate"/>
      </w:r>
      <w:r w:rsidR="00D60DF6">
        <w:rPr>
          <w:noProof/>
        </w:rPr>
        <w:t>14</w:t>
      </w:r>
      <w:r>
        <w:rPr>
          <w:noProof/>
        </w:rPr>
        <w:fldChar w:fldCharType="end"/>
      </w:r>
    </w:p>
    <w:p w14:paraId="5D6D7455" w14:textId="168F9324" w:rsidR="000F5AE4" w:rsidRDefault="000F5AE4">
      <w:pPr>
        <w:pStyle w:val="TOC3"/>
        <w:tabs>
          <w:tab w:val="left" w:pos="1200"/>
          <w:tab w:val="right" w:leader="dot" w:pos="9350"/>
        </w:tabs>
        <w:rPr>
          <w:rFonts w:asciiTheme="minorHAnsi" w:eastAsiaTheme="minorEastAsia" w:hAnsiTheme="minorHAnsi" w:cstheme="minorBidi"/>
          <w:noProof/>
          <w:kern w:val="2"/>
          <w14:ligatures w14:val="standardContextual"/>
        </w:rPr>
      </w:pPr>
      <w:r w:rsidRPr="003C31C8">
        <w:rPr>
          <w:noProof/>
        </w:rPr>
        <w:t>(iii)</w:t>
      </w:r>
      <w:r>
        <w:rPr>
          <w:rFonts w:asciiTheme="minorHAnsi" w:eastAsiaTheme="minorEastAsia" w:hAnsiTheme="minorHAnsi" w:cstheme="minorBidi"/>
          <w:noProof/>
          <w:kern w:val="2"/>
          <w14:ligatures w14:val="standardContextual"/>
        </w:rPr>
        <w:tab/>
      </w:r>
      <w:r w:rsidRPr="003C31C8">
        <w:rPr>
          <w:noProof/>
        </w:rPr>
        <w:t>The Appeal Judge’s Approach Preserves Environmental Expertise and Legislative Authority</w:t>
      </w:r>
      <w:r>
        <w:rPr>
          <w:noProof/>
        </w:rPr>
        <w:tab/>
      </w:r>
      <w:r>
        <w:rPr>
          <w:noProof/>
        </w:rPr>
        <w:fldChar w:fldCharType="begin"/>
      </w:r>
      <w:r>
        <w:rPr>
          <w:noProof/>
        </w:rPr>
        <w:instrText xml:space="preserve"> PAGEREF _Toc220075832 \h </w:instrText>
      </w:r>
      <w:r>
        <w:rPr>
          <w:noProof/>
        </w:rPr>
      </w:r>
      <w:r>
        <w:rPr>
          <w:noProof/>
        </w:rPr>
        <w:fldChar w:fldCharType="separate"/>
      </w:r>
      <w:r w:rsidR="00D60DF6">
        <w:rPr>
          <w:noProof/>
        </w:rPr>
        <w:t>14</w:t>
      </w:r>
      <w:r>
        <w:rPr>
          <w:noProof/>
        </w:rPr>
        <w:fldChar w:fldCharType="end"/>
      </w:r>
    </w:p>
    <w:p w14:paraId="4B14C7E8" w14:textId="078E2DD5" w:rsidR="000F5AE4" w:rsidRDefault="000F5AE4">
      <w:pPr>
        <w:pStyle w:val="TOC2"/>
        <w:tabs>
          <w:tab w:val="left" w:pos="720"/>
          <w:tab w:val="right" w:leader="dot" w:pos="9350"/>
        </w:tabs>
        <w:rPr>
          <w:rFonts w:asciiTheme="minorHAnsi" w:eastAsiaTheme="minorEastAsia" w:hAnsiTheme="minorHAnsi" w:cstheme="minorBidi"/>
          <w:noProof/>
          <w:kern w:val="2"/>
          <w14:ligatures w14:val="standardContextual"/>
        </w:rPr>
      </w:pPr>
      <w:r w:rsidRPr="003C31C8">
        <w:rPr>
          <w:noProof/>
        </w:rPr>
        <w:t>D.</w:t>
      </w:r>
      <w:r>
        <w:rPr>
          <w:rFonts w:asciiTheme="minorHAnsi" w:eastAsiaTheme="minorEastAsia" w:hAnsiTheme="minorHAnsi" w:cstheme="minorBidi"/>
          <w:noProof/>
          <w:kern w:val="2"/>
          <w14:ligatures w14:val="standardContextual"/>
        </w:rPr>
        <w:tab/>
      </w:r>
      <w:r w:rsidRPr="003C31C8">
        <w:rPr>
          <w:noProof/>
        </w:rPr>
        <w:t>Issue Three: The OCJ Did Not Err When Considering “Indirect Dependence” of Habitat</w:t>
      </w:r>
      <w:r>
        <w:rPr>
          <w:noProof/>
        </w:rPr>
        <w:tab/>
      </w:r>
      <w:r>
        <w:rPr>
          <w:noProof/>
        </w:rPr>
        <w:fldChar w:fldCharType="begin"/>
      </w:r>
      <w:r>
        <w:rPr>
          <w:noProof/>
        </w:rPr>
        <w:instrText xml:space="preserve"> PAGEREF _Toc220075833 \h </w:instrText>
      </w:r>
      <w:r>
        <w:rPr>
          <w:noProof/>
        </w:rPr>
      </w:r>
      <w:r>
        <w:rPr>
          <w:noProof/>
        </w:rPr>
        <w:fldChar w:fldCharType="separate"/>
      </w:r>
      <w:r w:rsidR="00D60DF6">
        <w:rPr>
          <w:noProof/>
        </w:rPr>
        <w:t>15</w:t>
      </w:r>
      <w:r>
        <w:rPr>
          <w:noProof/>
        </w:rPr>
        <w:fldChar w:fldCharType="end"/>
      </w:r>
    </w:p>
    <w:p w14:paraId="7745DFC0" w14:textId="1521222B" w:rsidR="000F5AE4" w:rsidRDefault="000F5AE4">
      <w:pPr>
        <w:pStyle w:val="TOC3"/>
        <w:tabs>
          <w:tab w:val="left" w:pos="960"/>
          <w:tab w:val="right" w:leader="dot" w:pos="9350"/>
        </w:tabs>
        <w:rPr>
          <w:rFonts w:asciiTheme="minorHAnsi" w:eastAsiaTheme="minorEastAsia" w:hAnsiTheme="minorHAnsi" w:cstheme="minorBidi"/>
          <w:noProof/>
          <w:kern w:val="2"/>
          <w14:ligatures w14:val="standardContextual"/>
        </w:rPr>
      </w:pPr>
      <w:r w:rsidRPr="003C31C8">
        <w:rPr>
          <w:noProof/>
        </w:rPr>
        <w:t>(i)</w:t>
      </w:r>
      <w:r>
        <w:rPr>
          <w:rFonts w:asciiTheme="minorHAnsi" w:eastAsiaTheme="minorEastAsia" w:hAnsiTheme="minorHAnsi" w:cstheme="minorBidi"/>
          <w:noProof/>
          <w:kern w:val="2"/>
          <w14:ligatures w14:val="standardContextual"/>
        </w:rPr>
        <w:tab/>
      </w:r>
      <w:r w:rsidRPr="003C31C8">
        <w:rPr>
          <w:noProof/>
        </w:rPr>
        <w:t>There are No Grounds for the SEMCC to Overturn the Appeal Judge’s Findings</w:t>
      </w:r>
      <w:r>
        <w:rPr>
          <w:noProof/>
        </w:rPr>
        <w:tab/>
      </w:r>
      <w:r>
        <w:rPr>
          <w:noProof/>
        </w:rPr>
        <w:fldChar w:fldCharType="begin"/>
      </w:r>
      <w:r>
        <w:rPr>
          <w:noProof/>
        </w:rPr>
        <w:instrText xml:space="preserve"> PAGEREF _Toc220075834 \h </w:instrText>
      </w:r>
      <w:r>
        <w:rPr>
          <w:noProof/>
        </w:rPr>
      </w:r>
      <w:r>
        <w:rPr>
          <w:noProof/>
        </w:rPr>
        <w:fldChar w:fldCharType="separate"/>
      </w:r>
      <w:r w:rsidR="00D60DF6">
        <w:rPr>
          <w:noProof/>
        </w:rPr>
        <w:t>16</w:t>
      </w:r>
      <w:r>
        <w:rPr>
          <w:noProof/>
        </w:rPr>
        <w:fldChar w:fldCharType="end"/>
      </w:r>
    </w:p>
    <w:p w14:paraId="4EA5CC19" w14:textId="378906C0" w:rsidR="000F5AE4" w:rsidRDefault="000F5AE4">
      <w:pPr>
        <w:pStyle w:val="TOC3"/>
        <w:tabs>
          <w:tab w:val="left" w:pos="1200"/>
          <w:tab w:val="right" w:leader="dot" w:pos="9350"/>
        </w:tabs>
        <w:rPr>
          <w:rFonts w:asciiTheme="minorHAnsi" w:eastAsiaTheme="minorEastAsia" w:hAnsiTheme="minorHAnsi" w:cstheme="minorBidi"/>
          <w:noProof/>
          <w:kern w:val="2"/>
          <w14:ligatures w14:val="standardContextual"/>
        </w:rPr>
      </w:pPr>
      <w:r w:rsidRPr="003C31C8">
        <w:rPr>
          <w:noProof/>
        </w:rPr>
        <w:t>(ii)</w:t>
      </w:r>
      <w:r>
        <w:rPr>
          <w:rFonts w:asciiTheme="minorHAnsi" w:eastAsiaTheme="minorEastAsia" w:hAnsiTheme="minorHAnsi" w:cstheme="minorBidi"/>
          <w:noProof/>
          <w:kern w:val="2"/>
          <w14:ligatures w14:val="standardContextual"/>
        </w:rPr>
        <w:tab/>
      </w:r>
      <w:r w:rsidRPr="003C31C8">
        <w:rPr>
          <w:noProof/>
        </w:rPr>
        <w:t>The Crown Failed to Introduce Evidence to Support Indirect Dependence</w:t>
      </w:r>
      <w:r>
        <w:rPr>
          <w:noProof/>
        </w:rPr>
        <w:tab/>
      </w:r>
      <w:r>
        <w:rPr>
          <w:noProof/>
        </w:rPr>
        <w:fldChar w:fldCharType="begin"/>
      </w:r>
      <w:r>
        <w:rPr>
          <w:noProof/>
        </w:rPr>
        <w:instrText xml:space="preserve"> PAGEREF _Toc220075835 \h </w:instrText>
      </w:r>
      <w:r>
        <w:rPr>
          <w:noProof/>
        </w:rPr>
      </w:r>
      <w:r>
        <w:rPr>
          <w:noProof/>
        </w:rPr>
        <w:fldChar w:fldCharType="separate"/>
      </w:r>
      <w:r w:rsidR="00D60DF6">
        <w:rPr>
          <w:noProof/>
        </w:rPr>
        <w:t>17</w:t>
      </w:r>
      <w:r>
        <w:rPr>
          <w:noProof/>
        </w:rPr>
        <w:fldChar w:fldCharType="end"/>
      </w:r>
    </w:p>
    <w:p w14:paraId="4993C4F5" w14:textId="629B45A6" w:rsidR="000F5AE4" w:rsidRDefault="000F5AE4">
      <w:pPr>
        <w:pStyle w:val="TOC2"/>
        <w:tabs>
          <w:tab w:val="left" w:pos="720"/>
          <w:tab w:val="right" w:leader="dot" w:pos="9350"/>
        </w:tabs>
        <w:rPr>
          <w:rFonts w:asciiTheme="minorHAnsi" w:eastAsiaTheme="minorEastAsia" w:hAnsiTheme="minorHAnsi" w:cstheme="minorBidi"/>
          <w:noProof/>
          <w:kern w:val="2"/>
          <w14:ligatures w14:val="standardContextual"/>
        </w:rPr>
      </w:pPr>
      <w:r w:rsidRPr="003C31C8">
        <w:rPr>
          <w:noProof/>
        </w:rPr>
        <w:t>E.</w:t>
      </w:r>
      <w:r>
        <w:rPr>
          <w:rFonts w:asciiTheme="minorHAnsi" w:eastAsiaTheme="minorEastAsia" w:hAnsiTheme="minorHAnsi" w:cstheme="minorBidi"/>
          <w:noProof/>
          <w:kern w:val="2"/>
          <w14:ligatures w14:val="standardContextual"/>
        </w:rPr>
        <w:tab/>
      </w:r>
      <w:r w:rsidRPr="003C31C8">
        <w:rPr>
          <w:noProof/>
        </w:rPr>
        <w:t xml:space="preserve">Issue Four: The Amended </w:t>
      </w:r>
      <w:r w:rsidRPr="000F5AE4">
        <w:rPr>
          <w:i/>
          <w:iCs/>
          <w:noProof/>
        </w:rPr>
        <w:t>ESA</w:t>
      </w:r>
      <w:r w:rsidRPr="003C31C8">
        <w:rPr>
          <w:noProof/>
        </w:rPr>
        <w:t xml:space="preserve"> Definition of Habitat Does Not Support a Conviction Against CHL</w:t>
      </w:r>
      <w:r>
        <w:rPr>
          <w:noProof/>
        </w:rPr>
        <w:tab/>
      </w:r>
      <w:r>
        <w:rPr>
          <w:noProof/>
        </w:rPr>
        <w:fldChar w:fldCharType="begin"/>
      </w:r>
      <w:r>
        <w:rPr>
          <w:noProof/>
        </w:rPr>
        <w:instrText xml:space="preserve"> PAGEREF _Toc220075836 \h </w:instrText>
      </w:r>
      <w:r>
        <w:rPr>
          <w:noProof/>
        </w:rPr>
      </w:r>
      <w:r>
        <w:rPr>
          <w:noProof/>
        </w:rPr>
        <w:fldChar w:fldCharType="separate"/>
      </w:r>
      <w:r w:rsidR="00D60DF6">
        <w:rPr>
          <w:noProof/>
        </w:rPr>
        <w:t>19</w:t>
      </w:r>
      <w:r>
        <w:rPr>
          <w:noProof/>
        </w:rPr>
        <w:fldChar w:fldCharType="end"/>
      </w:r>
    </w:p>
    <w:p w14:paraId="44F7B7BB" w14:textId="1E30EE98" w:rsidR="000F5AE4" w:rsidRDefault="000F5AE4">
      <w:pPr>
        <w:pStyle w:val="TOC3"/>
        <w:tabs>
          <w:tab w:val="left" w:pos="960"/>
          <w:tab w:val="right" w:leader="dot" w:pos="9350"/>
        </w:tabs>
        <w:rPr>
          <w:rFonts w:asciiTheme="minorHAnsi" w:eastAsiaTheme="minorEastAsia" w:hAnsiTheme="minorHAnsi" w:cstheme="minorBidi"/>
          <w:noProof/>
          <w:kern w:val="2"/>
          <w14:ligatures w14:val="standardContextual"/>
        </w:rPr>
      </w:pPr>
      <w:r w:rsidRPr="003C31C8">
        <w:rPr>
          <w:noProof/>
        </w:rPr>
        <w:t>(i)</w:t>
      </w:r>
      <w:r>
        <w:rPr>
          <w:rFonts w:asciiTheme="minorHAnsi" w:eastAsiaTheme="minorEastAsia" w:hAnsiTheme="minorHAnsi" w:cstheme="minorBidi"/>
          <w:noProof/>
          <w:kern w:val="2"/>
          <w14:ligatures w14:val="standardContextual"/>
        </w:rPr>
        <w:tab/>
      </w:r>
      <w:r w:rsidRPr="003C31C8">
        <w:rPr>
          <w:noProof/>
        </w:rPr>
        <w:t>The Amended Definition Fails to Establish Habitat as a Dwelling Place</w:t>
      </w:r>
      <w:r>
        <w:rPr>
          <w:noProof/>
        </w:rPr>
        <w:tab/>
      </w:r>
      <w:r>
        <w:rPr>
          <w:noProof/>
        </w:rPr>
        <w:fldChar w:fldCharType="begin"/>
      </w:r>
      <w:r>
        <w:rPr>
          <w:noProof/>
        </w:rPr>
        <w:instrText xml:space="preserve"> PAGEREF _Toc220075837 \h </w:instrText>
      </w:r>
      <w:r>
        <w:rPr>
          <w:noProof/>
        </w:rPr>
      </w:r>
      <w:r>
        <w:rPr>
          <w:noProof/>
        </w:rPr>
        <w:fldChar w:fldCharType="separate"/>
      </w:r>
      <w:r w:rsidR="00D60DF6">
        <w:rPr>
          <w:noProof/>
        </w:rPr>
        <w:t>20</w:t>
      </w:r>
      <w:r>
        <w:rPr>
          <w:noProof/>
        </w:rPr>
        <w:fldChar w:fldCharType="end"/>
      </w:r>
    </w:p>
    <w:p w14:paraId="6E505AC5" w14:textId="22502271" w:rsidR="000F5AE4" w:rsidRDefault="000F5AE4">
      <w:pPr>
        <w:pStyle w:val="TOC3"/>
        <w:tabs>
          <w:tab w:val="left" w:pos="1200"/>
          <w:tab w:val="right" w:leader="dot" w:pos="9350"/>
        </w:tabs>
        <w:rPr>
          <w:rFonts w:asciiTheme="minorHAnsi" w:eastAsiaTheme="minorEastAsia" w:hAnsiTheme="minorHAnsi" w:cstheme="minorBidi"/>
          <w:noProof/>
          <w:kern w:val="2"/>
          <w14:ligatures w14:val="standardContextual"/>
        </w:rPr>
      </w:pPr>
      <w:r w:rsidRPr="003C31C8">
        <w:rPr>
          <w:noProof/>
        </w:rPr>
        <w:t>(ii)</w:t>
      </w:r>
      <w:r>
        <w:rPr>
          <w:rFonts w:asciiTheme="minorHAnsi" w:eastAsiaTheme="minorEastAsia" w:hAnsiTheme="minorHAnsi" w:cstheme="minorBidi"/>
          <w:noProof/>
          <w:kern w:val="2"/>
          <w14:ligatures w14:val="standardContextual"/>
        </w:rPr>
        <w:tab/>
      </w:r>
      <w:r w:rsidRPr="003C31C8">
        <w:rPr>
          <w:noProof/>
        </w:rPr>
        <w:t>The Legislative Intent of the New Definition Supports CHL’s Position</w:t>
      </w:r>
      <w:r>
        <w:rPr>
          <w:noProof/>
        </w:rPr>
        <w:tab/>
      </w:r>
      <w:r>
        <w:rPr>
          <w:noProof/>
        </w:rPr>
        <w:fldChar w:fldCharType="begin"/>
      </w:r>
      <w:r>
        <w:rPr>
          <w:noProof/>
        </w:rPr>
        <w:instrText xml:space="preserve"> PAGEREF _Toc220075838 \h </w:instrText>
      </w:r>
      <w:r>
        <w:rPr>
          <w:noProof/>
        </w:rPr>
      </w:r>
      <w:r>
        <w:rPr>
          <w:noProof/>
        </w:rPr>
        <w:fldChar w:fldCharType="separate"/>
      </w:r>
      <w:r w:rsidR="00D60DF6">
        <w:rPr>
          <w:noProof/>
        </w:rPr>
        <w:t>20</w:t>
      </w:r>
      <w:r>
        <w:rPr>
          <w:noProof/>
        </w:rPr>
        <w:fldChar w:fldCharType="end"/>
      </w:r>
    </w:p>
    <w:p w14:paraId="1BB72F9B" w14:textId="5390D1BB" w:rsidR="000F5AE4" w:rsidRDefault="000F5AE4">
      <w:pPr>
        <w:pStyle w:val="TOC3"/>
        <w:tabs>
          <w:tab w:val="left" w:pos="1200"/>
          <w:tab w:val="right" w:leader="dot" w:pos="9350"/>
        </w:tabs>
        <w:rPr>
          <w:rFonts w:asciiTheme="minorHAnsi" w:eastAsiaTheme="minorEastAsia" w:hAnsiTheme="minorHAnsi" w:cstheme="minorBidi"/>
          <w:noProof/>
          <w:kern w:val="2"/>
          <w14:ligatures w14:val="standardContextual"/>
        </w:rPr>
      </w:pPr>
      <w:r w:rsidRPr="003C31C8">
        <w:rPr>
          <w:noProof/>
        </w:rPr>
        <w:t>(iii)</w:t>
      </w:r>
      <w:r>
        <w:rPr>
          <w:rFonts w:asciiTheme="minorHAnsi" w:eastAsiaTheme="minorEastAsia" w:hAnsiTheme="minorHAnsi" w:cstheme="minorBidi"/>
          <w:noProof/>
          <w:kern w:val="2"/>
          <w14:ligatures w14:val="standardContextual"/>
        </w:rPr>
        <w:tab/>
      </w:r>
      <w:r w:rsidRPr="003C31C8">
        <w:rPr>
          <w:i/>
          <w:iCs/>
          <w:noProof/>
        </w:rPr>
        <w:t xml:space="preserve">Castonguay </w:t>
      </w:r>
      <w:r w:rsidRPr="003C31C8">
        <w:rPr>
          <w:noProof/>
        </w:rPr>
        <w:t>Does Not Apply to the Amended Definition</w:t>
      </w:r>
      <w:r>
        <w:rPr>
          <w:noProof/>
        </w:rPr>
        <w:tab/>
      </w:r>
      <w:r>
        <w:rPr>
          <w:noProof/>
        </w:rPr>
        <w:fldChar w:fldCharType="begin"/>
      </w:r>
      <w:r>
        <w:rPr>
          <w:noProof/>
        </w:rPr>
        <w:instrText xml:space="preserve"> PAGEREF _Toc220075839 \h </w:instrText>
      </w:r>
      <w:r>
        <w:rPr>
          <w:noProof/>
        </w:rPr>
      </w:r>
      <w:r>
        <w:rPr>
          <w:noProof/>
        </w:rPr>
        <w:fldChar w:fldCharType="separate"/>
      </w:r>
      <w:r w:rsidR="00D60DF6">
        <w:rPr>
          <w:noProof/>
        </w:rPr>
        <w:t>22</w:t>
      </w:r>
      <w:r>
        <w:rPr>
          <w:noProof/>
        </w:rPr>
        <w:fldChar w:fldCharType="end"/>
      </w:r>
    </w:p>
    <w:p w14:paraId="5DAA007C" w14:textId="01328D31" w:rsidR="000F5AE4" w:rsidRDefault="000F5AE4">
      <w:pPr>
        <w:pStyle w:val="TOC1"/>
        <w:rPr>
          <w:rFonts w:asciiTheme="minorHAnsi" w:eastAsiaTheme="minorEastAsia" w:hAnsiTheme="minorHAnsi" w:cstheme="minorBidi"/>
          <w:noProof/>
          <w:kern w:val="2"/>
          <w14:ligatures w14:val="standardContextual"/>
        </w:rPr>
      </w:pPr>
      <w:r w:rsidRPr="003C31C8">
        <w:rPr>
          <w:noProof/>
        </w:rPr>
        <w:t>PART IV -- SUBMISSIONS IN SUPPORT OF COSTS</w:t>
      </w:r>
      <w:r>
        <w:rPr>
          <w:noProof/>
        </w:rPr>
        <w:tab/>
      </w:r>
      <w:r>
        <w:rPr>
          <w:noProof/>
        </w:rPr>
        <w:fldChar w:fldCharType="begin"/>
      </w:r>
      <w:r>
        <w:rPr>
          <w:noProof/>
        </w:rPr>
        <w:instrText xml:space="preserve"> PAGEREF _Toc220075840 \h </w:instrText>
      </w:r>
      <w:r>
        <w:rPr>
          <w:noProof/>
        </w:rPr>
      </w:r>
      <w:r>
        <w:rPr>
          <w:noProof/>
        </w:rPr>
        <w:fldChar w:fldCharType="separate"/>
      </w:r>
      <w:r w:rsidR="00D60DF6">
        <w:rPr>
          <w:noProof/>
        </w:rPr>
        <w:t>23</w:t>
      </w:r>
      <w:r>
        <w:rPr>
          <w:noProof/>
        </w:rPr>
        <w:fldChar w:fldCharType="end"/>
      </w:r>
    </w:p>
    <w:p w14:paraId="5DE17135" w14:textId="5EF3BEAD" w:rsidR="000F5AE4" w:rsidRDefault="000F5AE4">
      <w:pPr>
        <w:pStyle w:val="TOC1"/>
        <w:rPr>
          <w:rFonts w:asciiTheme="minorHAnsi" w:eastAsiaTheme="minorEastAsia" w:hAnsiTheme="minorHAnsi" w:cstheme="minorBidi"/>
          <w:noProof/>
          <w:kern w:val="2"/>
          <w14:ligatures w14:val="standardContextual"/>
        </w:rPr>
      </w:pPr>
      <w:r w:rsidRPr="003C31C8">
        <w:rPr>
          <w:noProof/>
        </w:rPr>
        <w:t>PART V -- ORDER SOUGHT</w:t>
      </w:r>
      <w:r>
        <w:rPr>
          <w:noProof/>
        </w:rPr>
        <w:tab/>
      </w:r>
      <w:r>
        <w:rPr>
          <w:noProof/>
        </w:rPr>
        <w:fldChar w:fldCharType="begin"/>
      </w:r>
      <w:r>
        <w:rPr>
          <w:noProof/>
        </w:rPr>
        <w:instrText xml:space="preserve"> PAGEREF _Toc220075841 \h </w:instrText>
      </w:r>
      <w:r>
        <w:rPr>
          <w:noProof/>
        </w:rPr>
      </w:r>
      <w:r>
        <w:rPr>
          <w:noProof/>
        </w:rPr>
        <w:fldChar w:fldCharType="separate"/>
      </w:r>
      <w:r w:rsidR="00D60DF6">
        <w:rPr>
          <w:noProof/>
        </w:rPr>
        <w:t>23</w:t>
      </w:r>
      <w:r>
        <w:rPr>
          <w:noProof/>
        </w:rPr>
        <w:fldChar w:fldCharType="end"/>
      </w:r>
    </w:p>
    <w:p w14:paraId="2CC0E821" w14:textId="7BBBE3EA" w:rsidR="000F5AE4" w:rsidRDefault="000F5AE4">
      <w:pPr>
        <w:pStyle w:val="TOC1"/>
        <w:rPr>
          <w:rFonts w:asciiTheme="minorHAnsi" w:eastAsiaTheme="minorEastAsia" w:hAnsiTheme="minorHAnsi" w:cstheme="minorBidi"/>
          <w:noProof/>
          <w:kern w:val="2"/>
          <w14:ligatures w14:val="standardContextual"/>
        </w:rPr>
      </w:pPr>
      <w:r w:rsidRPr="003C31C8">
        <w:rPr>
          <w:noProof/>
        </w:rPr>
        <w:t>PART VI -- TABLE OF AUTHORITIES</w:t>
      </w:r>
      <w:r>
        <w:rPr>
          <w:noProof/>
        </w:rPr>
        <w:tab/>
      </w:r>
      <w:r>
        <w:rPr>
          <w:noProof/>
        </w:rPr>
        <w:fldChar w:fldCharType="begin"/>
      </w:r>
      <w:r>
        <w:rPr>
          <w:noProof/>
        </w:rPr>
        <w:instrText xml:space="preserve"> PAGEREF _Toc220075842 \h </w:instrText>
      </w:r>
      <w:r>
        <w:rPr>
          <w:noProof/>
        </w:rPr>
      </w:r>
      <w:r>
        <w:rPr>
          <w:noProof/>
        </w:rPr>
        <w:fldChar w:fldCharType="separate"/>
      </w:r>
      <w:r w:rsidR="00D60DF6">
        <w:rPr>
          <w:noProof/>
        </w:rPr>
        <w:t>24</w:t>
      </w:r>
      <w:r>
        <w:rPr>
          <w:noProof/>
        </w:rPr>
        <w:fldChar w:fldCharType="end"/>
      </w:r>
    </w:p>
    <w:p w14:paraId="7F9606B6" w14:textId="59D6BE39" w:rsidR="000F5AE4" w:rsidRDefault="000F5AE4">
      <w:pPr>
        <w:pStyle w:val="TOC1"/>
        <w:rPr>
          <w:rFonts w:asciiTheme="minorHAnsi" w:eastAsiaTheme="minorEastAsia" w:hAnsiTheme="minorHAnsi" w:cstheme="minorBidi"/>
          <w:noProof/>
          <w:kern w:val="2"/>
          <w14:ligatures w14:val="standardContextual"/>
        </w:rPr>
      </w:pPr>
      <w:r w:rsidRPr="003C31C8">
        <w:rPr>
          <w:noProof/>
        </w:rPr>
        <w:t>PART VII -- LEGISLATION AT ISSUE</w:t>
      </w:r>
      <w:r>
        <w:rPr>
          <w:noProof/>
        </w:rPr>
        <w:tab/>
      </w:r>
      <w:r>
        <w:rPr>
          <w:noProof/>
        </w:rPr>
        <w:fldChar w:fldCharType="begin"/>
      </w:r>
      <w:r>
        <w:rPr>
          <w:noProof/>
        </w:rPr>
        <w:instrText xml:space="preserve"> PAGEREF _Toc220075843 \h </w:instrText>
      </w:r>
      <w:r>
        <w:rPr>
          <w:noProof/>
        </w:rPr>
      </w:r>
      <w:r>
        <w:rPr>
          <w:noProof/>
        </w:rPr>
        <w:fldChar w:fldCharType="separate"/>
      </w:r>
      <w:r w:rsidR="00D60DF6">
        <w:rPr>
          <w:noProof/>
        </w:rPr>
        <w:t>25</w:t>
      </w:r>
      <w:r>
        <w:rPr>
          <w:noProof/>
        </w:rPr>
        <w:fldChar w:fldCharType="end"/>
      </w:r>
    </w:p>
    <w:p w14:paraId="087F5435" w14:textId="398C7452" w:rsidR="00037BFB" w:rsidRDefault="009F5FF0" w:rsidP="00CE4218">
      <w:pPr>
        <w:spacing w:line="360" w:lineRule="auto"/>
      </w:pPr>
      <w:r>
        <w:fldChar w:fldCharType="end"/>
      </w:r>
    </w:p>
    <w:p w14:paraId="17CE1A32" w14:textId="77777777" w:rsidR="00037BFB" w:rsidRDefault="00037BFB" w:rsidP="00CE4218">
      <w:pPr>
        <w:spacing w:line="360" w:lineRule="auto"/>
        <w:sectPr w:rsidR="00037BFB" w:rsidSect="007C43C1">
          <w:pgSz w:w="12240" w:h="15840" w:code="1"/>
          <w:pgMar w:top="1440" w:right="1440" w:bottom="1440" w:left="1440" w:header="720" w:footer="720" w:gutter="0"/>
          <w:pgNumType w:fmt="lowerRoman" w:start="1"/>
          <w:cols w:space="720"/>
          <w:docGrid w:linePitch="360"/>
        </w:sectPr>
      </w:pPr>
    </w:p>
    <w:p w14:paraId="58CFB8B2" w14:textId="77777777" w:rsidR="00DD6E8C" w:rsidRPr="005A2005" w:rsidRDefault="00DD6E8C" w:rsidP="005A2005">
      <w:pPr>
        <w:pStyle w:val="Heading1"/>
        <w:rPr>
          <w:rFonts w:ascii="Times New Roman" w:hAnsi="Times New Roman"/>
          <w:sz w:val="24"/>
          <w:szCs w:val="24"/>
        </w:rPr>
      </w:pPr>
      <w:bookmarkStart w:id="0" w:name="_Toc271703729"/>
      <w:bookmarkStart w:id="1" w:name="_Toc220075811"/>
      <w:r w:rsidRPr="00D678D8">
        <w:rPr>
          <w:rFonts w:ascii="Times New Roman" w:hAnsi="Times New Roman"/>
          <w:sz w:val="24"/>
          <w:szCs w:val="24"/>
        </w:rPr>
        <w:lastRenderedPageBreak/>
        <w:t>OVERVIEW AND STATEMENT OF FACTS</w:t>
      </w:r>
      <w:bookmarkEnd w:id="0"/>
      <w:bookmarkEnd w:id="1"/>
    </w:p>
    <w:p w14:paraId="33ED57E9" w14:textId="77777777" w:rsidR="00DD6E8C" w:rsidRPr="00D678D8" w:rsidRDefault="00D678D8" w:rsidP="00DD6E8C">
      <w:pPr>
        <w:pStyle w:val="Heading2"/>
        <w:tabs>
          <w:tab w:val="num" w:pos="720"/>
        </w:tabs>
        <w:spacing w:before="0" w:after="0" w:line="360" w:lineRule="auto"/>
        <w:rPr>
          <w:rFonts w:ascii="Times New Roman" w:hAnsi="Times New Roman"/>
          <w:i w:val="0"/>
          <w:sz w:val="24"/>
          <w:szCs w:val="24"/>
        </w:rPr>
      </w:pPr>
      <w:bookmarkStart w:id="2" w:name="_Toc271703730"/>
      <w:bookmarkStart w:id="3" w:name="_Toc220075812"/>
      <w:r w:rsidRPr="00D678D8">
        <w:rPr>
          <w:rFonts w:ascii="Times New Roman" w:hAnsi="Times New Roman"/>
          <w:i w:val="0"/>
          <w:sz w:val="24"/>
          <w:szCs w:val="24"/>
        </w:rPr>
        <w:t xml:space="preserve">Overview of the </w:t>
      </w:r>
      <w:r w:rsidR="00EE2290">
        <w:rPr>
          <w:rFonts w:ascii="Times New Roman" w:hAnsi="Times New Roman"/>
          <w:i w:val="0"/>
          <w:sz w:val="24"/>
          <w:szCs w:val="24"/>
        </w:rPr>
        <w:t>Respondent</w:t>
      </w:r>
      <w:r w:rsidRPr="00D678D8">
        <w:rPr>
          <w:rFonts w:ascii="Times New Roman" w:hAnsi="Times New Roman"/>
          <w:i w:val="0"/>
          <w:sz w:val="24"/>
          <w:szCs w:val="24"/>
        </w:rPr>
        <w:t>’s Position</w:t>
      </w:r>
      <w:bookmarkEnd w:id="2"/>
      <w:bookmarkEnd w:id="3"/>
      <w:r w:rsidR="00DD6E8C" w:rsidRPr="00D678D8">
        <w:rPr>
          <w:rFonts w:ascii="Times New Roman" w:hAnsi="Times New Roman"/>
          <w:i w:val="0"/>
          <w:sz w:val="24"/>
          <w:szCs w:val="24"/>
        </w:rPr>
        <w:t xml:space="preserve"> </w:t>
      </w:r>
    </w:p>
    <w:p w14:paraId="335257EB" w14:textId="68F899A2" w:rsidR="005A2005" w:rsidRDefault="005A2005" w:rsidP="005A2005">
      <w:pPr>
        <w:pStyle w:val="WSParaNum"/>
        <w:spacing w:before="0" w:after="0"/>
      </w:pPr>
      <w:r>
        <w:rPr>
          <w:color w:val="000000"/>
        </w:rPr>
        <w:t>His Majesty the King (the “</w:t>
      </w:r>
      <w:r>
        <w:rPr>
          <w:b/>
          <w:bCs/>
          <w:color w:val="000000"/>
        </w:rPr>
        <w:t>Crown</w:t>
      </w:r>
      <w:r>
        <w:rPr>
          <w:color w:val="000000"/>
        </w:rPr>
        <w:t>” or “</w:t>
      </w:r>
      <w:r>
        <w:rPr>
          <w:b/>
          <w:bCs/>
          <w:color w:val="000000"/>
        </w:rPr>
        <w:t>Appellant</w:t>
      </w:r>
      <w:r>
        <w:rPr>
          <w:color w:val="000000"/>
        </w:rPr>
        <w:t xml:space="preserve">”) appeals to this Honourable Court on the interpretation and the evidentiary requirements for proving the existence of “habitat” under the </w:t>
      </w:r>
      <w:r w:rsidR="002B611C">
        <w:rPr>
          <w:i/>
          <w:iCs/>
        </w:rPr>
        <w:t>Endangered Species Act, 2007,</w:t>
      </w:r>
      <w:r w:rsidR="002B611C">
        <w:t xml:space="preserve"> SO 2007, c 6</w:t>
      </w:r>
      <w:r w:rsidR="002B611C">
        <w:rPr>
          <w:color w:val="000000"/>
        </w:rPr>
        <w:t xml:space="preserve"> </w:t>
      </w:r>
      <w:r>
        <w:rPr>
          <w:color w:val="000000"/>
        </w:rPr>
        <w:t>(“</w:t>
      </w:r>
      <w:r>
        <w:rPr>
          <w:b/>
          <w:bCs/>
          <w:i/>
          <w:iCs/>
          <w:color w:val="000000"/>
        </w:rPr>
        <w:t>ESA</w:t>
      </w:r>
      <w:r>
        <w:rPr>
          <w:color w:val="000000"/>
        </w:rPr>
        <w:t>”). Consolidated Homes Ltd. (“</w:t>
      </w:r>
      <w:r>
        <w:rPr>
          <w:b/>
          <w:bCs/>
          <w:color w:val="000000"/>
        </w:rPr>
        <w:t>CHL</w:t>
      </w:r>
      <w:r>
        <w:rPr>
          <w:color w:val="000000"/>
        </w:rPr>
        <w:t>” or the “</w:t>
      </w:r>
      <w:r>
        <w:rPr>
          <w:b/>
          <w:bCs/>
          <w:color w:val="000000"/>
        </w:rPr>
        <w:t>Respondent</w:t>
      </w:r>
      <w:r>
        <w:rPr>
          <w:color w:val="000000"/>
        </w:rPr>
        <w:t>”) asks this Honourable Court to dismiss the appeal. To do otherwise places developers in the untenable position of not knowing when their actions become unlawful.</w:t>
      </w:r>
    </w:p>
    <w:p w14:paraId="790396C7" w14:textId="77777777" w:rsidR="005A2005" w:rsidRDefault="005A2005" w:rsidP="005A2005">
      <w:pPr>
        <w:pStyle w:val="WSParaNum"/>
        <w:spacing w:before="0" w:after="0"/>
      </w:pPr>
      <w:r>
        <w:t xml:space="preserve">The appeal arises from a finding that CHL unlawfully damaged Blanding’s turtle habitat between June 1 and August 5, 2018, contrary to paragraph 10(1)(a) of the </w:t>
      </w:r>
      <w:r w:rsidRPr="005A2005">
        <w:rPr>
          <w:i/>
          <w:iCs/>
        </w:rPr>
        <w:t>ESA</w:t>
      </w:r>
      <w:r>
        <w:t>. CHL grubbed near Circle Lake in North Bay, Ontario (“</w:t>
      </w:r>
      <w:r w:rsidRPr="005A2005">
        <w:rPr>
          <w:b/>
          <w:bCs/>
        </w:rPr>
        <w:t>Site</w:t>
      </w:r>
      <w:r>
        <w:t>”). CHL was convicted at trial (“</w:t>
      </w:r>
      <w:r w:rsidRPr="005A2005">
        <w:rPr>
          <w:b/>
          <w:bCs/>
        </w:rPr>
        <w:t>Trial Decision</w:t>
      </w:r>
      <w:r>
        <w:t>”) and the Ontario Court of Justice judge, sitting as an appeal court (“</w:t>
      </w:r>
      <w:r w:rsidRPr="005A2005">
        <w:rPr>
          <w:b/>
          <w:bCs/>
        </w:rPr>
        <w:t>Appeal Judge</w:t>
      </w:r>
      <w:r>
        <w:t>”), reviewed Justice of the Peace Nichols’s (“</w:t>
      </w:r>
      <w:r w:rsidRPr="005A2005">
        <w:rPr>
          <w:b/>
          <w:bCs/>
        </w:rPr>
        <w:t>Trial Justice</w:t>
      </w:r>
      <w:r>
        <w:t xml:space="preserve">”) Trial Decision. The Appeal Judge set aside the conviction and entered an acquittal for CHL. </w:t>
      </w:r>
    </w:p>
    <w:p w14:paraId="19BC4A47" w14:textId="77777777" w:rsidR="005A2005" w:rsidRDefault="005A2005" w:rsidP="005A2005">
      <w:pPr>
        <w:pStyle w:val="WSParaNum"/>
        <w:spacing w:before="0" w:after="0"/>
      </w:pPr>
      <w:r>
        <w:t>CHL submits that the Appeal Decision should be upheld on the following grounds:</w:t>
      </w:r>
    </w:p>
    <w:p w14:paraId="677A548A" w14:textId="77777777" w:rsidR="005A2005" w:rsidRDefault="005A2005" w:rsidP="005A2005">
      <w:pPr>
        <w:pStyle w:val="WSParaNum"/>
        <w:numPr>
          <w:ilvl w:val="1"/>
          <w:numId w:val="4"/>
        </w:numPr>
        <w:spacing w:before="0" w:after="0"/>
      </w:pPr>
      <w:r>
        <w:t>The Appeal Judge did not err in finding that the Trial Justice improperly relied on sightings of Blanding’s turtles near, but not within, the Site;</w:t>
      </w:r>
    </w:p>
    <w:p w14:paraId="5B0A2EAA" w14:textId="77777777" w:rsidR="005A2005" w:rsidRDefault="005A2005" w:rsidP="005A2005">
      <w:pPr>
        <w:pStyle w:val="WSParaNum"/>
        <w:numPr>
          <w:ilvl w:val="1"/>
          <w:numId w:val="4"/>
        </w:numPr>
        <w:spacing w:before="0" w:after="0"/>
      </w:pPr>
      <w:r>
        <w:t xml:space="preserve">The Appeal Judge did not err in concluding that the Trial Justice improperly relied on the </w:t>
      </w:r>
      <w:r w:rsidRPr="005A2005">
        <w:rPr>
          <w:i/>
          <w:iCs/>
        </w:rPr>
        <w:t>General Habitat Description for the Blanding’s Turtle</w:t>
      </w:r>
      <w:r>
        <w:t xml:space="preserve">, a non-binding scientific guidance document, as determinative of “habitat” under the </w:t>
      </w:r>
      <w:r w:rsidRPr="005A2005">
        <w:rPr>
          <w:i/>
          <w:iCs/>
        </w:rPr>
        <w:t>ESA</w:t>
      </w:r>
      <w:r>
        <w:t>; and</w:t>
      </w:r>
    </w:p>
    <w:p w14:paraId="30AD0541" w14:textId="77777777" w:rsidR="005A2005" w:rsidRDefault="005A2005" w:rsidP="005A2005">
      <w:pPr>
        <w:pStyle w:val="WSParaNum"/>
        <w:numPr>
          <w:ilvl w:val="1"/>
          <w:numId w:val="4"/>
        </w:numPr>
        <w:spacing w:before="0" w:after="0"/>
      </w:pPr>
      <w:r>
        <w:t>The Appeal Judge did not err in declining to find that Blanding’s turtles indirectly depended on the Site as habitat.</w:t>
      </w:r>
    </w:p>
    <w:p w14:paraId="78AF4BC0" w14:textId="77777777" w:rsidR="005A2005" w:rsidRDefault="005A2005" w:rsidP="005A2005">
      <w:pPr>
        <w:pStyle w:val="WSParaNum"/>
      </w:pPr>
      <w:r>
        <w:t>The Respondent further submits that, had CHL been charged under the amended definition of “habitat” introduced in 2025, the Trial Justice’s conviction would nonetheless have been erroneous.</w:t>
      </w:r>
    </w:p>
    <w:p w14:paraId="77FA0D57" w14:textId="4939E402" w:rsidR="005A2005" w:rsidRPr="00D678D8" w:rsidRDefault="005A2005" w:rsidP="005A2005">
      <w:pPr>
        <w:pStyle w:val="WSParaNum"/>
      </w:pPr>
      <w:r>
        <w:t xml:space="preserve">This appeal should be dismissed. The Appeal Judge’s decision reflects a correct application of the </w:t>
      </w:r>
      <w:r w:rsidRPr="005A2005">
        <w:rPr>
          <w:i/>
          <w:iCs/>
        </w:rPr>
        <w:t>ESA</w:t>
      </w:r>
      <w:r>
        <w:t xml:space="preserve"> </w:t>
      </w:r>
      <w:r w:rsidR="0074227A">
        <w:t xml:space="preserve">and </w:t>
      </w:r>
      <w:r w:rsidR="00B56666">
        <w:t xml:space="preserve">strikes an appropriate balance between </w:t>
      </w:r>
      <w:r w:rsidR="0074227A">
        <w:t xml:space="preserve">protecting species without preventing </w:t>
      </w:r>
      <w:r w:rsidR="00B56666">
        <w:t>development</w:t>
      </w:r>
      <w:r w:rsidR="00250D32">
        <w:t xml:space="preserve">. </w:t>
      </w:r>
      <w:r w:rsidR="00B56666">
        <w:t xml:space="preserve"> </w:t>
      </w:r>
    </w:p>
    <w:p w14:paraId="4EDEC7E7" w14:textId="77777777" w:rsidR="00DD6E8C" w:rsidRPr="005A2005" w:rsidRDefault="005A2005" w:rsidP="005A2005">
      <w:pPr>
        <w:pStyle w:val="Heading2"/>
        <w:tabs>
          <w:tab w:val="num" w:pos="720"/>
        </w:tabs>
        <w:spacing w:before="0" w:after="0" w:line="360" w:lineRule="auto"/>
        <w:rPr>
          <w:rFonts w:ascii="Times New Roman" w:hAnsi="Times New Roman"/>
          <w:i w:val="0"/>
          <w:sz w:val="24"/>
          <w:szCs w:val="24"/>
        </w:rPr>
      </w:pPr>
      <w:bookmarkStart w:id="4" w:name="_Toc220075813"/>
      <w:r w:rsidRPr="005A2005">
        <w:rPr>
          <w:rFonts w:ascii="Times New Roman" w:hAnsi="Times New Roman"/>
          <w:i w:val="0"/>
          <w:sz w:val="24"/>
          <w:szCs w:val="24"/>
        </w:rPr>
        <w:lastRenderedPageBreak/>
        <w:t>Statement of the Facts</w:t>
      </w:r>
      <w:bookmarkEnd w:id="4"/>
    </w:p>
    <w:p w14:paraId="53A7C827" w14:textId="77777777" w:rsidR="005A2005" w:rsidRPr="005A2005" w:rsidRDefault="005A2005" w:rsidP="00032B48">
      <w:pPr>
        <w:pStyle w:val="Heading3"/>
        <w:spacing w:before="0" w:after="0" w:line="360" w:lineRule="auto"/>
        <w:rPr>
          <w:rFonts w:ascii="Times New Roman" w:hAnsi="Times New Roman"/>
          <w:bCs w:val="0"/>
          <w:sz w:val="24"/>
          <w:szCs w:val="24"/>
        </w:rPr>
      </w:pPr>
      <w:bookmarkStart w:id="5" w:name="_Toc220075814"/>
      <w:r w:rsidRPr="005A2005">
        <w:rPr>
          <w:rFonts w:ascii="Times New Roman" w:hAnsi="Times New Roman"/>
          <w:bCs w:val="0"/>
          <w:sz w:val="24"/>
          <w:szCs w:val="24"/>
        </w:rPr>
        <w:t>CHL’s Ongoing Regulatory Compliance in North Bay</w:t>
      </w:r>
      <w:bookmarkEnd w:id="5"/>
      <w:r w:rsidRPr="005A2005">
        <w:rPr>
          <w:rFonts w:ascii="Times New Roman" w:hAnsi="Times New Roman"/>
          <w:bCs w:val="0"/>
          <w:sz w:val="24"/>
          <w:szCs w:val="24"/>
        </w:rPr>
        <w:t xml:space="preserve"> </w:t>
      </w:r>
    </w:p>
    <w:p w14:paraId="66B654D6" w14:textId="5EC58235" w:rsidR="00975553" w:rsidRDefault="00975553" w:rsidP="00975553">
      <w:pPr>
        <w:pStyle w:val="WSParaNum"/>
        <w:spacing w:before="0" w:after="0"/>
      </w:pPr>
      <w:r>
        <w:t>The events giving rise to this proceeding occurred within the context of a longstanding 10-year regulatory relationship between CHL and the Ministry of Natural Resources and Forestry (“</w:t>
      </w:r>
      <w:r w:rsidRPr="00975553">
        <w:rPr>
          <w:b/>
          <w:bCs/>
        </w:rPr>
        <w:t>MNRF</w:t>
      </w:r>
      <w:r>
        <w:t>”). CHL has operated in the North Bay area as a developer for many years. In that capacity, CHL has been aware of the presence of Blanding’s turtles, their designation as a threatened species, and the need to consider their protection in development activities in and around the Circle Lake area.</w:t>
      </w:r>
    </w:p>
    <w:p w14:paraId="7BE17952" w14:textId="77777777" w:rsidR="00975553" w:rsidRDefault="00975553" w:rsidP="00975553">
      <w:pPr>
        <w:pStyle w:val="WSParaNum"/>
        <w:spacing w:before="0" w:after="0"/>
      </w:pPr>
      <w:r>
        <w:t>In May 2010, CHL retained Rod Bilz (“</w:t>
      </w:r>
      <w:r w:rsidRPr="00975553">
        <w:rPr>
          <w:b/>
          <w:bCs/>
        </w:rPr>
        <w:t>Mr. Bilz</w:t>
      </w:r>
      <w:r>
        <w:t>”) of FRi Ecological Services to prepare an Environmental Impact Study (“</w:t>
      </w:r>
      <w:r w:rsidRPr="00975553">
        <w:rPr>
          <w:b/>
          <w:bCs/>
        </w:rPr>
        <w:t>EIS</w:t>
      </w:r>
      <w:r>
        <w:t>”). The EIS was prepared for an area near but not at the Site. The 2010 EIS identified specific activities that could negatively impact wetland habitat and species at risk, including the Blanding’s turtle. The Blanding’s turtle occurs around a variety of wetland types and ranges across most of southern Ontario, north to Sudbury and Sault Ste. Marie.</w:t>
      </w:r>
    </w:p>
    <w:p w14:paraId="13F827FE" w14:textId="77777777" w:rsidR="00975553" w:rsidRPr="009F2C77" w:rsidRDefault="00975553" w:rsidP="00975553">
      <w:pPr>
        <w:pStyle w:val="WSParaNum"/>
        <w:numPr>
          <w:ilvl w:val="0"/>
          <w:numId w:val="0"/>
        </w:numPr>
        <w:ind w:left="720"/>
        <w:rPr>
          <w:sz w:val="20"/>
          <w:szCs w:val="20"/>
        </w:rPr>
      </w:pPr>
      <w:r w:rsidRPr="009F2C77">
        <w:rPr>
          <w:sz w:val="20"/>
          <w:szCs w:val="20"/>
        </w:rPr>
        <w:t xml:space="preserve">Judgment by Justice of the Peace P. Nichols, Trial Transcript of October 12, 2022 [Trial Decision] at 4. </w:t>
      </w:r>
    </w:p>
    <w:p w14:paraId="3222EFA6" w14:textId="77777777" w:rsidR="00975553" w:rsidRPr="009F2C77" w:rsidRDefault="00975553" w:rsidP="00975553">
      <w:pPr>
        <w:pStyle w:val="WSParaNum"/>
        <w:numPr>
          <w:ilvl w:val="0"/>
          <w:numId w:val="0"/>
        </w:numPr>
        <w:ind w:left="720"/>
        <w:rPr>
          <w:sz w:val="20"/>
          <w:szCs w:val="20"/>
        </w:rPr>
      </w:pPr>
      <w:r w:rsidRPr="009F2C77">
        <w:rPr>
          <w:sz w:val="20"/>
          <w:szCs w:val="20"/>
        </w:rPr>
        <w:t>Ontario, Ministry of the Environment, Conservation and Parks, May 2017 Ontario Species at Risk Evaluation Report for Blanding’s Turtle (Emydoidea blandingii) at 3.</w:t>
      </w:r>
    </w:p>
    <w:p w14:paraId="01508BE0" w14:textId="77777777" w:rsidR="00975553" w:rsidRDefault="00975553" w:rsidP="00975553">
      <w:pPr>
        <w:pStyle w:val="WSParaNum"/>
        <w:spacing w:before="0" w:after="0"/>
      </w:pPr>
      <w:r>
        <w:t>The EIS did not confirm that Blanding’s turtles were present or used the area as habitat.</w:t>
      </w:r>
    </w:p>
    <w:p w14:paraId="0A12B851" w14:textId="77777777" w:rsidR="00975553" w:rsidRPr="009F2C77" w:rsidRDefault="00975553" w:rsidP="00975553">
      <w:pPr>
        <w:pStyle w:val="WSParaNum"/>
        <w:numPr>
          <w:ilvl w:val="0"/>
          <w:numId w:val="0"/>
        </w:numPr>
        <w:ind w:firstLine="720"/>
        <w:rPr>
          <w:sz w:val="20"/>
          <w:szCs w:val="20"/>
        </w:rPr>
      </w:pPr>
      <w:r w:rsidRPr="009F2C77">
        <w:rPr>
          <w:sz w:val="20"/>
          <w:szCs w:val="20"/>
        </w:rPr>
        <w:t xml:space="preserve">Trial Decision </w:t>
      </w:r>
      <w:r w:rsidRPr="009F2C77">
        <w:rPr>
          <w:i/>
          <w:iCs/>
          <w:sz w:val="20"/>
          <w:szCs w:val="20"/>
        </w:rPr>
        <w:t>supra</w:t>
      </w:r>
      <w:r w:rsidRPr="009F2C77">
        <w:rPr>
          <w:sz w:val="20"/>
          <w:szCs w:val="20"/>
        </w:rPr>
        <w:t xml:space="preserve"> at 4—5.</w:t>
      </w:r>
    </w:p>
    <w:p w14:paraId="0B35A7CA" w14:textId="77777777" w:rsidR="00975553" w:rsidRDefault="00975553" w:rsidP="00975553">
      <w:pPr>
        <w:pStyle w:val="WSParaNum"/>
        <w:spacing w:before="0" w:after="0"/>
      </w:pPr>
      <w:r>
        <w:t>On March 2, 2017, the Ministry of Natural Resources and Forestry</w:t>
      </w:r>
      <w:r w:rsidRPr="00975553">
        <w:rPr>
          <w:b/>
          <w:bCs/>
        </w:rPr>
        <w:t xml:space="preserve"> </w:t>
      </w:r>
      <w:r>
        <w:t>(“</w:t>
      </w:r>
      <w:r w:rsidRPr="00975553">
        <w:rPr>
          <w:b/>
          <w:bCs/>
        </w:rPr>
        <w:t>MNRF</w:t>
      </w:r>
      <w:r>
        <w:t>”) issued a stop work order to CHL for a small portion of the area proposed for condominium development on Wallace Road and Circle Lake Road.</w:t>
      </w:r>
    </w:p>
    <w:p w14:paraId="24729D61" w14:textId="77777777" w:rsidR="00975553" w:rsidRPr="009F2C77" w:rsidRDefault="00975553" w:rsidP="00975553">
      <w:pPr>
        <w:pStyle w:val="WSParaNum"/>
        <w:numPr>
          <w:ilvl w:val="0"/>
          <w:numId w:val="0"/>
        </w:numPr>
        <w:spacing w:before="0" w:after="0"/>
        <w:ind w:firstLine="720"/>
        <w:rPr>
          <w:sz w:val="20"/>
          <w:szCs w:val="20"/>
        </w:rPr>
      </w:pPr>
      <w:r w:rsidRPr="009F2C77">
        <w:rPr>
          <w:sz w:val="20"/>
          <w:szCs w:val="20"/>
        </w:rPr>
        <w:t xml:space="preserve">Trial Decision </w:t>
      </w:r>
      <w:r w:rsidRPr="009F2C77">
        <w:rPr>
          <w:i/>
          <w:iCs/>
          <w:sz w:val="20"/>
          <w:szCs w:val="20"/>
        </w:rPr>
        <w:t>supra</w:t>
      </w:r>
      <w:r w:rsidRPr="009F2C77">
        <w:rPr>
          <w:sz w:val="20"/>
          <w:szCs w:val="20"/>
        </w:rPr>
        <w:t xml:space="preserve"> at 5 and 11—12.</w:t>
      </w:r>
    </w:p>
    <w:p w14:paraId="5C0C5BC7" w14:textId="77777777" w:rsidR="00975553" w:rsidRDefault="00975553" w:rsidP="00975553">
      <w:pPr>
        <w:pStyle w:val="WSParaNum"/>
        <w:spacing w:before="0" w:after="0"/>
      </w:pPr>
      <w:r>
        <w:t>Following the stop work order, Mr. Bilz was retained to prepare a subsequent Site EIS regarding the condominium development. The study consisted of mapping, surveying, and anecdotal evidence. The study concluded that no Blanding’s turtle or other species at risk were observed on the property and the surrounding 120 meters.</w:t>
      </w:r>
    </w:p>
    <w:p w14:paraId="6129D910" w14:textId="77777777" w:rsidR="00975553" w:rsidRPr="009F2C77" w:rsidRDefault="00975553" w:rsidP="00975553">
      <w:pPr>
        <w:pStyle w:val="WSParaNum"/>
        <w:numPr>
          <w:ilvl w:val="0"/>
          <w:numId w:val="0"/>
        </w:numPr>
        <w:ind w:left="720"/>
        <w:rPr>
          <w:sz w:val="20"/>
          <w:szCs w:val="20"/>
        </w:rPr>
      </w:pPr>
      <w:r w:rsidRPr="009F2C77">
        <w:rPr>
          <w:sz w:val="20"/>
          <w:szCs w:val="20"/>
        </w:rPr>
        <w:t>Reasons for Judgment of Justice C. Mathias, Transcript from August 20, 2024 [Appeal Decision] at 15.</w:t>
      </w:r>
    </w:p>
    <w:p w14:paraId="1D793566" w14:textId="77777777" w:rsidR="00975553" w:rsidRDefault="00975553" w:rsidP="00975553">
      <w:pPr>
        <w:pStyle w:val="WSParaNum"/>
        <w:spacing w:before="0" w:after="0"/>
      </w:pPr>
      <w:r>
        <w:t>In November 2017, Mr. Bilz and the Ministry of Natural Resources and Forestry</w:t>
      </w:r>
      <w:r w:rsidRPr="00975553">
        <w:rPr>
          <w:b/>
          <w:bCs/>
        </w:rPr>
        <w:t xml:space="preserve"> </w:t>
      </w:r>
      <w:r>
        <w:t>(“</w:t>
      </w:r>
      <w:r w:rsidRPr="00975553">
        <w:rPr>
          <w:b/>
          <w:bCs/>
        </w:rPr>
        <w:t>MNRF</w:t>
      </w:r>
      <w:r>
        <w:t>”) staff, including Shamus Snell (“</w:t>
      </w:r>
      <w:r w:rsidRPr="00975553">
        <w:rPr>
          <w:b/>
          <w:bCs/>
        </w:rPr>
        <w:t>Mr. Snell</w:t>
      </w:r>
      <w:r>
        <w:t xml:space="preserve">”), a Management Biologist, attended the </w:t>
      </w:r>
      <w:r>
        <w:lastRenderedPageBreak/>
        <w:t xml:space="preserve">site. They physically mapped the wetland boundary that was adopted in CHL’s development materials. Notably, this mapping did not determine that Blanding’s turtles use the area pertaining to the stop work order.  </w:t>
      </w:r>
    </w:p>
    <w:p w14:paraId="4E0243D3" w14:textId="77777777" w:rsidR="00975553" w:rsidRPr="009F2C77" w:rsidRDefault="00975553" w:rsidP="00975553">
      <w:pPr>
        <w:pStyle w:val="WSParaNum"/>
        <w:numPr>
          <w:ilvl w:val="0"/>
          <w:numId w:val="0"/>
        </w:numPr>
        <w:ind w:firstLine="720"/>
        <w:rPr>
          <w:sz w:val="20"/>
          <w:szCs w:val="20"/>
        </w:rPr>
      </w:pPr>
      <w:r w:rsidRPr="009F2C77">
        <w:rPr>
          <w:sz w:val="20"/>
          <w:szCs w:val="20"/>
        </w:rPr>
        <w:t xml:space="preserve">Appeal Decision </w:t>
      </w:r>
      <w:r w:rsidRPr="009F2C77">
        <w:rPr>
          <w:i/>
          <w:iCs/>
          <w:sz w:val="20"/>
          <w:szCs w:val="20"/>
        </w:rPr>
        <w:t>supra</w:t>
      </w:r>
      <w:r w:rsidRPr="009F2C77">
        <w:rPr>
          <w:sz w:val="20"/>
          <w:szCs w:val="20"/>
        </w:rPr>
        <w:t xml:space="preserve"> at 6 and 16.</w:t>
      </w:r>
    </w:p>
    <w:p w14:paraId="47F0D137" w14:textId="77777777" w:rsidR="00975553" w:rsidRDefault="00975553" w:rsidP="00975553">
      <w:pPr>
        <w:pStyle w:val="WSParaNum"/>
        <w:spacing w:before="0" w:after="0"/>
      </w:pPr>
      <w:r>
        <w:t>The Site where CHL was charged for grubbing was outside of the area mapped as potential Blanding’s turtle habitat in November 2017.</w:t>
      </w:r>
    </w:p>
    <w:p w14:paraId="7C970378" w14:textId="77777777" w:rsidR="00975553" w:rsidRPr="009F2C77" w:rsidRDefault="00975553" w:rsidP="00975553">
      <w:pPr>
        <w:pStyle w:val="WSParaNum"/>
        <w:numPr>
          <w:ilvl w:val="0"/>
          <w:numId w:val="0"/>
        </w:numPr>
        <w:ind w:firstLine="720"/>
        <w:rPr>
          <w:sz w:val="20"/>
          <w:szCs w:val="20"/>
        </w:rPr>
      </w:pPr>
      <w:r w:rsidRPr="009F2C77">
        <w:rPr>
          <w:i/>
          <w:iCs/>
          <w:sz w:val="20"/>
          <w:szCs w:val="20"/>
        </w:rPr>
        <w:t>R v Consolidated Homes Ltd</w:t>
      </w:r>
      <w:r w:rsidRPr="009F2C77">
        <w:rPr>
          <w:sz w:val="20"/>
          <w:szCs w:val="20"/>
        </w:rPr>
        <w:t>, 2025 ONCA 41 [ONCA Decision] at para 10.</w:t>
      </w:r>
    </w:p>
    <w:p w14:paraId="486D004A" w14:textId="77777777" w:rsidR="00975553" w:rsidRDefault="00975553" w:rsidP="00975553">
      <w:pPr>
        <w:pStyle w:val="WSParaNum"/>
      </w:pPr>
      <w:r>
        <w:t xml:space="preserve">CHL also participated in presentations and meetings with MNRF, including: </w:t>
      </w:r>
    </w:p>
    <w:p w14:paraId="18B0EDBA" w14:textId="77777777" w:rsidR="00975553" w:rsidRDefault="00975553" w:rsidP="005B6103">
      <w:pPr>
        <w:pStyle w:val="WSParaNum"/>
        <w:numPr>
          <w:ilvl w:val="1"/>
          <w:numId w:val="8"/>
        </w:numPr>
      </w:pPr>
      <w:r>
        <w:t>an October 2017 presentation on the Blanding’s turtles and compliance options, and</w:t>
      </w:r>
    </w:p>
    <w:p w14:paraId="569CC00D" w14:textId="77777777" w:rsidR="00975553" w:rsidRDefault="00975553" w:rsidP="005B6103">
      <w:pPr>
        <w:pStyle w:val="WSParaNum"/>
        <w:numPr>
          <w:ilvl w:val="1"/>
          <w:numId w:val="8"/>
        </w:numPr>
      </w:pPr>
      <w:r>
        <w:t xml:space="preserve">a February 2018 meeting regarding the condominium proposal and protection measures. </w:t>
      </w:r>
    </w:p>
    <w:p w14:paraId="56809780" w14:textId="77777777" w:rsidR="00975553" w:rsidRPr="009F2C77" w:rsidRDefault="00975553" w:rsidP="00975553">
      <w:pPr>
        <w:pStyle w:val="WSParaNum"/>
        <w:numPr>
          <w:ilvl w:val="0"/>
          <w:numId w:val="0"/>
        </w:numPr>
        <w:ind w:left="720"/>
        <w:rPr>
          <w:sz w:val="20"/>
          <w:szCs w:val="20"/>
        </w:rPr>
      </w:pPr>
      <w:r w:rsidRPr="009F2C77">
        <w:rPr>
          <w:sz w:val="20"/>
          <w:szCs w:val="20"/>
        </w:rPr>
        <w:t xml:space="preserve">Appeal Decision </w:t>
      </w:r>
      <w:r w:rsidRPr="009F2C77">
        <w:rPr>
          <w:i/>
          <w:iCs/>
          <w:sz w:val="20"/>
          <w:szCs w:val="20"/>
        </w:rPr>
        <w:t>supra</w:t>
      </w:r>
      <w:r w:rsidRPr="009F2C77">
        <w:rPr>
          <w:sz w:val="20"/>
          <w:szCs w:val="20"/>
        </w:rPr>
        <w:t xml:space="preserve"> at 6, 16—17.</w:t>
      </w:r>
    </w:p>
    <w:p w14:paraId="1E40EF1B" w14:textId="77777777" w:rsidR="00975553" w:rsidRPr="00975553" w:rsidRDefault="00975553" w:rsidP="00975553">
      <w:pPr>
        <w:pStyle w:val="Heading3"/>
        <w:spacing w:before="0" w:after="0" w:line="360" w:lineRule="auto"/>
        <w:rPr>
          <w:rFonts w:ascii="Times New Roman" w:hAnsi="Times New Roman"/>
          <w:bCs w:val="0"/>
          <w:sz w:val="24"/>
          <w:szCs w:val="24"/>
        </w:rPr>
      </w:pPr>
      <w:bookmarkStart w:id="6" w:name="_Toc220075815"/>
      <w:r w:rsidRPr="00975553">
        <w:rPr>
          <w:rFonts w:ascii="Times New Roman" w:hAnsi="Times New Roman"/>
          <w:bCs w:val="0"/>
          <w:sz w:val="24"/>
          <w:szCs w:val="24"/>
        </w:rPr>
        <w:t>CHL’s Regulatory Approval and Grubbing</w:t>
      </w:r>
      <w:bookmarkEnd w:id="6"/>
    </w:p>
    <w:p w14:paraId="3C219DF9" w14:textId="77777777" w:rsidR="00975553" w:rsidRDefault="00975553" w:rsidP="00975553">
      <w:pPr>
        <w:pStyle w:val="WSParaNum"/>
        <w:spacing w:before="0" w:after="0"/>
      </w:pPr>
      <w:r>
        <w:t xml:space="preserve">In June 2018, CHL became concerned about illegal garbage dumping occurring behind piles of dirt on the property. CHL undertook grubbing to address the dumping and stabilize the Site. </w:t>
      </w:r>
    </w:p>
    <w:p w14:paraId="70B63804" w14:textId="77777777" w:rsidR="00975553" w:rsidRPr="009F2C77" w:rsidRDefault="00975553" w:rsidP="00975553">
      <w:pPr>
        <w:pStyle w:val="WSParaNum"/>
        <w:numPr>
          <w:ilvl w:val="0"/>
          <w:numId w:val="0"/>
        </w:numPr>
        <w:spacing w:before="0" w:after="0"/>
        <w:ind w:firstLine="720"/>
        <w:rPr>
          <w:sz w:val="20"/>
          <w:szCs w:val="20"/>
        </w:rPr>
      </w:pPr>
      <w:r w:rsidRPr="009F2C77">
        <w:rPr>
          <w:sz w:val="20"/>
          <w:szCs w:val="20"/>
        </w:rPr>
        <w:t xml:space="preserve">Trial Decision </w:t>
      </w:r>
      <w:r w:rsidRPr="009F2C77">
        <w:rPr>
          <w:i/>
          <w:iCs/>
          <w:sz w:val="20"/>
          <w:szCs w:val="20"/>
        </w:rPr>
        <w:t xml:space="preserve">supra </w:t>
      </w:r>
      <w:r w:rsidRPr="009F2C77">
        <w:rPr>
          <w:sz w:val="20"/>
          <w:szCs w:val="20"/>
        </w:rPr>
        <w:t>at 8 and 13.</w:t>
      </w:r>
    </w:p>
    <w:p w14:paraId="198FD423" w14:textId="77777777" w:rsidR="00975553" w:rsidRDefault="00975553" w:rsidP="00975553">
      <w:pPr>
        <w:pStyle w:val="WSParaNum"/>
      </w:pPr>
      <w:r>
        <w:t xml:space="preserve">The Site in meters is approximately 30.48 by 60.496. </w:t>
      </w:r>
    </w:p>
    <w:p w14:paraId="3DC9FEBC" w14:textId="77777777" w:rsidR="00975553" w:rsidRPr="009F2C77" w:rsidRDefault="00975553" w:rsidP="00975553">
      <w:pPr>
        <w:pStyle w:val="WSParaNum"/>
        <w:numPr>
          <w:ilvl w:val="0"/>
          <w:numId w:val="0"/>
        </w:numPr>
        <w:ind w:firstLine="720"/>
        <w:rPr>
          <w:sz w:val="20"/>
          <w:szCs w:val="20"/>
        </w:rPr>
      </w:pPr>
      <w:r w:rsidRPr="009F2C77">
        <w:rPr>
          <w:sz w:val="20"/>
          <w:szCs w:val="20"/>
        </w:rPr>
        <w:t xml:space="preserve">Appeal Decision </w:t>
      </w:r>
      <w:r w:rsidRPr="009F2C77">
        <w:rPr>
          <w:i/>
          <w:iCs/>
          <w:sz w:val="20"/>
          <w:szCs w:val="20"/>
        </w:rPr>
        <w:t>supra</w:t>
      </w:r>
      <w:r w:rsidRPr="009F2C77">
        <w:rPr>
          <w:sz w:val="20"/>
          <w:szCs w:val="20"/>
        </w:rPr>
        <w:t xml:space="preserve"> at 3.</w:t>
      </w:r>
    </w:p>
    <w:p w14:paraId="093E38BC" w14:textId="77777777" w:rsidR="00975553" w:rsidRDefault="00975553" w:rsidP="00975553">
      <w:pPr>
        <w:pStyle w:val="WSParaNum"/>
      </w:pPr>
      <w:r>
        <w:t>On June 6, 2018, CHL contacted the North Bay Mattawa Conservation Authority (“</w:t>
      </w:r>
      <w:r>
        <w:rPr>
          <w:b/>
          <w:bCs/>
        </w:rPr>
        <w:t>Conservation Authority</w:t>
      </w:r>
      <w:r>
        <w:t>”), disclosed that levelling had begun, and applied for a Development Interference with Wetlands and Alterations (“</w:t>
      </w:r>
      <w:r>
        <w:rPr>
          <w:b/>
          <w:bCs/>
        </w:rPr>
        <w:t>DIA</w:t>
      </w:r>
      <w:r>
        <w:t xml:space="preserve">”) permit. A DIA is required in Ontario for projects near or within sensitive areas like wetlands, under the </w:t>
      </w:r>
      <w:r>
        <w:rPr>
          <w:i/>
          <w:iCs/>
        </w:rPr>
        <w:t xml:space="preserve">Conservation Authorities Act. </w:t>
      </w:r>
      <w:r>
        <w:t>The purpose of the DIA is to manage risks like flooding, erosion, and pollution.</w:t>
      </w:r>
    </w:p>
    <w:p w14:paraId="33132DE2" w14:textId="77777777" w:rsidR="00975553" w:rsidRPr="009F2C77" w:rsidRDefault="00975553" w:rsidP="00975553">
      <w:pPr>
        <w:pStyle w:val="WSParaNum"/>
        <w:numPr>
          <w:ilvl w:val="0"/>
          <w:numId w:val="0"/>
        </w:numPr>
        <w:ind w:firstLine="720"/>
        <w:rPr>
          <w:sz w:val="20"/>
          <w:szCs w:val="20"/>
        </w:rPr>
      </w:pPr>
      <w:r w:rsidRPr="009F2C77">
        <w:rPr>
          <w:sz w:val="20"/>
          <w:szCs w:val="20"/>
        </w:rPr>
        <w:t xml:space="preserve">Trial Decision </w:t>
      </w:r>
      <w:r w:rsidRPr="009F2C77">
        <w:rPr>
          <w:i/>
          <w:iCs/>
          <w:sz w:val="20"/>
          <w:szCs w:val="20"/>
        </w:rPr>
        <w:t>supra</w:t>
      </w:r>
      <w:r w:rsidRPr="009F2C77">
        <w:rPr>
          <w:sz w:val="20"/>
          <w:szCs w:val="20"/>
        </w:rPr>
        <w:t xml:space="preserve"> at 8 and 13.</w:t>
      </w:r>
    </w:p>
    <w:p w14:paraId="01D409AD" w14:textId="77777777" w:rsidR="00975553" w:rsidRPr="009F2C77" w:rsidRDefault="00975553" w:rsidP="00975553">
      <w:pPr>
        <w:pStyle w:val="WSParaNum"/>
        <w:numPr>
          <w:ilvl w:val="0"/>
          <w:numId w:val="0"/>
        </w:numPr>
        <w:ind w:firstLine="720"/>
        <w:rPr>
          <w:sz w:val="20"/>
          <w:szCs w:val="20"/>
        </w:rPr>
      </w:pPr>
      <w:r w:rsidRPr="009F2C77">
        <w:rPr>
          <w:sz w:val="20"/>
          <w:szCs w:val="20"/>
        </w:rPr>
        <w:t xml:space="preserve">Appeal Decision </w:t>
      </w:r>
      <w:r w:rsidRPr="009F2C77">
        <w:rPr>
          <w:i/>
          <w:iCs/>
          <w:sz w:val="20"/>
          <w:szCs w:val="20"/>
        </w:rPr>
        <w:t xml:space="preserve">supra </w:t>
      </w:r>
      <w:r w:rsidRPr="009F2C77">
        <w:rPr>
          <w:sz w:val="20"/>
          <w:szCs w:val="20"/>
        </w:rPr>
        <w:t>at 3.</w:t>
      </w:r>
    </w:p>
    <w:p w14:paraId="3E83EBC5" w14:textId="77777777" w:rsidR="00975553" w:rsidRPr="009F2C77" w:rsidRDefault="00975553" w:rsidP="00975553">
      <w:pPr>
        <w:pStyle w:val="WSParaNum"/>
        <w:numPr>
          <w:ilvl w:val="0"/>
          <w:numId w:val="0"/>
        </w:numPr>
        <w:ind w:firstLine="720"/>
        <w:rPr>
          <w:sz w:val="20"/>
          <w:szCs w:val="20"/>
        </w:rPr>
      </w:pPr>
      <w:r w:rsidRPr="009F2C77">
        <w:rPr>
          <w:i/>
          <w:iCs/>
          <w:sz w:val="20"/>
          <w:szCs w:val="20"/>
        </w:rPr>
        <w:t>Conservation Authorities Act</w:t>
      </w:r>
      <w:r w:rsidRPr="009F2C77">
        <w:rPr>
          <w:sz w:val="20"/>
          <w:szCs w:val="20"/>
        </w:rPr>
        <w:t>, RSO 1990, c C 27 at [</w:t>
      </w:r>
      <w:r w:rsidRPr="009F2C77">
        <w:rPr>
          <w:i/>
          <w:iCs/>
          <w:sz w:val="20"/>
          <w:szCs w:val="20"/>
        </w:rPr>
        <w:t>CAA</w:t>
      </w:r>
      <w:r w:rsidRPr="009F2C77">
        <w:rPr>
          <w:sz w:val="20"/>
          <w:szCs w:val="20"/>
        </w:rPr>
        <w:t>] s 28.1.</w:t>
      </w:r>
    </w:p>
    <w:p w14:paraId="65F8A7B4" w14:textId="77777777" w:rsidR="00975553" w:rsidRDefault="00975553" w:rsidP="00975553">
      <w:pPr>
        <w:pStyle w:val="WSParaNum"/>
        <w:spacing w:before="0" w:after="0"/>
      </w:pPr>
      <w:r>
        <w:t>On June 12, 2018, Valeria Murphy (“</w:t>
      </w:r>
      <w:r w:rsidRPr="00975553">
        <w:rPr>
          <w:b/>
          <w:bCs/>
        </w:rPr>
        <w:t>Ms. Murphy</w:t>
      </w:r>
      <w:r>
        <w:t xml:space="preserve">”), a regulations officer with the Conservation Authority, attended the Site. Ms. Murphy did not observe any Blanding’s turtles. </w:t>
      </w:r>
      <w:r>
        <w:lastRenderedPageBreak/>
        <w:t xml:space="preserve">While acknowledging the Site’s </w:t>
      </w:r>
      <w:r w:rsidRPr="00975553">
        <w:rPr>
          <w:i/>
          <w:iCs/>
        </w:rPr>
        <w:t>potential</w:t>
      </w:r>
      <w:r>
        <w:t xml:space="preserve"> to support habitat, Ms. Murphy did not identify it as Blanding’s turtle habitat at the time of her inspection.</w:t>
      </w:r>
    </w:p>
    <w:p w14:paraId="0F468BA5" w14:textId="77777777" w:rsidR="00975553" w:rsidRPr="009F2C77" w:rsidRDefault="00975553" w:rsidP="00975553">
      <w:pPr>
        <w:pStyle w:val="WSParaNum"/>
        <w:numPr>
          <w:ilvl w:val="0"/>
          <w:numId w:val="0"/>
        </w:numPr>
        <w:ind w:firstLine="720"/>
        <w:rPr>
          <w:sz w:val="20"/>
          <w:szCs w:val="20"/>
        </w:rPr>
      </w:pPr>
      <w:r w:rsidRPr="009F2C77">
        <w:rPr>
          <w:sz w:val="20"/>
          <w:szCs w:val="20"/>
        </w:rPr>
        <w:t xml:space="preserve">Appeal Decision </w:t>
      </w:r>
      <w:r w:rsidRPr="009F2C77">
        <w:rPr>
          <w:i/>
          <w:iCs/>
          <w:sz w:val="20"/>
          <w:szCs w:val="20"/>
        </w:rPr>
        <w:t xml:space="preserve">supra </w:t>
      </w:r>
      <w:r w:rsidRPr="009F2C77">
        <w:rPr>
          <w:sz w:val="20"/>
          <w:szCs w:val="20"/>
        </w:rPr>
        <w:t>at 3 and 14.</w:t>
      </w:r>
    </w:p>
    <w:p w14:paraId="2067F7F5" w14:textId="77777777" w:rsidR="00975553" w:rsidRDefault="00975553" w:rsidP="00975553">
      <w:pPr>
        <w:pStyle w:val="WSParaNum"/>
      </w:pPr>
      <w:r>
        <w:t>On June 14, 2018</w:t>
      </w:r>
      <w:r>
        <w:rPr>
          <w:b/>
          <w:bCs/>
        </w:rPr>
        <w:t xml:space="preserve">, </w:t>
      </w:r>
      <w:r>
        <w:t>the DIA permit was issued, authorizing CHL’s grubbing. Ms. Murphy confirmed that CHL left a vegetated buffer of approximately 30 metres between the work and Circle Lake, and that grubbing stopped at the mapped boundary.</w:t>
      </w:r>
    </w:p>
    <w:p w14:paraId="4FA042A0" w14:textId="77777777" w:rsidR="00975553" w:rsidRPr="009F2C77" w:rsidRDefault="00975553" w:rsidP="00975553">
      <w:pPr>
        <w:pStyle w:val="WSParaNum"/>
        <w:numPr>
          <w:ilvl w:val="0"/>
          <w:numId w:val="0"/>
        </w:numPr>
        <w:ind w:firstLine="720"/>
        <w:rPr>
          <w:sz w:val="20"/>
          <w:szCs w:val="20"/>
        </w:rPr>
      </w:pPr>
      <w:r w:rsidRPr="009F2C77">
        <w:rPr>
          <w:sz w:val="20"/>
          <w:szCs w:val="20"/>
        </w:rPr>
        <w:t xml:space="preserve">Trial Decision </w:t>
      </w:r>
      <w:r w:rsidRPr="009F2C77">
        <w:rPr>
          <w:i/>
          <w:iCs/>
          <w:sz w:val="20"/>
          <w:szCs w:val="20"/>
        </w:rPr>
        <w:t>supra</w:t>
      </w:r>
      <w:r w:rsidRPr="009F2C77">
        <w:rPr>
          <w:sz w:val="20"/>
          <w:szCs w:val="20"/>
        </w:rPr>
        <w:t xml:space="preserve"> at 9.</w:t>
      </w:r>
    </w:p>
    <w:p w14:paraId="5228DF0C" w14:textId="77777777" w:rsidR="0007098C" w:rsidRPr="009F2C77" w:rsidRDefault="00975553" w:rsidP="00975553">
      <w:pPr>
        <w:pStyle w:val="WSParaNum"/>
        <w:numPr>
          <w:ilvl w:val="0"/>
          <w:numId w:val="0"/>
        </w:numPr>
        <w:ind w:firstLine="720"/>
        <w:rPr>
          <w:sz w:val="20"/>
          <w:szCs w:val="20"/>
        </w:rPr>
      </w:pPr>
      <w:r w:rsidRPr="009F2C77">
        <w:rPr>
          <w:sz w:val="20"/>
          <w:szCs w:val="20"/>
        </w:rPr>
        <w:t xml:space="preserve">Appeal Decision </w:t>
      </w:r>
      <w:r w:rsidRPr="009F2C77">
        <w:rPr>
          <w:i/>
          <w:iCs/>
          <w:sz w:val="20"/>
          <w:szCs w:val="20"/>
        </w:rPr>
        <w:t>supra</w:t>
      </w:r>
      <w:r w:rsidRPr="009F2C77">
        <w:rPr>
          <w:sz w:val="20"/>
          <w:szCs w:val="20"/>
        </w:rPr>
        <w:t xml:space="preserve"> at 3 and 19.</w:t>
      </w:r>
    </w:p>
    <w:p w14:paraId="0501B0EC" w14:textId="77777777" w:rsidR="00975553" w:rsidRPr="00975553" w:rsidRDefault="00975553" w:rsidP="00975553">
      <w:pPr>
        <w:pStyle w:val="Heading3"/>
        <w:spacing w:before="0" w:after="0" w:line="360" w:lineRule="auto"/>
        <w:rPr>
          <w:rFonts w:ascii="Times New Roman" w:hAnsi="Times New Roman"/>
          <w:bCs w:val="0"/>
          <w:sz w:val="24"/>
          <w:szCs w:val="24"/>
        </w:rPr>
      </w:pPr>
      <w:bookmarkStart w:id="7" w:name="_Toc220075816"/>
      <w:r w:rsidRPr="00975553">
        <w:rPr>
          <w:rFonts w:ascii="Times New Roman" w:hAnsi="Times New Roman"/>
          <w:bCs w:val="0"/>
          <w:sz w:val="24"/>
          <w:szCs w:val="24"/>
        </w:rPr>
        <w:t>The Offenc</w:t>
      </w:r>
      <w:r>
        <w:rPr>
          <w:rFonts w:ascii="Times New Roman" w:hAnsi="Times New Roman"/>
          <w:bCs w:val="0"/>
          <w:sz w:val="24"/>
          <w:szCs w:val="24"/>
        </w:rPr>
        <w:t>e</w:t>
      </w:r>
      <w:bookmarkEnd w:id="7"/>
    </w:p>
    <w:p w14:paraId="2CECEDE1" w14:textId="77777777" w:rsidR="00975553" w:rsidRDefault="00975553" w:rsidP="00975553">
      <w:pPr>
        <w:pStyle w:val="WSParaNum"/>
        <w:spacing w:before="0" w:after="0"/>
      </w:pPr>
      <w:r>
        <w:t xml:space="preserve">CHL was charged with unlawfully damaging or destroying the habitat of the Blanding’s turtles, contrary to paragraph 10(1)(a) of the </w:t>
      </w:r>
      <w:r w:rsidRPr="00975553">
        <w:rPr>
          <w:i/>
          <w:iCs/>
        </w:rPr>
        <w:t>ESA</w:t>
      </w:r>
      <w:r>
        <w:t xml:space="preserve">, for conduct alleged to have occurred between June 1 and August 5, 2018. </w:t>
      </w:r>
    </w:p>
    <w:p w14:paraId="186EA7A8" w14:textId="77777777" w:rsidR="00975553" w:rsidRPr="009F2C77" w:rsidRDefault="00975553" w:rsidP="00975553">
      <w:pPr>
        <w:pStyle w:val="WSParaNum"/>
        <w:numPr>
          <w:ilvl w:val="0"/>
          <w:numId w:val="0"/>
        </w:numPr>
        <w:ind w:firstLine="720"/>
        <w:rPr>
          <w:sz w:val="20"/>
          <w:szCs w:val="20"/>
        </w:rPr>
      </w:pPr>
      <w:r w:rsidRPr="009F2C77">
        <w:rPr>
          <w:sz w:val="20"/>
          <w:szCs w:val="20"/>
        </w:rPr>
        <w:t xml:space="preserve">Trial Decision </w:t>
      </w:r>
      <w:r w:rsidRPr="009F2C77">
        <w:rPr>
          <w:i/>
          <w:iCs/>
          <w:sz w:val="20"/>
          <w:szCs w:val="20"/>
        </w:rPr>
        <w:t xml:space="preserve">supra </w:t>
      </w:r>
      <w:r w:rsidRPr="009F2C77">
        <w:rPr>
          <w:sz w:val="20"/>
          <w:szCs w:val="20"/>
        </w:rPr>
        <w:t>at 2.</w:t>
      </w:r>
    </w:p>
    <w:p w14:paraId="6822A67B" w14:textId="77777777" w:rsidR="00975553" w:rsidRPr="005B6103" w:rsidRDefault="00975553" w:rsidP="005B6103">
      <w:pPr>
        <w:pStyle w:val="Heading3"/>
        <w:rPr>
          <w:rFonts w:ascii="Times New Roman" w:hAnsi="Times New Roman"/>
          <w:sz w:val="24"/>
          <w:szCs w:val="24"/>
        </w:rPr>
      </w:pPr>
      <w:bookmarkStart w:id="8" w:name="_Toc220075817"/>
      <w:r w:rsidRPr="00975553">
        <w:rPr>
          <w:rFonts w:ascii="Times New Roman" w:hAnsi="Times New Roman"/>
          <w:sz w:val="24"/>
          <w:szCs w:val="24"/>
        </w:rPr>
        <w:t>Evidence at Trial</w:t>
      </w:r>
      <w:bookmarkEnd w:id="8"/>
    </w:p>
    <w:p w14:paraId="14599D58" w14:textId="77777777" w:rsidR="00975553" w:rsidRDefault="00975553" w:rsidP="00975553">
      <w:pPr>
        <w:pStyle w:val="WSParaNum"/>
      </w:pPr>
      <w:r>
        <w:t>At trial, the evidence relied upon to establish the presence of the Blanding’s turtle consisted of (collectively the “</w:t>
      </w:r>
      <w:r>
        <w:rPr>
          <w:b/>
          <w:bCs/>
        </w:rPr>
        <w:t>Sightings”</w:t>
      </w:r>
      <w:r>
        <w:t>):</w:t>
      </w:r>
    </w:p>
    <w:p w14:paraId="4CF5F895" w14:textId="77777777" w:rsidR="00975553" w:rsidRDefault="00975553" w:rsidP="005B6103">
      <w:pPr>
        <w:pStyle w:val="WSParaNum"/>
        <w:numPr>
          <w:ilvl w:val="1"/>
          <w:numId w:val="6"/>
        </w:numPr>
      </w:pPr>
      <w:r w:rsidRPr="00975553">
        <w:rPr>
          <w:b/>
          <w:bCs/>
        </w:rPr>
        <w:t>2007</w:t>
      </w:r>
      <w:r>
        <w:t>: an unsworn sighting by a civilian near the Site;</w:t>
      </w:r>
    </w:p>
    <w:p w14:paraId="134E4E23" w14:textId="77777777" w:rsidR="00975553" w:rsidRDefault="00975553" w:rsidP="005B6103">
      <w:pPr>
        <w:pStyle w:val="WSParaNum"/>
        <w:numPr>
          <w:ilvl w:val="1"/>
          <w:numId w:val="6"/>
        </w:numPr>
      </w:pPr>
      <w:r w:rsidRPr="00975553">
        <w:rPr>
          <w:b/>
          <w:bCs/>
        </w:rPr>
        <w:t>2017</w:t>
      </w:r>
      <w:r>
        <w:t>: a reported sighting by Ministry staff near the Site; ((a) and (b) together are the “</w:t>
      </w:r>
      <w:r w:rsidRPr="00975553">
        <w:rPr>
          <w:b/>
          <w:bCs/>
        </w:rPr>
        <w:t>Before Sightings</w:t>
      </w:r>
      <w:r>
        <w:t>”)</w:t>
      </w:r>
    </w:p>
    <w:p w14:paraId="3E185EAB" w14:textId="77777777" w:rsidR="00975553" w:rsidRDefault="00975553" w:rsidP="005B6103">
      <w:pPr>
        <w:pStyle w:val="WSParaNum"/>
        <w:numPr>
          <w:ilvl w:val="1"/>
          <w:numId w:val="6"/>
        </w:numPr>
      </w:pPr>
      <w:r w:rsidRPr="00975553">
        <w:rPr>
          <w:b/>
          <w:bCs/>
        </w:rPr>
        <w:t>June 11, 2020:</w:t>
      </w:r>
      <w:r>
        <w:t xml:space="preserve"> a photographed sighting by Maria Badilla, a local resident who saw a turtle at Circle Lake, not the Site, approximately two years after the grubbing occurred (the “</w:t>
      </w:r>
      <w:r w:rsidRPr="00975553">
        <w:rPr>
          <w:b/>
          <w:bCs/>
        </w:rPr>
        <w:t>2020 Sighting</w:t>
      </w:r>
      <w:r>
        <w:t>”).</w:t>
      </w:r>
    </w:p>
    <w:p w14:paraId="47F4AAAD" w14:textId="77777777" w:rsidR="00975553" w:rsidRPr="009F2C77" w:rsidRDefault="00975553" w:rsidP="00922833">
      <w:pPr>
        <w:pStyle w:val="WSParaNum"/>
        <w:numPr>
          <w:ilvl w:val="0"/>
          <w:numId w:val="0"/>
        </w:numPr>
        <w:ind w:firstLine="720"/>
        <w:rPr>
          <w:sz w:val="20"/>
          <w:szCs w:val="20"/>
        </w:rPr>
      </w:pPr>
      <w:r w:rsidRPr="009F2C77">
        <w:rPr>
          <w:sz w:val="20"/>
          <w:szCs w:val="20"/>
        </w:rPr>
        <w:t xml:space="preserve">Appeal Decision </w:t>
      </w:r>
      <w:r w:rsidRPr="009F2C77">
        <w:rPr>
          <w:i/>
          <w:iCs/>
          <w:sz w:val="20"/>
          <w:szCs w:val="20"/>
        </w:rPr>
        <w:t>supra</w:t>
      </w:r>
      <w:r w:rsidRPr="009F2C77">
        <w:rPr>
          <w:sz w:val="20"/>
          <w:szCs w:val="20"/>
        </w:rPr>
        <w:t xml:space="preserve"> at 14—15.</w:t>
      </w:r>
    </w:p>
    <w:p w14:paraId="10447F8C" w14:textId="77777777" w:rsidR="00975553" w:rsidRPr="009F2C77" w:rsidRDefault="00975553" w:rsidP="00922833">
      <w:pPr>
        <w:pStyle w:val="WSParaNum"/>
        <w:numPr>
          <w:ilvl w:val="0"/>
          <w:numId w:val="0"/>
        </w:numPr>
        <w:ind w:firstLine="720"/>
        <w:rPr>
          <w:sz w:val="20"/>
          <w:szCs w:val="20"/>
        </w:rPr>
      </w:pPr>
      <w:r w:rsidRPr="009F2C77">
        <w:rPr>
          <w:sz w:val="20"/>
          <w:szCs w:val="20"/>
        </w:rPr>
        <w:t xml:space="preserve">Trial Decision </w:t>
      </w:r>
      <w:r w:rsidRPr="009F2C77">
        <w:rPr>
          <w:i/>
          <w:iCs/>
          <w:sz w:val="20"/>
          <w:szCs w:val="20"/>
        </w:rPr>
        <w:t>supra</w:t>
      </w:r>
      <w:r w:rsidRPr="009F2C77">
        <w:rPr>
          <w:sz w:val="20"/>
          <w:szCs w:val="20"/>
        </w:rPr>
        <w:t xml:space="preserve"> at 9.</w:t>
      </w:r>
    </w:p>
    <w:p w14:paraId="2EDDE963" w14:textId="77777777" w:rsidR="00975553" w:rsidRDefault="00975553" w:rsidP="00975553">
      <w:pPr>
        <w:pStyle w:val="WSParaNum"/>
      </w:pPr>
      <w:r>
        <w:t>In addition to the sightings, a document titled the “</w:t>
      </w:r>
      <w:r>
        <w:rPr>
          <w:i/>
          <w:iCs/>
        </w:rPr>
        <w:t>General Habitat Description of Blanding’s Turtles</w:t>
      </w:r>
      <w:r>
        <w:t>” (“</w:t>
      </w:r>
      <w:r>
        <w:rPr>
          <w:b/>
          <w:bCs/>
        </w:rPr>
        <w:t>GHD</w:t>
      </w:r>
      <w:r>
        <w:t xml:space="preserve">”) was used by the Trial Justice. The document provides scientific guidance intended to clarify the areas of habitat protected for a species under the general habitat definition in the </w:t>
      </w:r>
      <w:r>
        <w:rPr>
          <w:i/>
          <w:iCs/>
        </w:rPr>
        <w:t>ESA</w:t>
      </w:r>
      <w:r>
        <w:t>.</w:t>
      </w:r>
    </w:p>
    <w:p w14:paraId="124F5867" w14:textId="77777777" w:rsidR="00975553" w:rsidRDefault="00975553" w:rsidP="00975553">
      <w:pPr>
        <w:pStyle w:val="WSParaNum"/>
      </w:pPr>
      <w:r>
        <w:lastRenderedPageBreak/>
        <w:t xml:space="preserve">The Trial Justice applied the GHD to conclude that the Site constituted “Category 2” Blanding’s turtle habitat. “Category 2” refers to waterbodies and wetlands, along with a 30-meter buffer around areas where Blanding’s turtles occur. </w:t>
      </w:r>
    </w:p>
    <w:p w14:paraId="08FF2E4E" w14:textId="77777777" w:rsidR="00975553" w:rsidRPr="009F2C77" w:rsidRDefault="00975553" w:rsidP="005B6103">
      <w:pPr>
        <w:pStyle w:val="WSParaNum"/>
        <w:numPr>
          <w:ilvl w:val="0"/>
          <w:numId w:val="0"/>
        </w:numPr>
        <w:ind w:left="720"/>
        <w:rPr>
          <w:sz w:val="20"/>
          <w:szCs w:val="20"/>
        </w:rPr>
      </w:pPr>
      <w:r w:rsidRPr="009F2C77">
        <w:rPr>
          <w:sz w:val="20"/>
          <w:szCs w:val="20"/>
        </w:rPr>
        <w:t xml:space="preserve">Ontario, Ministry of the Environment, Conservation and Parks, </w:t>
      </w:r>
      <w:r w:rsidRPr="009F2C77">
        <w:rPr>
          <w:i/>
          <w:iCs/>
          <w:sz w:val="20"/>
          <w:szCs w:val="20"/>
        </w:rPr>
        <w:t xml:space="preserve">General Habitat Description for the Blanding’s Turtle (Emydoidea blandingii) </w:t>
      </w:r>
      <w:r w:rsidRPr="009F2C77">
        <w:rPr>
          <w:sz w:val="20"/>
          <w:szCs w:val="20"/>
        </w:rPr>
        <w:t>July 2013 (updated March 2021) [</w:t>
      </w:r>
      <w:r w:rsidRPr="009F2C77">
        <w:rPr>
          <w:i/>
          <w:iCs/>
          <w:sz w:val="20"/>
          <w:szCs w:val="20"/>
        </w:rPr>
        <w:t>GHD</w:t>
      </w:r>
      <w:r w:rsidRPr="009F2C77">
        <w:rPr>
          <w:sz w:val="20"/>
          <w:szCs w:val="20"/>
        </w:rPr>
        <w:t>] at 1.</w:t>
      </w:r>
    </w:p>
    <w:p w14:paraId="40A0135E" w14:textId="77777777" w:rsidR="00975553" w:rsidRPr="009F2C77" w:rsidRDefault="00975553" w:rsidP="005B6103">
      <w:pPr>
        <w:pStyle w:val="WSParaNum"/>
        <w:numPr>
          <w:ilvl w:val="0"/>
          <w:numId w:val="0"/>
        </w:numPr>
        <w:ind w:firstLine="720"/>
        <w:rPr>
          <w:sz w:val="20"/>
          <w:szCs w:val="20"/>
        </w:rPr>
      </w:pPr>
      <w:r w:rsidRPr="009F2C77">
        <w:rPr>
          <w:sz w:val="20"/>
          <w:szCs w:val="20"/>
        </w:rPr>
        <w:t xml:space="preserve">Trial Decision </w:t>
      </w:r>
      <w:r w:rsidRPr="009F2C77">
        <w:rPr>
          <w:i/>
          <w:iCs/>
          <w:sz w:val="20"/>
          <w:szCs w:val="20"/>
        </w:rPr>
        <w:t>supra</w:t>
      </w:r>
      <w:r w:rsidRPr="009F2C77">
        <w:rPr>
          <w:sz w:val="20"/>
          <w:szCs w:val="20"/>
        </w:rPr>
        <w:t xml:space="preserve"> at 5 —6.</w:t>
      </w:r>
    </w:p>
    <w:p w14:paraId="5813DD5B" w14:textId="77777777" w:rsidR="00975553" w:rsidRDefault="00975553" w:rsidP="00975553">
      <w:pPr>
        <w:pStyle w:val="WSParaNum"/>
      </w:pPr>
      <w:r>
        <w:t>The Crown’s case rested on (i) the proximity of the Site to Circle Lake, (ii) the Sightings, and (iii) Mr. Snell’s expert opinion about potential habitat function.</w:t>
      </w:r>
    </w:p>
    <w:p w14:paraId="0D1FCE98" w14:textId="77777777" w:rsidR="00975553" w:rsidRDefault="00975553" w:rsidP="00975553">
      <w:pPr>
        <w:pStyle w:val="WSParaNum"/>
      </w:pPr>
      <w:r>
        <w:t>The statutory definition of habitat at the time was:</w:t>
      </w:r>
    </w:p>
    <w:p w14:paraId="18454B3A" w14:textId="77777777" w:rsidR="00975553" w:rsidRDefault="00975553" w:rsidP="005B6103">
      <w:pPr>
        <w:pStyle w:val="WSParaNum"/>
        <w:numPr>
          <w:ilvl w:val="0"/>
          <w:numId w:val="0"/>
        </w:numPr>
        <w:ind w:firstLine="720"/>
      </w:pPr>
      <w:r>
        <w:t>2(1) “habitat” means, [...]</w:t>
      </w:r>
    </w:p>
    <w:p w14:paraId="3563B7C7" w14:textId="77777777" w:rsidR="00975553" w:rsidRDefault="00975553" w:rsidP="005B6103">
      <w:pPr>
        <w:pStyle w:val="WSParaNum"/>
        <w:numPr>
          <w:ilvl w:val="0"/>
          <w:numId w:val="0"/>
        </w:numPr>
        <w:ind w:left="1440"/>
      </w:pPr>
      <w:r>
        <w:t>(b) [...] an area on which the species depends, directly or indirectly, to carry on its life processes, including life processes such as reproduction, rearing, hibernation, migration or feeding, [...]</w:t>
      </w:r>
    </w:p>
    <w:p w14:paraId="4D8E209D" w14:textId="77777777" w:rsidR="00975553" w:rsidRDefault="00975553" w:rsidP="005B6103">
      <w:pPr>
        <w:pStyle w:val="WSParaNum"/>
        <w:numPr>
          <w:ilvl w:val="0"/>
          <w:numId w:val="0"/>
        </w:numPr>
        <w:ind w:left="720"/>
      </w:pPr>
      <w:r>
        <w:t>2(2) For greater certainty, clause (b) of the definition of “habitat” in subsection (1) does not include an area where species formerly occurred or has the potential to be reintroduced unless existing members of the species depend on that area to carry out their life processes.</w:t>
      </w:r>
    </w:p>
    <w:p w14:paraId="60860046" w14:textId="77777777" w:rsidR="00975553" w:rsidRPr="009F2C77" w:rsidRDefault="00975553" w:rsidP="005B6103">
      <w:pPr>
        <w:pStyle w:val="WSParaNum"/>
        <w:numPr>
          <w:ilvl w:val="0"/>
          <w:numId w:val="0"/>
        </w:numPr>
        <w:ind w:firstLine="720"/>
        <w:rPr>
          <w:sz w:val="20"/>
          <w:szCs w:val="20"/>
        </w:rPr>
      </w:pPr>
      <w:r w:rsidRPr="009F2C77">
        <w:rPr>
          <w:i/>
          <w:iCs/>
          <w:sz w:val="20"/>
          <w:szCs w:val="20"/>
        </w:rPr>
        <w:t>ESA</w:t>
      </w:r>
      <w:r w:rsidRPr="009F2C77">
        <w:rPr>
          <w:sz w:val="20"/>
          <w:szCs w:val="20"/>
        </w:rPr>
        <w:t>,</w:t>
      </w:r>
      <w:r w:rsidRPr="009F2C77">
        <w:rPr>
          <w:i/>
          <w:iCs/>
          <w:sz w:val="20"/>
          <w:szCs w:val="20"/>
        </w:rPr>
        <w:t xml:space="preserve"> supra</w:t>
      </w:r>
      <w:r w:rsidRPr="009F2C77">
        <w:rPr>
          <w:sz w:val="20"/>
          <w:szCs w:val="20"/>
        </w:rPr>
        <w:t xml:space="preserve"> para 1, ss 2(1) “habitat” and (2) as it appeared in August 2018.</w:t>
      </w:r>
    </w:p>
    <w:p w14:paraId="0FC56416" w14:textId="77777777" w:rsidR="00975553" w:rsidRDefault="00975553" w:rsidP="00975553">
      <w:pPr>
        <w:pStyle w:val="WSParaNum"/>
      </w:pPr>
      <w:r>
        <w:t>Mr. Snell testified that the Site functioned as Blanding’s turtle habitat and that the grubbing damaged the habitat’s functions.</w:t>
      </w:r>
    </w:p>
    <w:p w14:paraId="229D4DA0" w14:textId="77777777" w:rsidR="00975553" w:rsidRPr="009F2C77" w:rsidRDefault="00975553" w:rsidP="005B6103">
      <w:pPr>
        <w:pStyle w:val="WSParaNum"/>
        <w:numPr>
          <w:ilvl w:val="0"/>
          <w:numId w:val="0"/>
        </w:numPr>
        <w:ind w:firstLine="720"/>
        <w:rPr>
          <w:sz w:val="20"/>
          <w:szCs w:val="20"/>
        </w:rPr>
      </w:pPr>
      <w:r w:rsidRPr="009F2C77">
        <w:rPr>
          <w:sz w:val="20"/>
          <w:szCs w:val="20"/>
        </w:rPr>
        <w:t xml:space="preserve">Trial Decision </w:t>
      </w:r>
      <w:r w:rsidRPr="009F2C77">
        <w:rPr>
          <w:i/>
          <w:iCs/>
          <w:sz w:val="20"/>
          <w:szCs w:val="20"/>
        </w:rPr>
        <w:t>supra</w:t>
      </w:r>
      <w:r w:rsidRPr="009F2C77">
        <w:rPr>
          <w:sz w:val="20"/>
          <w:szCs w:val="20"/>
        </w:rPr>
        <w:t xml:space="preserve"> at 7 and 10.</w:t>
      </w:r>
    </w:p>
    <w:p w14:paraId="07B7BE5B" w14:textId="77777777" w:rsidR="00975553" w:rsidRDefault="00975553" w:rsidP="00975553">
      <w:pPr>
        <w:pStyle w:val="WSParaNum"/>
      </w:pPr>
      <w:r>
        <w:t xml:space="preserve">However, on cross-examination, Mr. Snell acknowledged the area only had potential to be habitat. Mr. Snell conceded that he had no confirmation or proof that Blanding’s turtles used the Site where CHL dug for nesting, travel, or thermoregulation. The Appeal Judge referenced this concession, noting Mr. Snell agreed he did not have confirmation or proof that the land where CHL dug was habitat under the </w:t>
      </w:r>
      <w:r>
        <w:rPr>
          <w:i/>
          <w:iCs/>
        </w:rPr>
        <w:t>ESA</w:t>
      </w:r>
      <w:r>
        <w:t>.</w:t>
      </w:r>
    </w:p>
    <w:p w14:paraId="2F0E6A9F" w14:textId="77777777" w:rsidR="005B6103" w:rsidRPr="009F2C77" w:rsidRDefault="00975553" w:rsidP="005B6103">
      <w:pPr>
        <w:pStyle w:val="WSParaNum"/>
        <w:numPr>
          <w:ilvl w:val="0"/>
          <w:numId w:val="0"/>
        </w:numPr>
        <w:ind w:firstLine="720"/>
        <w:rPr>
          <w:sz w:val="20"/>
          <w:szCs w:val="20"/>
        </w:rPr>
      </w:pPr>
      <w:r w:rsidRPr="009F2C77">
        <w:rPr>
          <w:sz w:val="20"/>
          <w:szCs w:val="20"/>
        </w:rPr>
        <w:t xml:space="preserve">Appeal Decision </w:t>
      </w:r>
      <w:r w:rsidRPr="009F2C77">
        <w:rPr>
          <w:i/>
          <w:iCs/>
          <w:sz w:val="20"/>
          <w:szCs w:val="20"/>
        </w:rPr>
        <w:t>supra</w:t>
      </w:r>
      <w:r w:rsidRPr="009F2C77">
        <w:rPr>
          <w:sz w:val="20"/>
          <w:szCs w:val="20"/>
        </w:rPr>
        <w:t xml:space="preserve"> at 12—14.</w:t>
      </w:r>
    </w:p>
    <w:p w14:paraId="571D2D21" w14:textId="77777777" w:rsidR="00975553" w:rsidRPr="009F2C77" w:rsidRDefault="00975553" w:rsidP="005B6103">
      <w:pPr>
        <w:pStyle w:val="WSParaNum"/>
        <w:numPr>
          <w:ilvl w:val="0"/>
          <w:numId w:val="0"/>
        </w:numPr>
        <w:ind w:firstLine="720"/>
        <w:rPr>
          <w:sz w:val="20"/>
          <w:szCs w:val="20"/>
        </w:rPr>
      </w:pPr>
      <w:r w:rsidRPr="009F2C77">
        <w:rPr>
          <w:sz w:val="20"/>
          <w:szCs w:val="20"/>
        </w:rPr>
        <w:t xml:space="preserve">ONCA Decision </w:t>
      </w:r>
      <w:r w:rsidRPr="009F2C77">
        <w:rPr>
          <w:i/>
          <w:iCs/>
          <w:sz w:val="20"/>
          <w:szCs w:val="20"/>
        </w:rPr>
        <w:t xml:space="preserve">supra </w:t>
      </w:r>
      <w:r w:rsidRPr="009F2C77">
        <w:rPr>
          <w:sz w:val="20"/>
          <w:szCs w:val="20"/>
        </w:rPr>
        <w:t>at para 39.</w:t>
      </w:r>
    </w:p>
    <w:p w14:paraId="15591CE3" w14:textId="77777777" w:rsidR="00975553" w:rsidRPr="005B6103" w:rsidRDefault="005B6103" w:rsidP="005B6103">
      <w:pPr>
        <w:pStyle w:val="Heading3"/>
        <w:rPr>
          <w:rFonts w:ascii="Times New Roman" w:hAnsi="Times New Roman"/>
          <w:sz w:val="24"/>
          <w:szCs w:val="24"/>
        </w:rPr>
      </w:pPr>
      <w:bookmarkStart w:id="9" w:name="_Toc220075818"/>
      <w:r w:rsidRPr="00922833">
        <w:rPr>
          <w:rFonts w:ascii="Times New Roman" w:hAnsi="Times New Roman"/>
          <w:i/>
          <w:iCs/>
          <w:sz w:val="24"/>
          <w:szCs w:val="24"/>
        </w:rPr>
        <w:lastRenderedPageBreak/>
        <w:t>ESA</w:t>
      </w:r>
      <w:r w:rsidRPr="005B6103">
        <w:rPr>
          <w:rFonts w:ascii="Times New Roman" w:hAnsi="Times New Roman"/>
          <w:sz w:val="24"/>
          <w:szCs w:val="24"/>
        </w:rPr>
        <w:t xml:space="preserve"> Amendments to Definition of “Habitat”</w:t>
      </w:r>
      <w:bookmarkEnd w:id="9"/>
      <w:r w:rsidRPr="005B6103">
        <w:rPr>
          <w:rFonts w:ascii="Times New Roman" w:hAnsi="Times New Roman"/>
          <w:sz w:val="24"/>
          <w:szCs w:val="24"/>
        </w:rPr>
        <w:t xml:space="preserve"> </w:t>
      </w:r>
    </w:p>
    <w:p w14:paraId="16B5F866" w14:textId="77777777" w:rsidR="005B6103" w:rsidRDefault="001B7635" w:rsidP="005B6103">
      <w:pPr>
        <w:pStyle w:val="WSParaNum"/>
        <w:spacing w:before="0" w:after="0"/>
      </w:pPr>
      <w:r w:rsidRPr="00D678D8">
        <w:t xml:space="preserve"> </w:t>
      </w:r>
      <w:r w:rsidR="005B6103">
        <w:t xml:space="preserve">In July 2025, the Province passed </w:t>
      </w:r>
      <w:r w:rsidR="005B6103" w:rsidRPr="005B6103">
        <w:rPr>
          <w:i/>
          <w:iCs/>
        </w:rPr>
        <w:t>Protecting Ontario By Unleashing Our Economy</w:t>
      </w:r>
      <w:r w:rsidR="005B6103">
        <w:t xml:space="preserve"> (“</w:t>
      </w:r>
      <w:r w:rsidR="005B6103" w:rsidRPr="005B6103">
        <w:rPr>
          <w:b/>
          <w:bCs/>
        </w:rPr>
        <w:t>Bill 5</w:t>
      </w:r>
      <w:r w:rsidR="005B6103">
        <w:t>”). Bill 5 introduced an amended definition of “habitat” under subparagraph 2(a)(i).</w:t>
      </w:r>
    </w:p>
    <w:p w14:paraId="5E0722EA" w14:textId="77777777" w:rsidR="005B6103" w:rsidRDefault="005B6103" w:rsidP="005B6103">
      <w:pPr>
        <w:pStyle w:val="WSParaNum"/>
      </w:pPr>
      <w:r>
        <w:t xml:space="preserve">The new definition of “habitat” is defined as </w:t>
      </w:r>
      <w:r>
        <w:rPr>
          <w:b/>
          <w:bCs/>
        </w:rPr>
        <w:t>[our emphasis added]</w:t>
      </w:r>
      <w:r>
        <w:t>:</w:t>
      </w:r>
      <w:r>
        <w:rPr>
          <w:i/>
          <w:iCs/>
        </w:rPr>
        <w:t xml:space="preserve">           </w:t>
      </w:r>
    </w:p>
    <w:p w14:paraId="52D35E3F" w14:textId="77777777" w:rsidR="005B6103" w:rsidRDefault="005B6103" w:rsidP="005B6103">
      <w:pPr>
        <w:pStyle w:val="WSParaNum"/>
        <w:numPr>
          <w:ilvl w:val="0"/>
          <w:numId w:val="0"/>
        </w:numPr>
        <w:ind w:left="720"/>
      </w:pPr>
      <w:r>
        <w:t xml:space="preserve">2(a)(i) a dwelling place, such as a den, nest or other similar place, that is </w:t>
      </w:r>
      <w:r w:rsidRPr="005B6103">
        <w:rPr>
          <w:b/>
          <w:bCs/>
        </w:rPr>
        <w:t>occupied or habitually occupied</w:t>
      </w:r>
      <w:r w:rsidRPr="005B6103">
        <w:rPr>
          <w:i/>
          <w:iCs/>
        </w:rPr>
        <w:t xml:space="preserve"> </w:t>
      </w:r>
      <w:r>
        <w:t xml:space="preserve">by one or more members of a species for the purposes of breeding, rearing, staging, wintering or hibernating and (ii) the area immediately around a dwelling place described in subclause (i) that is essential for the purposes set out in that subclause. </w:t>
      </w:r>
    </w:p>
    <w:p w14:paraId="11D37EAA" w14:textId="77777777" w:rsidR="005B6103" w:rsidRPr="009F2C77" w:rsidRDefault="005B6103" w:rsidP="002F5737">
      <w:pPr>
        <w:pStyle w:val="WSParaNum"/>
        <w:numPr>
          <w:ilvl w:val="0"/>
          <w:numId w:val="0"/>
        </w:numPr>
        <w:ind w:left="720"/>
        <w:rPr>
          <w:sz w:val="20"/>
          <w:szCs w:val="20"/>
        </w:rPr>
      </w:pPr>
      <w:r w:rsidRPr="009F2C77">
        <w:rPr>
          <w:i/>
          <w:iCs/>
          <w:sz w:val="20"/>
          <w:szCs w:val="20"/>
        </w:rPr>
        <w:t>An Act to enact the Special Economic Zones Act, 2025, to amend the Endangered Species Act, 2007 and to replace it with the Species Conservation Act, 2025, and to amend various Acts and revoke various regulations in relation to development and to procurement</w:t>
      </w:r>
      <w:r w:rsidRPr="009F2C77">
        <w:rPr>
          <w:sz w:val="20"/>
          <w:szCs w:val="20"/>
        </w:rPr>
        <w:t>, 2025, 44th leg, 1st Sess, Ontario, 2025 5 [Bill 5], Sched 2 at s 2(3).</w:t>
      </w:r>
    </w:p>
    <w:p w14:paraId="79AF092F" w14:textId="77777777" w:rsidR="005B6103" w:rsidRDefault="005B6103" w:rsidP="002F5737">
      <w:pPr>
        <w:pStyle w:val="Heading2"/>
        <w:spacing w:line="360" w:lineRule="auto"/>
        <w:rPr>
          <w:rFonts w:ascii="Times New Roman" w:hAnsi="Times New Roman"/>
          <w:i w:val="0"/>
          <w:iCs w:val="0"/>
          <w:sz w:val="24"/>
          <w:szCs w:val="24"/>
        </w:rPr>
      </w:pPr>
      <w:bookmarkStart w:id="10" w:name="_Toc220075819"/>
      <w:r w:rsidRPr="005B6103">
        <w:rPr>
          <w:rFonts w:ascii="Times New Roman" w:hAnsi="Times New Roman"/>
          <w:i w:val="0"/>
          <w:iCs w:val="0"/>
          <w:sz w:val="24"/>
          <w:szCs w:val="24"/>
        </w:rPr>
        <w:t>Respondent’s Position with Respect to the Appellant’s Statement of Facts</w:t>
      </w:r>
      <w:bookmarkEnd w:id="10"/>
      <w:r w:rsidRPr="005B6103">
        <w:rPr>
          <w:rFonts w:ascii="Times New Roman" w:hAnsi="Times New Roman"/>
          <w:i w:val="0"/>
          <w:iCs w:val="0"/>
          <w:sz w:val="24"/>
          <w:szCs w:val="24"/>
        </w:rPr>
        <w:t xml:space="preserve"> </w:t>
      </w:r>
    </w:p>
    <w:p w14:paraId="66200505" w14:textId="77777777" w:rsidR="005B6103" w:rsidRDefault="005B6103" w:rsidP="002F5737">
      <w:pPr>
        <w:pStyle w:val="WSParaNum"/>
        <w:spacing w:before="0" w:after="0"/>
      </w:pPr>
      <w:r>
        <w:t>The Respondent partially agrees with the Appellant’s statement of facts. However, there are essential facts which are absent or require correction.</w:t>
      </w:r>
      <w:bookmarkStart w:id="11" w:name="_heading=h.985p91eunlp7" w:colFirst="0" w:colLast="0"/>
      <w:bookmarkEnd w:id="11"/>
    </w:p>
    <w:p w14:paraId="756D870D" w14:textId="77777777" w:rsidR="005B6103" w:rsidRPr="005B6103" w:rsidRDefault="005B6103" w:rsidP="002F5737">
      <w:pPr>
        <w:pStyle w:val="Heading3"/>
        <w:spacing w:before="0" w:line="360" w:lineRule="auto"/>
        <w:rPr>
          <w:rFonts w:ascii="Times New Roman" w:hAnsi="Times New Roman"/>
          <w:sz w:val="24"/>
          <w:szCs w:val="24"/>
        </w:rPr>
      </w:pPr>
      <w:bookmarkStart w:id="12" w:name="_Toc220075820"/>
      <w:r w:rsidRPr="005B6103">
        <w:rPr>
          <w:rFonts w:ascii="Times New Roman" w:hAnsi="Times New Roman"/>
          <w:sz w:val="24"/>
          <w:szCs w:val="24"/>
        </w:rPr>
        <w:t>Alleged Development Planning (2010)</w:t>
      </w:r>
      <w:bookmarkEnd w:id="12"/>
    </w:p>
    <w:p w14:paraId="05E2EFB1" w14:textId="77777777" w:rsidR="005B6103" w:rsidRDefault="005B6103" w:rsidP="002F5737">
      <w:pPr>
        <w:pStyle w:val="WSParaNum"/>
      </w:pPr>
      <w:r>
        <w:t>The Appellant characterizes CHL as having planned a residential development south of Circle Lake beginning around 2010 and relies on a 2010 EIS to suggest that CHL contemplated development in known Blanding’s turtle habitat.</w:t>
      </w:r>
    </w:p>
    <w:p w14:paraId="6E12176A" w14:textId="77777777" w:rsidR="005B6103" w:rsidRPr="009F2C77" w:rsidRDefault="005B6103" w:rsidP="002F5737">
      <w:pPr>
        <w:pStyle w:val="WSParaNum"/>
        <w:numPr>
          <w:ilvl w:val="0"/>
          <w:numId w:val="0"/>
        </w:numPr>
        <w:ind w:firstLine="720"/>
        <w:rPr>
          <w:sz w:val="20"/>
          <w:szCs w:val="20"/>
        </w:rPr>
      </w:pPr>
      <w:r w:rsidRPr="009F2C77">
        <w:rPr>
          <w:sz w:val="20"/>
          <w:szCs w:val="20"/>
        </w:rPr>
        <w:t xml:space="preserve">Factum of the Appellant Willms &amp; Shier Moot Team 2026-05 [FOA] at para 8. </w:t>
      </w:r>
    </w:p>
    <w:p w14:paraId="47192D9A" w14:textId="77777777" w:rsidR="005B6103" w:rsidRDefault="005B6103" w:rsidP="002F5737">
      <w:pPr>
        <w:pStyle w:val="WSParaNum"/>
      </w:pPr>
      <w:r>
        <w:t>The record does not support that characterization. There is no evidence in the cited material that CHL planned or pursued residential development at the Site. The 2010 EIS was prepared for broader land-use and environmental assessment purposes. It was not prepared in support of a condominium development, nor did it result in any such development. No condominium was built, and no development application proceeded on the basis of that report.</w:t>
      </w:r>
    </w:p>
    <w:p w14:paraId="2BF73C98" w14:textId="77777777" w:rsidR="005B6103" w:rsidRPr="005B6103" w:rsidRDefault="005B6103" w:rsidP="002F5737">
      <w:pPr>
        <w:pStyle w:val="Heading3"/>
        <w:spacing w:line="360" w:lineRule="auto"/>
        <w:rPr>
          <w:rFonts w:ascii="Times New Roman" w:hAnsi="Times New Roman"/>
          <w:sz w:val="24"/>
          <w:szCs w:val="24"/>
        </w:rPr>
      </w:pPr>
      <w:bookmarkStart w:id="13" w:name="_heading=h.pougs5mqk38f" w:colFirst="0" w:colLast="0"/>
      <w:bookmarkStart w:id="14" w:name="_Toc220075821"/>
      <w:bookmarkEnd w:id="13"/>
      <w:r w:rsidRPr="005B6103">
        <w:rPr>
          <w:rFonts w:ascii="Times New Roman" w:hAnsi="Times New Roman"/>
          <w:sz w:val="24"/>
          <w:szCs w:val="24"/>
        </w:rPr>
        <w:t>The 2017 Stop Work Letter</w:t>
      </w:r>
      <w:bookmarkEnd w:id="14"/>
    </w:p>
    <w:p w14:paraId="46DC7048" w14:textId="77777777" w:rsidR="005B6103" w:rsidRDefault="005B6103" w:rsidP="005B6103">
      <w:pPr>
        <w:pStyle w:val="WSParaNum"/>
      </w:pPr>
      <w:r>
        <w:t xml:space="preserve"> The Appellant describes the March 2017 stop work order and accompanying letter as evidence of regulatory enforcement.</w:t>
      </w:r>
    </w:p>
    <w:p w14:paraId="11CC4490" w14:textId="77777777" w:rsidR="005B6103" w:rsidRPr="009F2C77" w:rsidRDefault="005B6103" w:rsidP="005B6103">
      <w:pPr>
        <w:pStyle w:val="WSParaNum"/>
        <w:numPr>
          <w:ilvl w:val="0"/>
          <w:numId w:val="0"/>
        </w:numPr>
        <w:ind w:firstLine="720"/>
        <w:rPr>
          <w:sz w:val="20"/>
          <w:szCs w:val="20"/>
        </w:rPr>
      </w:pPr>
      <w:r w:rsidRPr="009F2C77">
        <w:rPr>
          <w:sz w:val="20"/>
          <w:szCs w:val="20"/>
        </w:rPr>
        <w:t xml:space="preserve">FOA </w:t>
      </w:r>
      <w:r w:rsidRPr="009F2C77">
        <w:rPr>
          <w:i/>
          <w:iCs/>
          <w:sz w:val="20"/>
          <w:szCs w:val="20"/>
        </w:rPr>
        <w:t>supra</w:t>
      </w:r>
      <w:r w:rsidRPr="009F2C77">
        <w:rPr>
          <w:sz w:val="20"/>
          <w:szCs w:val="20"/>
        </w:rPr>
        <w:t xml:space="preserve"> at para 10.</w:t>
      </w:r>
    </w:p>
    <w:p w14:paraId="646F09F3" w14:textId="77777777" w:rsidR="005B6103" w:rsidRDefault="005B6103" w:rsidP="00F5037F">
      <w:pPr>
        <w:pStyle w:val="WSParaNum"/>
        <w:spacing w:before="0" w:after="0"/>
      </w:pPr>
      <w:r>
        <w:lastRenderedPageBreak/>
        <w:t>The March 2017 letter from the MNRF was advisory rather than prohibitive, indicating CHL should contact the Ministry if work was proposed outside the area subject to the stop work order to discuss avoidance measures or authorization.</w:t>
      </w:r>
    </w:p>
    <w:p w14:paraId="12DD8D9D" w14:textId="77777777" w:rsidR="005B6103" w:rsidRPr="005B6103" w:rsidRDefault="005B6103" w:rsidP="00F5037F">
      <w:pPr>
        <w:pStyle w:val="Heading3"/>
        <w:spacing w:line="360" w:lineRule="auto"/>
        <w:rPr>
          <w:rFonts w:ascii="Times New Roman" w:hAnsi="Times New Roman"/>
          <w:sz w:val="24"/>
          <w:szCs w:val="24"/>
        </w:rPr>
      </w:pPr>
      <w:bookmarkStart w:id="15" w:name="_heading=h.mw0j59dnxsru" w:colFirst="0" w:colLast="0"/>
      <w:bookmarkStart w:id="16" w:name="_Toc220075822"/>
      <w:bookmarkEnd w:id="15"/>
      <w:r w:rsidRPr="005B6103">
        <w:rPr>
          <w:rFonts w:ascii="Times New Roman" w:hAnsi="Times New Roman"/>
          <w:sz w:val="24"/>
          <w:szCs w:val="24"/>
        </w:rPr>
        <w:t>Omission of Obtaining the 2018 DIA Permit</w:t>
      </w:r>
      <w:bookmarkEnd w:id="16"/>
      <w:r w:rsidRPr="005B6103">
        <w:rPr>
          <w:rFonts w:ascii="Times New Roman" w:hAnsi="Times New Roman"/>
          <w:sz w:val="24"/>
          <w:szCs w:val="24"/>
        </w:rPr>
        <w:t xml:space="preserve"> </w:t>
      </w:r>
    </w:p>
    <w:p w14:paraId="588E8DCF" w14:textId="77777777" w:rsidR="005B6103" w:rsidRDefault="005B6103" w:rsidP="00F5037F">
      <w:pPr>
        <w:pStyle w:val="WSParaNum"/>
      </w:pPr>
      <w:r>
        <w:t>The Appellant states that between June and August 2018, CHL undertook grubbing and that Conservation Authority officers later observed disturbed conditions at the Site.</w:t>
      </w:r>
    </w:p>
    <w:p w14:paraId="6FE32CDE" w14:textId="77777777" w:rsidR="005B6103" w:rsidRPr="009F2C77" w:rsidRDefault="005B6103" w:rsidP="005B6103">
      <w:pPr>
        <w:pStyle w:val="WSParaNum"/>
        <w:numPr>
          <w:ilvl w:val="0"/>
          <w:numId w:val="0"/>
        </w:numPr>
        <w:ind w:firstLine="720"/>
        <w:rPr>
          <w:sz w:val="20"/>
          <w:szCs w:val="20"/>
        </w:rPr>
      </w:pPr>
      <w:r w:rsidRPr="009F2C77">
        <w:rPr>
          <w:sz w:val="20"/>
          <w:szCs w:val="20"/>
        </w:rPr>
        <w:t xml:space="preserve">FOA </w:t>
      </w:r>
      <w:r w:rsidRPr="009F2C77">
        <w:rPr>
          <w:i/>
          <w:iCs/>
          <w:sz w:val="20"/>
          <w:szCs w:val="20"/>
        </w:rPr>
        <w:t>supra</w:t>
      </w:r>
      <w:r w:rsidRPr="009F2C77">
        <w:rPr>
          <w:sz w:val="20"/>
          <w:szCs w:val="20"/>
        </w:rPr>
        <w:t xml:space="preserve"> at para 12.</w:t>
      </w:r>
    </w:p>
    <w:p w14:paraId="793D2559" w14:textId="77777777" w:rsidR="00DD6E8C" w:rsidRPr="00D678D8" w:rsidRDefault="005B6103" w:rsidP="00946BE7">
      <w:pPr>
        <w:pStyle w:val="WSParaNum"/>
      </w:pPr>
      <w:r>
        <w:t xml:space="preserve">This account omits the key factual context that CHL applied for and obtained a DIA permit for the grubbing work. The permit was granted, reflecting CHL’s regulatory compliance.  </w:t>
      </w:r>
    </w:p>
    <w:p w14:paraId="39CECC55" w14:textId="77777777" w:rsidR="00DD6E8C" w:rsidRPr="00946BE7" w:rsidRDefault="005B6103" w:rsidP="00946BE7">
      <w:pPr>
        <w:pStyle w:val="Heading1"/>
        <w:spacing w:before="0" w:after="0"/>
        <w:rPr>
          <w:rFonts w:ascii="Times New Roman" w:hAnsi="Times New Roman"/>
          <w:sz w:val="24"/>
          <w:szCs w:val="24"/>
        </w:rPr>
      </w:pPr>
      <w:bookmarkStart w:id="17" w:name="_Toc271703733"/>
      <w:bookmarkStart w:id="18" w:name="_Toc220075823"/>
      <w:r>
        <w:rPr>
          <w:rFonts w:ascii="Times New Roman" w:hAnsi="Times New Roman"/>
          <w:sz w:val="24"/>
          <w:szCs w:val="24"/>
        </w:rPr>
        <w:t xml:space="preserve">THE RESPONDENT’S POSITION WITH RESPECT TO THE APPELLANTS’ </w:t>
      </w:r>
      <w:r w:rsidRPr="00D678D8">
        <w:rPr>
          <w:rFonts w:ascii="Times New Roman" w:hAnsi="Times New Roman"/>
          <w:sz w:val="24"/>
          <w:szCs w:val="24"/>
        </w:rPr>
        <w:t>QUESTIONS</w:t>
      </w:r>
      <w:bookmarkEnd w:id="17"/>
      <w:r>
        <w:rPr>
          <w:rFonts w:ascii="Times New Roman" w:hAnsi="Times New Roman"/>
          <w:sz w:val="24"/>
          <w:szCs w:val="24"/>
        </w:rPr>
        <w:t xml:space="preserve"> IN ISSUE</w:t>
      </w:r>
      <w:bookmarkEnd w:id="18"/>
    </w:p>
    <w:p w14:paraId="4D819C3D" w14:textId="7D9E69E4" w:rsidR="00946BE7" w:rsidRDefault="002B611C" w:rsidP="00946BE7">
      <w:pPr>
        <w:pStyle w:val="WSParaNum"/>
      </w:pPr>
      <w:r>
        <w:t>While the Crown provides thee questions on appeal, the SEMCC has granted leave on four distinct issues. With respect to these four issues on appeal, CHL submits:</w:t>
      </w:r>
      <w:r w:rsidR="00946BE7">
        <w:t xml:space="preserve"> </w:t>
      </w:r>
    </w:p>
    <w:p w14:paraId="0053B551" w14:textId="77777777" w:rsidR="00946BE7" w:rsidRDefault="00946BE7" w:rsidP="00946BE7">
      <w:pPr>
        <w:pStyle w:val="WSParaNum"/>
        <w:numPr>
          <w:ilvl w:val="1"/>
          <w:numId w:val="4"/>
        </w:numPr>
      </w:pPr>
      <w:r>
        <w:t>The OCJ did not err in finding that the Trial Justice impermissibly relied on evidence of sightings of a Blanding’s Turtle outside the offence window.</w:t>
      </w:r>
    </w:p>
    <w:p w14:paraId="265FA025" w14:textId="77777777" w:rsidR="00946BE7" w:rsidRDefault="00946BE7" w:rsidP="00946BE7">
      <w:pPr>
        <w:pStyle w:val="WSParaNum"/>
        <w:numPr>
          <w:ilvl w:val="1"/>
          <w:numId w:val="4"/>
        </w:numPr>
      </w:pPr>
      <w:r>
        <w:t>The OCJ did not err by finding that it was an error for the Trial Justice to rely on the GHD document.</w:t>
      </w:r>
    </w:p>
    <w:p w14:paraId="3D8F7C5E" w14:textId="77777777" w:rsidR="00946BE7" w:rsidRDefault="00946BE7" w:rsidP="00946BE7">
      <w:pPr>
        <w:pStyle w:val="WSParaNum"/>
        <w:numPr>
          <w:ilvl w:val="1"/>
          <w:numId w:val="4"/>
        </w:numPr>
      </w:pPr>
      <w:r>
        <w:t>The OCJ did not fail to consider the part of the statutory definition of “habitat” that includes areas on which a species “indirectly depends.”</w:t>
      </w:r>
    </w:p>
    <w:p w14:paraId="44A2EA9B" w14:textId="77777777" w:rsidR="00946BE7" w:rsidRPr="00D678D8" w:rsidRDefault="00946BE7" w:rsidP="00946BE7">
      <w:pPr>
        <w:pStyle w:val="WSParaNum"/>
        <w:numPr>
          <w:ilvl w:val="1"/>
          <w:numId w:val="4"/>
        </w:numPr>
      </w:pPr>
      <w:r>
        <w:t>The Trial Justice would have erred in convicting CHL if the new definition of “habitat” was applied.</w:t>
      </w:r>
    </w:p>
    <w:p w14:paraId="390F0896" w14:textId="77777777" w:rsidR="0007098C" w:rsidRPr="009F2C77" w:rsidRDefault="00DD6E8C" w:rsidP="009F2C77">
      <w:pPr>
        <w:pStyle w:val="Heading1"/>
        <w:tabs>
          <w:tab w:val="num" w:pos="720"/>
        </w:tabs>
        <w:spacing w:before="0" w:after="0" w:line="360" w:lineRule="auto"/>
        <w:ind w:left="720" w:hanging="720"/>
        <w:rPr>
          <w:rFonts w:ascii="Times New Roman" w:hAnsi="Times New Roman"/>
          <w:sz w:val="24"/>
          <w:szCs w:val="24"/>
        </w:rPr>
      </w:pPr>
      <w:bookmarkStart w:id="19" w:name="_Toc271703734"/>
      <w:bookmarkStart w:id="20" w:name="_Toc220075824"/>
      <w:r w:rsidRPr="00D678D8">
        <w:rPr>
          <w:rFonts w:ascii="Times New Roman" w:hAnsi="Times New Roman"/>
          <w:sz w:val="24"/>
          <w:szCs w:val="24"/>
        </w:rPr>
        <w:t>ARGUMENT</w:t>
      </w:r>
      <w:bookmarkEnd w:id="19"/>
      <w:bookmarkEnd w:id="20"/>
    </w:p>
    <w:p w14:paraId="10C938E3" w14:textId="77777777" w:rsidR="00D678D8" w:rsidRPr="00D678D8" w:rsidRDefault="009F2C77" w:rsidP="00D678D8">
      <w:pPr>
        <w:pStyle w:val="Heading2"/>
        <w:tabs>
          <w:tab w:val="num" w:pos="720"/>
        </w:tabs>
        <w:spacing w:before="0" w:after="0" w:line="360" w:lineRule="auto"/>
        <w:rPr>
          <w:rFonts w:ascii="Times New Roman" w:hAnsi="Times New Roman"/>
          <w:i w:val="0"/>
          <w:sz w:val="24"/>
          <w:szCs w:val="24"/>
        </w:rPr>
      </w:pPr>
      <w:bookmarkStart w:id="21" w:name="_Toc220075825"/>
      <w:r>
        <w:rPr>
          <w:rFonts w:ascii="Times New Roman" w:hAnsi="Times New Roman"/>
          <w:i w:val="0"/>
          <w:sz w:val="24"/>
          <w:szCs w:val="24"/>
        </w:rPr>
        <w:t>The Standard of Review is Correctness</w:t>
      </w:r>
      <w:bookmarkEnd w:id="21"/>
      <w:r>
        <w:rPr>
          <w:rFonts w:ascii="Times New Roman" w:hAnsi="Times New Roman"/>
          <w:i w:val="0"/>
          <w:sz w:val="24"/>
          <w:szCs w:val="24"/>
        </w:rPr>
        <w:t xml:space="preserve"> </w:t>
      </w:r>
    </w:p>
    <w:p w14:paraId="12982081" w14:textId="77777777" w:rsidR="002F2981" w:rsidRDefault="002F2981" w:rsidP="002F2981">
      <w:pPr>
        <w:pStyle w:val="WSParaNum"/>
        <w:spacing w:before="0" w:after="0"/>
      </w:pPr>
      <w:r>
        <w:t xml:space="preserve">The standard of review the SEMCC must apply is correctness because the issues on leave allege errors of law. The issues do not dispute facts, but rather calls into question the application of the law by the Appeal Judge in her decision to overturn the conviction. </w:t>
      </w:r>
    </w:p>
    <w:p w14:paraId="7123A5A4" w14:textId="77777777" w:rsidR="002F2981" w:rsidRPr="002F2981" w:rsidRDefault="002F2981" w:rsidP="002F2981">
      <w:pPr>
        <w:pStyle w:val="WSParaNum"/>
        <w:numPr>
          <w:ilvl w:val="0"/>
          <w:numId w:val="0"/>
        </w:numPr>
        <w:ind w:firstLine="720"/>
        <w:rPr>
          <w:sz w:val="20"/>
          <w:szCs w:val="20"/>
        </w:rPr>
      </w:pPr>
      <w:r w:rsidRPr="002F2981">
        <w:rPr>
          <w:i/>
          <w:iCs/>
          <w:sz w:val="20"/>
          <w:szCs w:val="20"/>
        </w:rPr>
        <w:t>Housen v Nikolaisen</w:t>
      </w:r>
      <w:r w:rsidRPr="002F2981">
        <w:rPr>
          <w:sz w:val="20"/>
          <w:szCs w:val="20"/>
        </w:rPr>
        <w:t>, 2002 SCC 33 [</w:t>
      </w:r>
      <w:r w:rsidRPr="002F2981">
        <w:rPr>
          <w:i/>
          <w:iCs/>
          <w:sz w:val="20"/>
          <w:szCs w:val="20"/>
        </w:rPr>
        <w:t>Housen</w:t>
      </w:r>
      <w:r w:rsidRPr="002F2981">
        <w:rPr>
          <w:sz w:val="20"/>
          <w:szCs w:val="20"/>
        </w:rPr>
        <w:t>] at paras 8—9.</w:t>
      </w:r>
    </w:p>
    <w:p w14:paraId="7F9667EE" w14:textId="77777777" w:rsidR="002F2981" w:rsidRDefault="002F2981" w:rsidP="002F2981">
      <w:pPr>
        <w:pStyle w:val="WSParaNum"/>
      </w:pPr>
      <w:r>
        <w:lastRenderedPageBreak/>
        <w:t xml:space="preserve">The </w:t>
      </w:r>
      <w:r>
        <w:rPr>
          <w:i/>
          <w:iCs/>
        </w:rPr>
        <w:t>Provincial Offences Act</w:t>
      </w:r>
      <w:r>
        <w:t xml:space="preserve"> (“</w:t>
      </w:r>
      <w:r>
        <w:rPr>
          <w:b/>
          <w:bCs/>
          <w:i/>
          <w:iCs/>
        </w:rPr>
        <w:t>POA</w:t>
      </w:r>
      <w:r>
        <w:t xml:space="preserve">”) and the rules governing the SEMCC further support a correctness review. On a secondary review under the </w:t>
      </w:r>
      <w:r>
        <w:rPr>
          <w:i/>
          <w:iCs/>
        </w:rPr>
        <w:t>POA</w:t>
      </w:r>
      <w:r>
        <w:t xml:space="preserve">, leave to appeal is only available where there is an error of law and it is essential in the public interest or for the due administration of justice that leave be granted. The SEMCC sits as an appellate court of last resort. In granting leave, the SEMCC has also classified these issues as issues of law. </w:t>
      </w:r>
    </w:p>
    <w:p w14:paraId="481E1045" w14:textId="77777777" w:rsidR="002F2981" w:rsidRDefault="002F2981" w:rsidP="002F2981">
      <w:pPr>
        <w:pStyle w:val="WSParaNum"/>
        <w:numPr>
          <w:ilvl w:val="0"/>
          <w:numId w:val="0"/>
        </w:numPr>
        <w:ind w:firstLine="720"/>
        <w:rPr>
          <w:sz w:val="20"/>
          <w:szCs w:val="20"/>
        </w:rPr>
      </w:pPr>
      <w:r w:rsidRPr="002F2981">
        <w:rPr>
          <w:i/>
          <w:iCs/>
          <w:sz w:val="20"/>
          <w:szCs w:val="20"/>
        </w:rPr>
        <w:t>Provincial Offences Act</w:t>
      </w:r>
      <w:r w:rsidRPr="002F2981">
        <w:rPr>
          <w:sz w:val="20"/>
          <w:szCs w:val="20"/>
        </w:rPr>
        <w:t>, RSO 1990, c P 33 [</w:t>
      </w:r>
      <w:r w:rsidRPr="002F2981">
        <w:rPr>
          <w:i/>
          <w:iCs/>
          <w:sz w:val="20"/>
          <w:szCs w:val="20"/>
        </w:rPr>
        <w:t>POA</w:t>
      </w:r>
      <w:r w:rsidRPr="002F2981">
        <w:rPr>
          <w:sz w:val="20"/>
          <w:szCs w:val="20"/>
        </w:rPr>
        <w:t>] at s 131.</w:t>
      </w:r>
    </w:p>
    <w:p w14:paraId="4462F5D1" w14:textId="58BF48F9" w:rsidR="002F2981" w:rsidRPr="002F2981" w:rsidRDefault="002F2981" w:rsidP="002F2981">
      <w:pPr>
        <w:pStyle w:val="WSParaNum"/>
        <w:numPr>
          <w:ilvl w:val="0"/>
          <w:numId w:val="0"/>
        </w:numPr>
        <w:ind w:left="720"/>
        <w:rPr>
          <w:sz w:val="20"/>
          <w:szCs w:val="20"/>
        </w:rPr>
      </w:pPr>
      <w:r w:rsidRPr="002F2981">
        <w:rPr>
          <w:sz w:val="20"/>
          <w:szCs w:val="20"/>
        </w:rPr>
        <w:t xml:space="preserve">Willms &amp; Shier Environmental Lawyers </w:t>
      </w:r>
      <w:r w:rsidR="00922833" w:rsidRPr="002F2981">
        <w:rPr>
          <w:sz w:val="20"/>
          <w:szCs w:val="20"/>
        </w:rPr>
        <w:t>LLP, Willms</w:t>
      </w:r>
      <w:r w:rsidRPr="002F2981">
        <w:rPr>
          <w:i/>
          <w:iCs/>
          <w:sz w:val="20"/>
          <w:szCs w:val="20"/>
        </w:rPr>
        <w:t xml:space="preserve"> &amp; Shier Environmental Law Moot Official Competition Rules 2026 </w:t>
      </w:r>
      <w:r w:rsidRPr="002F2981">
        <w:rPr>
          <w:sz w:val="20"/>
          <w:szCs w:val="20"/>
        </w:rPr>
        <w:t>(Toronto: ELM, 2026) at rule 4.3.</w:t>
      </w:r>
    </w:p>
    <w:p w14:paraId="237D2918" w14:textId="77777777" w:rsidR="002F2981" w:rsidRDefault="002F2981" w:rsidP="002F2981">
      <w:pPr>
        <w:pStyle w:val="WSParaNum"/>
      </w:pPr>
      <w:r>
        <w:t>Issues of law are reviewable on a correctness standard. The SEMCC, in its appellate function, must apply the law with no deference accorded to the lower decisions.</w:t>
      </w:r>
    </w:p>
    <w:p w14:paraId="139E5337" w14:textId="77777777" w:rsidR="002F2981" w:rsidRPr="002F2981" w:rsidRDefault="002F2981" w:rsidP="002F2981">
      <w:pPr>
        <w:pStyle w:val="WSParaNum"/>
        <w:numPr>
          <w:ilvl w:val="0"/>
          <w:numId w:val="0"/>
        </w:numPr>
        <w:ind w:firstLine="720"/>
        <w:rPr>
          <w:sz w:val="20"/>
          <w:szCs w:val="20"/>
        </w:rPr>
      </w:pPr>
      <w:r w:rsidRPr="002F2981">
        <w:rPr>
          <w:i/>
          <w:iCs/>
          <w:sz w:val="20"/>
          <w:szCs w:val="20"/>
        </w:rPr>
        <w:t>Housen supra</w:t>
      </w:r>
      <w:r w:rsidRPr="002F2981">
        <w:rPr>
          <w:sz w:val="20"/>
          <w:szCs w:val="20"/>
        </w:rPr>
        <w:t xml:space="preserve"> at paras 8—9 and 36.</w:t>
      </w:r>
    </w:p>
    <w:p w14:paraId="3BEB221F" w14:textId="77777777" w:rsidR="002F2981" w:rsidRPr="002F2981" w:rsidRDefault="002F2981" w:rsidP="002F2981">
      <w:pPr>
        <w:pStyle w:val="Heading2"/>
        <w:rPr>
          <w:rFonts w:ascii="Times New Roman" w:hAnsi="Times New Roman"/>
          <w:i w:val="0"/>
          <w:iCs w:val="0"/>
          <w:sz w:val="24"/>
          <w:szCs w:val="24"/>
        </w:rPr>
      </w:pPr>
      <w:bookmarkStart w:id="22" w:name="_Toc220075826"/>
      <w:r w:rsidRPr="002F2981">
        <w:rPr>
          <w:rFonts w:ascii="Times New Roman" w:hAnsi="Times New Roman"/>
          <w:i w:val="0"/>
          <w:iCs w:val="0"/>
          <w:sz w:val="24"/>
          <w:szCs w:val="24"/>
        </w:rPr>
        <w:t>Issue One: The OCJ Did Not Err in its Treatment of the Sightings Outside the Offence Window</w:t>
      </w:r>
      <w:bookmarkEnd w:id="22"/>
    </w:p>
    <w:p w14:paraId="4688E17E" w14:textId="77777777" w:rsidR="001B7635" w:rsidRPr="00D678D8" w:rsidRDefault="001B7635" w:rsidP="001B7635">
      <w:pPr>
        <w:pStyle w:val="WSParaNum"/>
        <w:numPr>
          <w:ilvl w:val="0"/>
          <w:numId w:val="0"/>
        </w:numPr>
        <w:spacing w:before="0" w:after="0" w:line="240" w:lineRule="auto"/>
        <w:ind w:left="720" w:right="720"/>
      </w:pPr>
    </w:p>
    <w:p w14:paraId="0C3F7DA3" w14:textId="77777777" w:rsidR="002F2981" w:rsidRDefault="002F2981" w:rsidP="002F2981">
      <w:pPr>
        <w:pStyle w:val="WSParaNum"/>
        <w:spacing w:before="0" w:after="0"/>
      </w:pPr>
      <w:r>
        <w:t>The Trial Justice improperly relied on the Sightings to characterize the Site as habitat. It was open to the Appeal Judge to find that this reliance constituted a legal error and rendered the conviction unreasonable.</w:t>
      </w:r>
    </w:p>
    <w:p w14:paraId="7AC3880A" w14:textId="77777777" w:rsidR="002F2981" w:rsidRPr="002F2981" w:rsidRDefault="002F2981" w:rsidP="002F2981">
      <w:pPr>
        <w:pStyle w:val="WSParaNum"/>
        <w:numPr>
          <w:ilvl w:val="0"/>
          <w:numId w:val="0"/>
        </w:numPr>
        <w:ind w:firstLine="720"/>
        <w:rPr>
          <w:sz w:val="20"/>
          <w:szCs w:val="20"/>
        </w:rPr>
      </w:pPr>
      <w:r w:rsidRPr="002F2981">
        <w:rPr>
          <w:sz w:val="20"/>
          <w:szCs w:val="20"/>
        </w:rPr>
        <w:t xml:space="preserve">Appeal Decision </w:t>
      </w:r>
      <w:r w:rsidRPr="002F2981">
        <w:rPr>
          <w:i/>
          <w:iCs/>
          <w:sz w:val="20"/>
          <w:szCs w:val="20"/>
        </w:rPr>
        <w:t>supra</w:t>
      </w:r>
      <w:r w:rsidRPr="002F2981">
        <w:rPr>
          <w:sz w:val="20"/>
          <w:szCs w:val="20"/>
        </w:rPr>
        <w:t xml:space="preserve"> at 14 and 15.</w:t>
      </w:r>
    </w:p>
    <w:p w14:paraId="3A46DFD2" w14:textId="77777777" w:rsidR="002F2981" w:rsidRDefault="002F2981" w:rsidP="002F2981">
      <w:pPr>
        <w:pStyle w:val="WSParaNum"/>
      </w:pPr>
      <w:r>
        <w:t xml:space="preserve">The Appeal Judge reviewed the Trial Justice’s decision pursuant to subsection 120(1) of the </w:t>
      </w:r>
      <w:r>
        <w:rPr>
          <w:i/>
          <w:iCs/>
        </w:rPr>
        <w:t>POA</w:t>
      </w:r>
      <w:r>
        <w:t xml:space="preserve">. The Appeal Judge had the authority to set aside the conviction if she found it unreasonable or unsupported by the evidence. In rejecting reliance on the Sightings, the Appeal Judge acted squarely within the authority conferred by that provision. </w:t>
      </w:r>
    </w:p>
    <w:p w14:paraId="4C053C40" w14:textId="77777777" w:rsidR="002F2981" w:rsidRPr="002F2981" w:rsidRDefault="002F2981" w:rsidP="002F2981">
      <w:pPr>
        <w:pStyle w:val="WSParaNum"/>
        <w:numPr>
          <w:ilvl w:val="0"/>
          <w:numId w:val="0"/>
        </w:numPr>
        <w:ind w:firstLine="720"/>
        <w:rPr>
          <w:sz w:val="20"/>
          <w:szCs w:val="20"/>
        </w:rPr>
      </w:pPr>
      <w:r w:rsidRPr="002F2981">
        <w:rPr>
          <w:i/>
          <w:iCs/>
          <w:sz w:val="20"/>
          <w:szCs w:val="20"/>
        </w:rPr>
        <w:t>POA supra</w:t>
      </w:r>
      <w:r w:rsidRPr="002F2981">
        <w:rPr>
          <w:sz w:val="20"/>
          <w:szCs w:val="20"/>
        </w:rPr>
        <w:t xml:space="preserve"> at s 120(1)(a)(i).</w:t>
      </w:r>
    </w:p>
    <w:p w14:paraId="7FE54F98" w14:textId="77777777" w:rsidR="002F2981" w:rsidRPr="002F2981" w:rsidRDefault="002F2981" w:rsidP="002F2981">
      <w:pPr>
        <w:pStyle w:val="Heading3"/>
        <w:rPr>
          <w:rFonts w:ascii="Times New Roman" w:hAnsi="Times New Roman"/>
          <w:sz w:val="24"/>
          <w:szCs w:val="24"/>
        </w:rPr>
      </w:pPr>
      <w:bookmarkStart w:id="23" w:name="_Toc220075827"/>
      <w:r w:rsidRPr="002F2981">
        <w:rPr>
          <w:rFonts w:ascii="Times New Roman" w:hAnsi="Times New Roman"/>
          <w:sz w:val="24"/>
          <w:szCs w:val="24"/>
        </w:rPr>
        <w:t>The Test for Overturning a Conviction is a Question of Law</w:t>
      </w:r>
      <w:bookmarkEnd w:id="23"/>
      <w:r w:rsidRPr="002F2981">
        <w:rPr>
          <w:rFonts w:ascii="Times New Roman" w:hAnsi="Times New Roman"/>
          <w:sz w:val="24"/>
          <w:szCs w:val="24"/>
        </w:rPr>
        <w:t xml:space="preserve"> </w:t>
      </w:r>
    </w:p>
    <w:p w14:paraId="1B2B6D16" w14:textId="77777777" w:rsidR="002F2981" w:rsidRDefault="002F2981" w:rsidP="002F2981">
      <w:pPr>
        <w:pStyle w:val="WSParaNum"/>
      </w:pPr>
      <w:r>
        <w:t>Whether a verdict was unreasonable is a question of law. The Appeal Judge committed no error of law in discounting the Sightings. She was entitled to a limited reweighing of the evidence while still according deference to the Trial Justice’s findings of fact.</w:t>
      </w:r>
    </w:p>
    <w:p w14:paraId="6C04AA00" w14:textId="77777777" w:rsidR="002F2981" w:rsidRPr="002F2981" w:rsidRDefault="002F2981" w:rsidP="002F2981">
      <w:pPr>
        <w:pStyle w:val="WSParaNum"/>
        <w:numPr>
          <w:ilvl w:val="0"/>
          <w:numId w:val="0"/>
        </w:numPr>
        <w:ind w:firstLine="720"/>
        <w:rPr>
          <w:sz w:val="20"/>
          <w:szCs w:val="20"/>
        </w:rPr>
      </w:pPr>
      <w:r w:rsidRPr="002F2981">
        <w:rPr>
          <w:i/>
          <w:iCs/>
          <w:sz w:val="20"/>
          <w:szCs w:val="20"/>
        </w:rPr>
        <w:t>R v Yebes</w:t>
      </w:r>
      <w:r w:rsidRPr="002F2981">
        <w:rPr>
          <w:sz w:val="20"/>
          <w:szCs w:val="20"/>
        </w:rPr>
        <w:t>, [1987] 2 SCR 168 [</w:t>
      </w:r>
      <w:r w:rsidRPr="002F2981">
        <w:rPr>
          <w:i/>
          <w:iCs/>
          <w:sz w:val="20"/>
          <w:szCs w:val="20"/>
        </w:rPr>
        <w:t>Yebes</w:t>
      </w:r>
      <w:r w:rsidRPr="002F2981">
        <w:rPr>
          <w:sz w:val="20"/>
          <w:szCs w:val="20"/>
        </w:rPr>
        <w:t>] at para 20.</w:t>
      </w:r>
    </w:p>
    <w:p w14:paraId="09FAA702" w14:textId="77777777" w:rsidR="002F2981" w:rsidRPr="002F2981" w:rsidRDefault="002F2981" w:rsidP="002F2981">
      <w:pPr>
        <w:pStyle w:val="WSParaNum"/>
        <w:numPr>
          <w:ilvl w:val="0"/>
          <w:numId w:val="0"/>
        </w:numPr>
        <w:ind w:firstLine="720"/>
        <w:rPr>
          <w:sz w:val="20"/>
          <w:szCs w:val="20"/>
        </w:rPr>
      </w:pPr>
      <w:r w:rsidRPr="002F2981">
        <w:rPr>
          <w:i/>
          <w:iCs/>
          <w:sz w:val="20"/>
          <w:szCs w:val="20"/>
        </w:rPr>
        <w:t>R v Biniaris</w:t>
      </w:r>
      <w:r w:rsidRPr="002F2981">
        <w:rPr>
          <w:sz w:val="20"/>
          <w:szCs w:val="20"/>
        </w:rPr>
        <w:t>, [2000] 1 SCR 381 [</w:t>
      </w:r>
      <w:r w:rsidRPr="002F2981">
        <w:rPr>
          <w:i/>
          <w:iCs/>
          <w:sz w:val="20"/>
          <w:szCs w:val="20"/>
        </w:rPr>
        <w:t>Biniaris</w:t>
      </w:r>
      <w:r w:rsidRPr="002F2981">
        <w:rPr>
          <w:sz w:val="20"/>
          <w:szCs w:val="20"/>
        </w:rPr>
        <w:t xml:space="preserve">] at para 19. </w:t>
      </w:r>
    </w:p>
    <w:p w14:paraId="6FE5A581" w14:textId="77777777" w:rsidR="002F2981" w:rsidRPr="002F2981" w:rsidRDefault="002F2981" w:rsidP="002F2981">
      <w:pPr>
        <w:pStyle w:val="WSParaNum"/>
        <w:numPr>
          <w:ilvl w:val="0"/>
          <w:numId w:val="0"/>
        </w:numPr>
        <w:ind w:firstLine="720"/>
        <w:rPr>
          <w:sz w:val="20"/>
          <w:szCs w:val="20"/>
        </w:rPr>
      </w:pPr>
      <w:r w:rsidRPr="002F2981">
        <w:rPr>
          <w:i/>
          <w:iCs/>
          <w:sz w:val="20"/>
          <w:szCs w:val="20"/>
        </w:rPr>
        <w:lastRenderedPageBreak/>
        <w:t>POA supra</w:t>
      </w:r>
      <w:r w:rsidRPr="002F2981">
        <w:rPr>
          <w:sz w:val="20"/>
          <w:szCs w:val="20"/>
        </w:rPr>
        <w:t xml:space="preserve"> at s 120(1)(a)(i).</w:t>
      </w:r>
    </w:p>
    <w:p w14:paraId="580B4564" w14:textId="77777777" w:rsidR="002F2981" w:rsidRPr="002F2981" w:rsidRDefault="002F2981" w:rsidP="002F2981">
      <w:pPr>
        <w:pStyle w:val="WSParaNum"/>
        <w:numPr>
          <w:ilvl w:val="0"/>
          <w:numId w:val="0"/>
        </w:numPr>
        <w:ind w:firstLine="720"/>
        <w:rPr>
          <w:sz w:val="20"/>
          <w:szCs w:val="20"/>
        </w:rPr>
      </w:pPr>
      <w:r w:rsidRPr="002F2981">
        <w:rPr>
          <w:i/>
          <w:iCs/>
          <w:sz w:val="20"/>
          <w:szCs w:val="20"/>
        </w:rPr>
        <w:t>R v Zuber</w:t>
      </w:r>
      <w:r w:rsidRPr="002F2981">
        <w:rPr>
          <w:sz w:val="20"/>
          <w:szCs w:val="20"/>
        </w:rPr>
        <w:t>, [2004] OJ No 2989 [</w:t>
      </w:r>
      <w:r w:rsidRPr="002F2981">
        <w:rPr>
          <w:i/>
          <w:iCs/>
          <w:sz w:val="20"/>
          <w:szCs w:val="20"/>
        </w:rPr>
        <w:t>Zuber</w:t>
      </w:r>
      <w:r w:rsidRPr="002F2981">
        <w:rPr>
          <w:sz w:val="20"/>
          <w:szCs w:val="20"/>
        </w:rPr>
        <w:t xml:space="preserve">] at para 12. </w:t>
      </w:r>
    </w:p>
    <w:p w14:paraId="4371ED29" w14:textId="77777777" w:rsidR="002F2981" w:rsidRDefault="002F2981" w:rsidP="002F2981">
      <w:pPr>
        <w:pStyle w:val="WSParaNum"/>
      </w:pPr>
      <w:r>
        <w:t xml:space="preserve">Criminal appellate jurisprudence has long recognized the test governing intervention on appeals from conviction under the </w:t>
      </w:r>
      <w:r>
        <w:rPr>
          <w:i/>
          <w:iCs/>
        </w:rPr>
        <w:t>Criminal Code</w:t>
      </w:r>
      <w:r>
        <w:t xml:space="preserve">. Both the </w:t>
      </w:r>
      <w:r>
        <w:rPr>
          <w:i/>
          <w:iCs/>
        </w:rPr>
        <w:t>Criminal Code</w:t>
      </w:r>
      <w:r>
        <w:t xml:space="preserve"> and the </w:t>
      </w:r>
      <w:r>
        <w:rPr>
          <w:i/>
          <w:iCs/>
        </w:rPr>
        <w:t xml:space="preserve">POA </w:t>
      </w:r>
      <w:r>
        <w:t xml:space="preserve">provide that, on an appeal from a conviction, the court may allow the appeal where it concludes that, “the verdict should be set aside on the ground that it is unreasonable or cannot be supported by the evidence”. </w:t>
      </w:r>
    </w:p>
    <w:p w14:paraId="04A423F3" w14:textId="77777777" w:rsidR="002F2981" w:rsidRPr="00B572BA" w:rsidRDefault="002F2981" w:rsidP="00B572BA">
      <w:pPr>
        <w:pStyle w:val="WSParaNum"/>
        <w:numPr>
          <w:ilvl w:val="0"/>
          <w:numId w:val="0"/>
        </w:numPr>
        <w:ind w:firstLine="720"/>
        <w:rPr>
          <w:sz w:val="20"/>
          <w:szCs w:val="20"/>
        </w:rPr>
      </w:pPr>
      <w:r w:rsidRPr="00B572BA">
        <w:rPr>
          <w:i/>
          <w:iCs/>
          <w:sz w:val="20"/>
          <w:szCs w:val="20"/>
        </w:rPr>
        <w:t>POA</w:t>
      </w:r>
      <w:r w:rsidRPr="00B572BA">
        <w:rPr>
          <w:sz w:val="20"/>
          <w:szCs w:val="20"/>
        </w:rPr>
        <w:t xml:space="preserve"> </w:t>
      </w:r>
      <w:r w:rsidRPr="00B572BA">
        <w:rPr>
          <w:i/>
          <w:iCs/>
          <w:sz w:val="20"/>
          <w:szCs w:val="20"/>
        </w:rPr>
        <w:t xml:space="preserve">supra </w:t>
      </w:r>
      <w:r w:rsidRPr="00B572BA">
        <w:rPr>
          <w:sz w:val="20"/>
          <w:szCs w:val="20"/>
        </w:rPr>
        <w:t>at s 120(1)(a)(i).</w:t>
      </w:r>
    </w:p>
    <w:p w14:paraId="2803E3E4" w14:textId="77777777" w:rsidR="002F2981" w:rsidRPr="00B572BA" w:rsidRDefault="002F2981" w:rsidP="00B572BA">
      <w:pPr>
        <w:pStyle w:val="WSParaNum"/>
        <w:numPr>
          <w:ilvl w:val="0"/>
          <w:numId w:val="0"/>
        </w:numPr>
        <w:ind w:firstLine="720"/>
        <w:rPr>
          <w:sz w:val="20"/>
          <w:szCs w:val="20"/>
        </w:rPr>
      </w:pPr>
      <w:r w:rsidRPr="00B572BA">
        <w:rPr>
          <w:i/>
          <w:iCs/>
          <w:sz w:val="20"/>
          <w:szCs w:val="20"/>
        </w:rPr>
        <w:t>Criminal Code</w:t>
      </w:r>
      <w:r w:rsidRPr="00B572BA">
        <w:rPr>
          <w:sz w:val="20"/>
          <w:szCs w:val="20"/>
        </w:rPr>
        <w:t>, RSC 1985, c C-46 at s 686(1)(a)(i).</w:t>
      </w:r>
    </w:p>
    <w:p w14:paraId="384A67A9" w14:textId="77777777" w:rsidR="002F2981" w:rsidRDefault="002F2981" w:rsidP="002F2981">
      <w:pPr>
        <w:pStyle w:val="WSParaNum"/>
      </w:pPr>
      <w:r>
        <w:t xml:space="preserve">Given the identical provisions in the </w:t>
      </w:r>
      <w:r>
        <w:rPr>
          <w:i/>
          <w:iCs/>
        </w:rPr>
        <w:t xml:space="preserve">Criminal Code </w:t>
      </w:r>
      <w:r>
        <w:t xml:space="preserve">and the </w:t>
      </w:r>
      <w:r>
        <w:rPr>
          <w:i/>
          <w:iCs/>
        </w:rPr>
        <w:t>POA</w:t>
      </w:r>
      <w:r>
        <w:t xml:space="preserve">, and the quasi-criminal nature of the offence in question, the test developed in the criminal law context should apply to this case. When dealing with regulatory offences, courts have adopted the existing </w:t>
      </w:r>
      <w:r>
        <w:rPr>
          <w:i/>
          <w:iCs/>
        </w:rPr>
        <w:t>Criminal Code</w:t>
      </w:r>
      <w:r>
        <w:t xml:space="preserve"> jurisprudence. The ONCA Decision held that there is no basis to decline application of the conviction appeal test in the </w:t>
      </w:r>
      <w:r>
        <w:rPr>
          <w:i/>
          <w:iCs/>
        </w:rPr>
        <w:t xml:space="preserve">POA </w:t>
      </w:r>
      <w:r>
        <w:t>context.</w:t>
      </w:r>
    </w:p>
    <w:p w14:paraId="1977A353" w14:textId="77777777" w:rsidR="002F2981" w:rsidRPr="00B572BA" w:rsidRDefault="002F2981" w:rsidP="00B572BA">
      <w:pPr>
        <w:pStyle w:val="WSParaNum"/>
        <w:numPr>
          <w:ilvl w:val="0"/>
          <w:numId w:val="0"/>
        </w:numPr>
        <w:ind w:firstLine="720"/>
        <w:rPr>
          <w:sz w:val="20"/>
          <w:szCs w:val="20"/>
        </w:rPr>
      </w:pPr>
      <w:r w:rsidRPr="00B572BA">
        <w:rPr>
          <w:i/>
          <w:iCs/>
          <w:sz w:val="20"/>
          <w:szCs w:val="20"/>
        </w:rPr>
        <w:t>Zuber</w:t>
      </w:r>
      <w:r w:rsidRPr="00B572BA">
        <w:rPr>
          <w:sz w:val="20"/>
          <w:szCs w:val="20"/>
        </w:rPr>
        <w:t xml:space="preserve"> at para 12.</w:t>
      </w:r>
    </w:p>
    <w:p w14:paraId="1DC17455" w14:textId="77777777" w:rsidR="002F2981" w:rsidRPr="00B572BA" w:rsidRDefault="002F2981" w:rsidP="00B572BA">
      <w:pPr>
        <w:pStyle w:val="WSParaNum"/>
        <w:numPr>
          <w:ilvl w:val="0"/>
          <w:numId w:val="0"/>
        </w:numPr>
        <w:ind w:firstLine="720"/>
        <w:rPr>
          <w:sz w:val="20"/>
          <w:szCs w:val="20"/>
        </w:rPr>
      </w:pPr>
      <w:r w:rsidRPr="00B572BA">
        <w:rPr>
          <w:sz w:val="20"/>
          <w:szCs w:val="20"/>
        </w:rPr>
        <w:t xml:space="preserve">ONCA Decision </w:t>
      </w:r>
      <w:r w:rsidRPr="00B572BA">
        <w:rPr>
          <w:i/>
          <w:iCs/>
          <w:sz w:val="20"/>
          <w:szCs w:val="20"/>
        </w:rPr>
        <w:t>supra</w:t>
      </w:r>
      <w:r w:rsidRPr="00B572BA">
        <w:rPr>
          <w:sz w:val="20"/>
          <w:szCs w:val="20"/>
        </w:rPr>
        <w:t xml:space="preserve"> at para 26.</w:t>
      </w:r>
    </w:p>
    <w:p w14:paraId="219897CE" w14:textId="77777777" w:rsidR="002F2981" w:rsidRDefault="002F2981" w:rsidP="002F2981">
      <w:pPr>
        <w:pStyle w:val="WSParaNum"/>
      </w:pPr>
      <w:r>
        <w:t xml:space="preserve">The </w:t>
      </w:r>
      <w:r>
        <w:rPr>
          <w:i/>
          <w:iCs/>
        </w:rPr>
        <w:t xml:space="preserve">Criminal Code </w:t>
      </w:r>
      <w:r>
        <w:t xml:space="preserve">and </w:t>
      </w:r>
      <w:r>
        <w:rPr>
          <w:i/>
          <w:iCs/>
        </w:rPr>
        <w:t xml:space="preserve">POA </w:t>
      </w:r>
      <w:r>
        <w:t>set out the applicable grounds for review when a court hears an appeal against a conviction. One of the grounds for setting aside a conviction is that it is “unreasonable”, or “cannot be supported by the evidence”.</w:t>
      </w:r>
    </w:p>
    <w:p w14:paraId="760472C7" w14:textId="77777777" w:rsidR="002F2981" w:rsidRPr="00B572BA" w:rsidRDefault="002F2981" w:rsidP="00B572BA">
      <w:pPr>
        <w:pStyle w:val="WSParaNum"/>
        <w:numPr>
          <w:ilvl w:val="0"/>
          <w:numId w:val="0"/>
        </w:numPr>
        <w:ind w:firstLine="720"/>
        <w:rPr>
          <w:sz w:val="20"/>
          <w:szCs w:val="20"/>
        </w:rPr>
      </w:pPr>
      <w:r w:rsidRPr="00B572BA">
        <w:rPr>
          <w:i/>
          <w:iCs/>
          <w:sz w:val="20"/>
          <w:szCs w:val="20"/>
        </w:rPr>
        <w:t xml:space="preserve">POA supra </w:t>
      </w:r>
      <w:r w:rsidRPr="00B572BA">
        <w:rPr>
          <w:sz w:val="20"/>
          <w:szCs w:val="20"/>
        </w:rPr>
        <w:t>at s 120(1)(a)(i).</w:t>
      </w:r>
    </w:p>
    <w:p w14:paraId="23B43E4C" w14:textId="77777777" w:rsidR="002F2981" w:rsidRPr="00B572BA" w:rsidRDefault="002F2981" w:rsidP="00B572BA">
      <w:pPr>
        <w:pStyle w:val="WSParaNum"/>
        <w:numPr>
          <w:ilvl w:val="0"/>
          <w:numId w:val="0"/>
        </w:numPr>
        <w:ind w:firstLine="720"/>
        <w:rPr>
          <w:sz w:val="20"/>
          <w:szCs w:val="20"/>
        </w:rPr>
      </w:pPr>
      <w:r w:rsidRPr="00B572BA">
        <w:rPr>
          <w:sz w:val="20"/>
          <w:szCs w:val="20"/>
        </w:rPr>
        <w:t>Criminal Code supra at s 686(1)(a)(i).</w:t>
      </w:r>
    </w:p>
    <w:p w14:paraId="54C6A2C7" w14:textId="77777777" w:rsidR="002F2981" w:rsidRDefault="002F2981" w:rsidP="002F2981">
      <w:pPr>
        <w:pStyle w:val="WSParaNum"/>
      </w:pPr>
      <w:r>
        <w:t xml:space="preserve">In the relevant case law, the test for appellate intervention in overturning a conviction is “whether the verdict is one that a properly instructed jury acting judicially, could have reasonably rendered”. While the test first stated in </w:t>
      </w:r>
      <w:r>
        <w:rPr>
          <w:i/>
          <w:iCs/>
        </w:rPr>
        <w:t xml:space="preserve">Yebes </w:t>
      </w:r>
      <w:r>
        <w:t>refers to a jury, it also applies to a judge or a single trier of fact.</w:t>
      </w:r>
    </w:p>
    <w:p w14:paraId="635F9CD5" w14:textId="77777777" w:rsidR="002F2981" w:rsidRPr="00B572BA" w:rsidRDefault="002F2981" w:rsidP="00B572BA">
      <w:pPr>
        <w:pStyle w:val="WSParaNum"/>
        <w:numPr>
          <w:ilvl w:val="0"/>
          <w:numId w:val="0"/>
        </w:numPr>
        <w:ind w:firstLine="720"/>
        <w:rPr>
          <w:sz w:val="20"/>
          <w:szCs w:val="20"/>
        </w:rPr>
      </w:pPr>
      <w:r w:rsidRPr="00B572BA">
        <w:rPr>
          <w:i/>
          <w:iCs/>
          <w:sz w:val="20"/>
          <w:szCs w:val="20"/>
        </w:rPr>
        <w:t>Yebes</w:t>
      </w:r>
      <w:r w:rsidRPr="00B572BA">
        <w:rPr>
          <w:sz w:val="20"/>
          <w:szCs w:val="20"/>
        </w:rPr>
        <w:t xml:space="preserve"> supra at para 23.</w:t>
      </w:r>
    </w:p>
    <w:p w14:paraId="661090D6" w14:textId="77777777" w:rsidR="002F2981" w:rsidRPr="00B572BA" w:rsidRDefault="002F2981" w:rsidP="00B572BA">
      <w:pPr>
        <w:pStyle w:val="WSParaNum"/>
        <w:numPr>
          <w:ilvl w:val="0"/>
          <w:numId w:val="0"/>
        </w:numPr>
        <w:ind w:firstLine="720"/>
        <w:rPr>
          <w:sz w:val="20"/>
          <w:szCs w:val="20"/>
        </w:rPr>
      </w:pPr>
      <w:r w:rsidRPr="00B572BA">
        <w:rPr>
          <w:i/>
          <w:iCs/>
          <w:sz w:val="20"/>
          <w:szCs w:val="20"/>
        </w:rPr>
        <w:t>Biniaris</w:t>
      </w:r>
      <w:r w:rsidRPr="00B572BA">
        <w:rPr>
          <w:sz w:val="20"/>
          <w:szCs w:val="20"/>
        </w:rPr>
        <w:t xml:space="preserve"> </w:t>
      </w:r>
      <w:r w:rsidRPr="00B572BA">
        <w:rPr>
          <w:i/>
          <w:iCs/>
          <w:sz w:val="20"/>
          <w:szCs w:val="20"/>
        </w:rPr>
        <w:t xml:space="preserve">supra </w:t>
      </w:r>
      <w:r w:rsidRPr="00B572BA">
        <w:rPr>
          <w:sz w:val="20"/>
          <w:szCs w:val="20"/>
        </w:rPr>
        <w:t>at paras 19, 36—37 and 42.</w:t>
      </w:r>
    </w:p>
    <w:p w14:paraId="24914C71" w14:textId="77777777" w:rsidR="002F2981" w:rsidRDefault="002F2981" w:rsidP="002F2981">
      <w:pPr>
        <w:pStyle w:val="WSParaNum"/>
      </w:pPr>
      <w:r>
        <w:t xml:space="preserve">Where the conviction is based on circumstantial evidence, the test is modified to whether the trier of fact could, “reasonably be satisfied that </w:t>
      </w:r>
      <w:r>
        <w:rPr>
          <w:i/>
          <w:iCs/>
        </w:rPr>
        <w:t xml:space="preserve">the accused’s guilt was the only reasonable </w:t>
      </w:r>
      <w:r>
        <w:rPr>
          <w:i/>
          <w:iCs/>
        </w:rPr>
        <w:lastRenderedPageBreak/>
        <w:t>conclusion available on the totality of the evidence</w:t>
      </w:r>
      <w:r>
        <w:t xml:space="preserve">”. The applicable burden of proof remains beyond a reasonable doubt. </w:t>
      </w:r>
    </w:p>
    <w:p w14:paraId="752E57B3" w14:textId="77777777" w:rsidR="002F2981" w:rsidRPr="00B572BA" w:rsidRDefault="002F2981" w:rsidP="00B572BA">
      <w:pPr>
        <w:pStyle w:val="WSParaNum"/>
        <w:numPr>
          <w:ilvl w:val="0"/>
          <w:numId w:val="0"/>
        </w:numPr>
        <w:ind w:firstLine="720"/>
        <w:rPr>
          <w:sz w:val="20"/>
          <w:szCs w:val="20"/>
        </w:rPr>
      </w:pPr>
      <w:r w:rsidRPr="00B572BA">
        <w:rPr>
          <w:i/>
          <w:iCs/>
          <w:sz w:val="20"/>
          <w:szCs w:val="20"/>
        </w:rPr>
        <w:t>R v Villaroman</w:t>
      </w:r>
      <w:r w:rsidRPr="00B572BA">
        <w:rPr>
          <w:sz w:val="20"/>
          <w:szCs w:val="20"/>
        </w:rPr>
        <w:t>, [2016] 1 SCR 1000 [</w:t>
      </w:r>
      <w:r w:rsidRPr="00B572BA">
        <w:rPr>
          <w:i/>
          <w:iCs/>
          <w:sz w:val="20"/>
          <w:szCs w:val="20"/>
        </w:rPr>
        <w:t>Villaroman</w:t>
      </w:r>
      <w:r w:rsidRPr="00B572BA">
        <w:rPr>
          <w:sz w:val="20"/>
          <w:szCs w:val="20"/>
        </w:rPr>
        <w:t>] at para 55.</w:t>
      </w:r>
    </w:p>
    <w:p w14:paraId="0DE76744" w14:textId="77777777" w:rsidR="002F2981" w:rsidRDefault="002F2981" w:rsidP="002F2981">
      <w:pPr>
        <w:pStyle w:val="WSParaNum"/>
      </w:pPr>
      <w:r>
        <w:t xml:space="preserve">The test asks whether another reasonable inference could be drawn from the evidence. If the answer is yes, then the verdict is not supported by the evidence. </w:t>
      </w:r>
    </w:p>
    <w:p w14:paraId="01714B49" w14:textId="77777777" w:rsidR="002F2981" w:rsidRDefault="002F2981" w:rsidP="002F2981">
      <w:pPr>
        <w:pStyle w:val="WSParaNum"/>
      </w:pPr>
      <w:r>
        <w:t>Applying the test requires the appeal court to re-examine, and to some extent, reweigh evidence. A verdict may be deemed unreasonable where the trial justice materially misapprehended the evidence, the reasons and verdict are inconsistent with the finding of facts made, or the trial justice was not alive to an applicable legal principle.</w:t>
      </w:r>
    </w:p>
    <w:p w14:paraId="7261F01B" w14:textId="77777777" w:rsidR="002F2981" w:rsidRPr="00B572BA" w:rsidRDefault="002F2981" w:rsidP="00B572BA">
      <w:pPr>
        <w:pStyle w:val="WSParaNum"/>
        <w:numPr>
          <w:ilvl w:val="0"/>
          <w:numId w:val="0"/>
        </w:numPr>
        <w:ind w:firstLine="720"/>
        <w:rPr>
          <w:sz w:val="20"/>
          <w:szCs w:val="20"/>
        </w:rPr>
      </w:pPr>
      <w:r w:rsidRPr="00B572BA">
        <w:rPr>
          <w:i/>
          <w:iCs/>
          <w:sz w:val="20"/>
          <w:szCs w:val="20"/>
        </w:rPr>
        <w:t>Yebes supra</w:t>
      </w:r>
      <w:r w:rsidRPr="00B572BA">
        <w:rPr>
          <w:sz w:val="20"/>
          <w:szCs w:val="20"/>
        </w:rPr>
        <w:t xml:space="preserve"> at para 25.</w:t>
      </w:r>
    </w:p>
    <w:p w14:paraId="32452BAE" w14:textId="77777777" w:rsidR="00B572BA" w:rsidRPr="00B572BA" w:rsidRDefault="002F2981" w:rsidP="00B572BA">
      <w:pPr>
        <w:pStyle w:val="WSParaNum"/>
        <w:numPr>
          <w:ilvl w:val="0"/>
          <w:numId w:val="0"/>
        </w:numPr>
        <w:ind w:firstLine="720"/>
        <w:rPr>
          <w:sz w:val="20"/>
          <w:szCs w:val="20"/>
        </w:rPr>
      </w:pPr>
      <w:r w:rsidRPr="00B572BA">
        <w:rPr>
          <w:i/>
          <w:iCs/>
          <w:sz w:val="20"/>
          <w:szCs w:val="20"/>
        </w:rPr>
        <w:t>Villaroman supra</w:t>
      </w:r>
      <w:r w:rsidRPr="00B572BA">
        <w:rPr>
          <w:sz w:val="20"/>
          <w:szCs w:val="20"/>
        </w:rPr>
        <w:t xml:space="preserve"> at para 55.</w:t>
      </w:r>
    </w:p>
    <w:p w14:paraId="22A97892" w14:textId="77777777" w:rsidR="002F2981" w:rsidRPr="00B572BA" w:rsidRDefault="002F2981" w:rsidP="00B572BA">
      <w:pPr>
        <w:pStyle w:val="WSParaNum"/>
        <w:numPr>
          <w:ilvl w:val="0"/>
          <w:numId w:val="0"/>
        </w:numPr>
        <w:ind w:firstLine="720"/>
        <w:rPr>
          <w:sz w:val="20"/>
          <w:szCs w:val="20"/>
        </w:rPr>
      </w:pPr>
      <w:r w:rsidRPr="00B572BA">
        <w:rPr>
          <w:i/>
          <w:iCs/>
          <w:sz w:val="20"/>
          <w:szCs w:val="20"/>
        </w:rPr>
        <w:t>R v Roebuck</w:t>
      </w:r>
      <w:r w:rsidRPr="00B572BA">
        <w:rPr>
          <w:sz w:val="20"/>
          <w:szCs w:val="20"/>
        </w:rPr>
        <w:t>, 2024 ABCA 143 at paras 21 and 24.</w:t>
      </w:r>
    </w:p>
    <w:p w14:paraId="5A834205" w14:textId="77777777" w:rsidR="002F2981" w:rsidRDefault="002F2981" w:rsidP="002F2981">
      <w:pPr>
        <w:pStyle w:val="WSParaNum"/>
      </w:pPr>
      <w:r>
        <w:t xml:space="preserve">The Crown submits that the Appeal Judge impermissibly reweighed the Sightings without a palpable and overriding error and without deference as required by the reasonableness standard of review. However, the reasonableness standard was not engaged here. Instead, the jurisprudence is clear that the appeal of a conviction is an error of law, which asks whether the verdict </w:t>
      </w:r>
      <w:r>
        <w:rPr>
          <w:i/>
          <w:iCs/>
        </w:rPr>
        <w:t>could</w:t>
      </w:r>
      <w:r>
        <w:t xml:space="preserve"> reasonably have been reached by the trier of fact. </w:t>
      </w:r>
    </w:p>
    <w:p w14:paraId="78889081" w14:textId="77777777" w:rsidR="002F2981" w:rsidRPr="00B572BA" w:rsidRDefault="002F2981" w:rsidP="00B572BA">
      <w:pPr>
        <w:pStyle w:val="WSParaNum"/>
        <w:numPr>
          <w:ilvl w:val="0"/>
          <w:numId w:val="0"/>
        </w:numPr>
        <w:ind w:firstLine="720"/>
        <w:rPr>
          <w:sz w:val="20"/>
          <w:szCs w:val="20"/>
        </w:rPr>
      </w:pPr>
      <w:r w:rsidRPr="00B572BA">
        <w:rPr>
          <w:sz w:val="20"/>
          <w:szCs w:val="20"/>
        </w:rPr>
        <w:t xml:space="preserve">FOA </w:t>
      </w:r>
      <w:r w:rsidRPr="00B572BA">
        <w:rPr>
          <w:i/>
          <w:iCs/>
          <w:sz w:val="20"/>
          <w:szCs w:val="20"/>
        </w:rPr>
        <w:t>supra</w:t>
      </w:r>
      <w:r w:rsidRPr="00B572BA">
        <w:rPr>
          <w:sz w:val="20"/>
          <w:szCs w:val="20"/>
        </w:rPr>
        <w:t xml:space="preserve"> at para 37.</w:t>
      </w:r>
    </w:p>
    <w:p w14:paraId="2A1CAB23" w14:textId="77777777" w:rsidR="002F2981" w:rsidRPr="00B572BA" w:rsidRDefault="002F2981" w:rsidP="00B572BA">
      <w:pPr>
        <w:pStyle w:val="WSParaNum"/>
        <w:numPr>
          <w:ilvl w:val="0"/>
          <w:numId w:val="0"/>
        </w:numPr>
        <w:ind w:firstLine="720"/>
        <w:rPr>
          <w:sz w:val="20"/>
          <w:szCs w:val="20"/>
        </w:rPr>
      </w:pPr>
      <w:r w:rsidRPr="00B572BA">
        <w:rPr>
          <w:i/>
          <w:iCs/>
          <w:sz w:val="20"/>
          <w:szCs w:val="20"/>
        </w:rPr>
        <w:t xml:space="preserve">Housen supra </w:t>
      </w:r>
      <w:r w:rsidRPr="00B572BA">
        <w:rPr>
          <w:sz w:val="20"/>
          <w:szCs w:val="20"/>
        </w:rPr>
        <w:t>at paras 10—11.</w:t>
      </w:r>
    </w:p>
    <w:p w14:paraId="28DE2460" w14:textId="77777777" w:rsidR="002F2981" w:rsidRPr="00B572BA" w:rsidRDefault="002F2981" w:rsidP="00B572BA">
      <w:pPr>
        <w:pStyle w:val="WSParaNum"/>
        <w:numPr>
          <w:ilvl w:val="0"/>
          <w:numId w:val="0"/>
        </w:numPr>
        <w:ind w:firstLine="720"/>
        <w:rPr>
          <w:sz w:val="20"/>
          <w:szCs w:val="20"/>
        </w:rPr>
      </w:pPr>
      <w:r w:rsidRPr="00B572BA">
        <w:rPr>
          <w:i/>
          <w:iCs/>
          <w:sz w:val="20"/>
          <w:szCs w:val="20"/>
        </w:rPr>
        <w:t xml:space="preserve">Yebes supra </w:t>
      </w:r>
      <w:r w:rsidRPr="00B572BA">
        <w:rPr>
          <w:sz w:val="20"/>
          <w:szCs w:val="20"/>
        </w:rPr>
        <w:t>at paras 20 and 23.</w:t>
      </w:r>
    </w:p>
    <w:p w14:paraId="6D26355D" w14:textId="77777777" w:rsidR="002F2981" w:rsidRPr="00B572BA" w:rsidRDefault="002F2981" w:rsidP="00B572BA">
      <w:pPr>
        <w:pStyle w:val="Heading3"/>
        <w:rPr>
          <w:rFonts w:ascii="Times New Roman" w:hAnsi="Times New Roman"/>
          <w:sz w:val="24"/>
          <w:szCs w:val="24"/>
        </w:rPr>
      </w:pPr>
      <w:bookmarkStart w:id="24" w:name="_heading=h.18r21cjlomwu" w:colFirst="0" w:colLast="0"/>
      <w:bookmarkStart w:id="25" w:name="_Toc220075828"/>
      <w:bookmarkEnd w:id="24"/>
      <w:r w:rsidRPr="00B572BA">
        <w:rPr>
          <w:rFonts w:ascii="Times New Roman" w:hAnsi="Times New Roman"/>
          <w:sz w:val="24"/>
          <w:szCs w:val="24"/>
        </w:rPr>
        <w:t>The Trial Justice Made Unreasonable Inferences About the Sightings</w:t>
      </w:r>
      <w:bookmarkEnd w:id="25"/>
      <w:r w:rsidRPr="00B572BA">
        <w:rPr>
          <w:rFonts w:ascii="Times New Roman" w:hAnsi="Times New Roman"/>
          <w:sz w:val="24"/>
          <w:szCs w:val="24"/>
        </w:rPr>
        <w:t xml:space="preserve"> </w:t>
      </w:r>
    </w:p>
    <w:p w14:paraId="6DDA1D5B" w14:textId="77777777" w:rsidR="002F2981" w:rsidRDefault="002F2981" w:rsidP="002F2981">
      <w:pPr>
        <w:pStyle w:val="WSParaNum"/>
      </w:pPr>
      <w:r>
        <w:t xml:space="preserve">The Sightings presented by the Crown could only provide circumstantial evidence that the Site was Blanding’s turtle habitat. On a review of the totality of the evidence, the Blanding’s turtle’s presence is not the </w:t>
      </w:r>
      <w:r>
        <w:rPr>
          <w:i/>
          <w:iCs/>
        </w:rPr>
        <w:t xml:space="preserve">only </w:t>
      </w:r>
      <w:r>
        <w:t>reasonable inference that could be drawn.</w:t>
      </w:r>
    </w:p>
    <w:p w14:paraId="63A50D8A" w14:textId="77777777" w:rsidR="002F2981" w:rsidRPr="00B572BA" w:rsidRDefault="002F2981" w:rsidP="00B572BA">
      <w:pPr>
        <w:pStyle w:val="WSParaNum"/>
        <w:numPr>
          <w:ilvl w:val="0"/>
          <w:numId w:val="0"/>
        </w:numPr>
        <w:ind w:firstLine="720"/>
        <w:rPr>
          <w:sz w:val="20"/>
          <w:szCs w:val="20"/>
        </w:rPr>
      </w:pPr>
      <w:r w:rsidRPr="00B572BA">
        <w:rPr>
          <w:i/>
          <w:iCs/>
          <w:sz w:val="20"/>
          <w:szCs w:val="20"/>
        </w:rPr>
        <w:t>Villaroman supra</w:t>
      </w:r>
      <w:r w:rsidRPr="00B572BA">
        <w:rPr>
          <w:sz w:val="20"/>
          <w:szCs w:val="20"/>
        </w:rPr>
        <w:t xml:space="preserve"> at para 55.</w:t>
      </w:r>
    </w:p>
    <w:p w14:paraId="4E054D1C" w14:textId="77777777" w:rsidR="002F2981" w:rsidRDefault="002F2981" w:rsidP="002F2981">
      <w:pPr>
        <w:pStyle w:val="WSParaNum"/>
      </w:pPr>
      <w:r>
        <w:t>The ONCA Decision further confirms that though the Trial Justice remains open to make circumstantial inferences about the species’ use of the Site, proof of use at the time of the offence is also required.</w:t>
      </w:r>
    </w:p>
    <w:p w14:paraId="3C6C0D2E" w14:textId="77777777" w:rsidR="002F2981" w:rsidRPr="00B572BA" w:rsidRDefault="002F2981" w:rsidP="00B572BA">
      <w:pPr>
        <w:pStyle w:val="WSParaNum"/>
        <w:numPr>
          <w:ilvl w:val="0"/>
          <w:numId w:val="0"/>
        </w:numPr>
        <w:ind w:firstLine="720"/>
        <w:rPr>
          <w:sz w:val="20"/>
          <w:szCs w:val="20"/>
        </w:rPr>
      </w:pPr>
      <w:r w:rsidRPr="00B572BA">
        <w:rPr>
          <w:i/>
          <w:iCs/>
          <w:sz w:val="20"/>
          <w:szCs w:val="20"/>
        </w:rPr>
        <w:lastRenderedPageBreak/>
        <w:t xml:space="preserve">ESA supra </w:t>
      </w:r>
      <w:r w:rsidRPr="00B572BA">
        <w:rPr>
          <w:sz w:val="20"/>
          <w:szCs w:val="20"/>
        </w:rPr>
        <w:t>at s 2(2).</w:t>
      </w:r>
    </w:p>
    <w:p w14:paraId="184267AB" w14:textId="77777777" w:rsidR="002F2981" w:rsidRPr="00B572BA" w:rsidRDefault="002F2981" w:rsidP="00B572BA">
      <w:pPr>
        <w:pStyle w:val="WSParaNum"/>
        <w:numPr>
          <w:ilvl w:val="0"/>
          <w:numId w:val="0"/>
        </w:numPr>
        <w:ind w:firstLine="720"/>
        <w:rPr>
          <w:sz w:val="20"/>
          <w:szCs w:val="20"/>
        </w:rPr>
      </w:pPr>
      <w:r w:rsidRPr="00B572BA">
        <w:rPr>
          <w:sz w:val="20"/>
          <w:szCs w:val="20"/>
        </w:rPr>
        <w:t xml:space="preserve">ONCA Decision </w:t>
      </w:r>
      <w:r w:rsidRPr="00B572BA">
        <w:rPr>
          <w:i/>
          <w:iCs/>
          <w:sz w:val="20"/>
          <w:szCs w:val="20"/>
        </w:rPr>
        <w:t>supra</w:t>
      </w:r>
      <w:r w:rsidRPr="00B572BA">
        <w:rPr>
          <w:sz w:val="20"/>
          <w:szCs w:val="20"/>
        </w:rPr>
        <w:t xml:space="preserve"> at para 33.</w:t>
      </w:r>
    </w:p>
    <w:p w14:paraId="468FC950" w14:textId="77777777" w:rsidR="002F2981" w:rsidRDefault="002F2981" w:rsidP="002F2981">
      <w:pPr>
        <w:pStyle w:val="WSParaNum"/>
      </w:pPr>
      <w:r>
        <w:t xml:space="preserve">The Before Sightings predate the offence, some by more than a decade and were not at the Site itself. The 2020 Sighting similarly does not place a Blanding’s turtle at the Site within the alleged offence window. None of the Sightings demonstrate habituation in the form of life processes, as required by the </w:t>
      </w:r>
      <w:r>
        <w:rPr>
          <w:i/>
          <w:iCs/>
        </w:rPr>
        <w:t xml:space="preserve">ESA. </w:t>
      </w:r>
    </w:p>
    <w:p w14:paraId="152AD2C3" w14:textId="77777777" w:rsidR="002F2981" w:rsidRPr="00B572BA" w:rsidRDefault="002F2981" w:rsidP="00B572BA">
      <w:pPr>
        <w:pStyle w:val="WSParaNum"/>
        <w:numPr>
          <w:ilvl w:val="0"/>
          <w:numId w:val="0"/>
        </w:numPr>
        <w:ind w:firstLine="720"/>
        <w:rPr>
          <w:sz w:val="20"/>
          <w:szCs w:val="20"/>
        </w:rPr>
      </w:pPr>
      <w:r w:rsidRPr="00B572BA">
        <w:rPr>
          <w:sz w:val="20"/>
          <w:szCs w:val="20"/>
        </w:rPr>
        <w:t xml:space="preserve">Appeal Decision </w:t>
      </w:r>
      <w:r w:rsidRPr="00B572BA">
        <w:rPr>
          <w:i/>
          <w:iCs/>
          <w:sz w:val="20"/>
          <w:szCs w:val="20"/>
        </w:rPr>
        <w:t xml:space="preserve">supra </w:t>
      </w:r>
      <w:r w:rsidRPr="00B572BA">
        <w:rPr>
          <w:sz w:val="20"/>
          <w:szCs w:val="20"/>
        </w:rPr>
        <w:t>at 14 —15.</w:t>
      </w:r>
    </w:p>
    <w:p w14:paraId="26E44E5F" w14:textId="77777777" w:rsidR="002F2981" w:rsidRPr="00B572BA" w:rsidRDefault="002F2981" w:rsidP="00B572BA">
      <w:pPr>
        <w:pStyle w:val="WSParaNum"/>
        <w:numPr>
          <w:ilvl w:val="0"/>
          <w:numId w:val="0"/>
        </w:numPr>
        <w:ind w:firstLine="720"/>
        <w:rPr>
          <w:sz w:val="20"/>
          <w:szCs w:val="20"/>
        </w:rPr>
      </w:pPr>
      <w:r w:rsidRPr="00922833">
        <w:rPr>
          <w:i/>
          <w:iCs/>
          <w:sz w:val="20"/>
          <w:szCs w:val="20"/>
        </w:rPr>
        <w:t>ESA</w:t>
      </w:r>
      <w:r w:rsidRPr="00B572BA">
        <w:rPr>
          <w:sz w:val="20"/>
          <w:szCs w:val="20"/>
        </w:rPr>
        <w:t xml:space="preserve"> </w:t>
      </w:r>
      <w:r w:rsidRPr="00922833">
        <w:rPr>
          <w:i/>
          <w:iCs/>
          <w:sz w:val="20"/>
          <w:szCs w:val="20"/>
        </w:rPr>
        <w:t>supra</w:t>
      </w:r>
      <w:r w:rsidRPr="00B572BA">
        <w:rPr>
          <w:sz w:val="20"/>
          <w:szCs w:val="20"/>
        </w:rPr>
        <w:t xml:space="preserve"> at s 10. </w:t>
      </w:r>
    </w:p>
    <w:p w14:paraId="1F9F4996" w14:textId="77777777" w:rsidR="002F2981" w:rsidRDefault="002F2981" w:rsidP="002F2981">
      <w:pPr>
        <w:pStyle w:val="WSParaNum"/>
      </w:pPr>
      <w:r>
        <w:t xml:space="preserve">It was open to the Trial Justice to consider the Sightings as circumstantially demonstrating that the Site was habitat, but the Sightings alone do not meet the definition of habitat under the </w:t>
      </w:r>
      <w:r>
        <w:rPr>
          <w:i/>
          <w:iCs/>
        </w:rPr>
        <w:t xml:space="preserve">ESA. </w:t>
      </w:r>
    </w:p>
    <w:p w14:paraId="3CD6C660" w14:textId="77777777" w:rsidR="002F2981" w:rsidRDefault="002F2981" w:rsidP="002F2981">
      <w:pPr>
        <w:pStyle w:val="WSParaNum"/>
      </w:pPr>
      <w:r>
        <w:t>The MNRF conceded the Site was outside the area mapped as Blanding’s turtle habitat. Further, across multiple studies, reports, and meetings with surveyors, conservation agents, and ministry employees, the Site was only ever deemed to be potential Blanding’s turtle habitat. Across all these visits by government officials and environmental technicians, Blanding’s turtles were never sighted.</w:t>
      </w:r>
    </w:p>
    <w:p w14:paraId="16852446" w14:textId="77777777" w:rsidR="002F2981" w:rsidRPr="00B572BA" w:rsidRDefault="002F2981" w:rsidP="00B572BA">
      <w:pPr>
        <w:pStyle w:val="WSParaNum"/>
        <w:numPr>
          <w:ilvl w:val="0"/>
          <w:numId w:val="0"/>
        </w:numPr>
        <w:ind w:firstLine="720"/>
        <w:rPr>
          <w:sz w:val="20"/>
          <w:szCs w:val="20"/>
        </w:rPr>
      </w:pPr>
      <w:r w:rsidRPr="00B572BA">
        <w:rPr>
          <w:sz w:val="20"/>
          <w:szCs w:val="20"/>
        </w:rPr>
        <w:t xml:space="preserve">Trial Decision </w:t>
      </w:r>
      <w:r w:rsidRPr="00B572BA">
        <w:rPr>
          <w:i/>
          <w:iCs/>
          <w:sz w:val="20"/>
          <w:szCs w:val="20"/>
        </w:rPr>
        <w:t>supra</w:t>
      </w:r>
      <w:r w:rsidRPr="00B572BA">
        <w:rPr>
          <w:sz w:val="20"/>
          <w:szCs w:val="20"/>
        </w:rPr>
        <w:t xml:space="preserve"> at 10.</w:t>
      </w:r>
    </w:p>
    <w:p w14:paraId="0CCD4B47" w14:textId="77777777" w:rsidR="002F2981" w:rsidRPr="00B572BA" w:rsidRDefault="002F2981" w:rsidP="00B572BA">
      <w:pPr>
        <w:pStyle w:val="WSParaNum"/>
        <w:numPr>
          <w:ilvl w:val="0"/>
          <w:numId w:val="0"/>
        </w:numPr>
        <w:ind w:firstLine="720"/>
        <w:rPr>
          <w:sz w:val="20"/>
          <w:szCs w:val="20"/>
        </w:rPr>
      </w:pPr>
      <w:r w:rsidRPr="00B572BA">
        <w:rPr>
          <w:sz w:val="20"/>
          <w:szCs w:val="20"/>
        </w:rPr>
        <w:t xml:space="preserve">Appeal Decision </w:t>
      </w:r>
      <w:r w:rsidRPr="00B572BA">
        <w:rPr>
          <w:i/>
          <w:iCs/>
          <w:sz w:val="20"/>
          <w:szCs w:val="20"/>
        </w:rPr>
        <w:t>supra</w:t>
      </w:r>
      <w:r w:rsidRPr="00B572BA">
        <w:rPr>
          <w:sz w:val="20"/>
          <w:szCs w:val="20"/>
        </w:rPr>
        <w:t xml:space="preserve"> at 12—14.</w:t>
      </w:r>
    </w:p>
    <w:p w14:paraId="3ACD9EF6" w14:textId="77777777" w:rsidR="002F2981" w:rsidRDefault="002F2981" w:rsidP="002F2981">
      <w:pPr>
        <w:pStyle w:val="WSParaNum"/>
      </w:pPr>
      <w:r>
        <w:t xml:space="preserve">On the totality of the evidence, it is unreasonable to claim that the </w:t>
      </w:r>
      <w:r>
        <w:rPr>
          <w:i/>
          <w:iCs/>
        </w:rPr>
        <w:t xml:space="preserve">only logical conclusion </w:t>
      </w:r>
      <w:r>
        <w:t xml:space="preserve">is that the Site was Blanding’s turtle habitat. When properly weighed, the Sightings do not contribute significant probative value to the determination of habitat because they are not at the Site and are not during the offence window. </w:t>
      </w:r>
    </w:p>
    <w:p w14:paraId="7D5817BC" w14:textId="77777777" w:rsidR="002F2981" w:rsidRDefault="002F2981" w:rsidP="002F2981">
      <w:pPr>
        <w:pStyle w:val="WSParaNum"/>
      </w:pPr>
      <w:r>
        <w:t xml:space="preserve">The Crown’s expansive reliance on circumstantial evidence would improperly classify vast areas of Ontario as Blanding’s turtle habitat under the </w:t>
      </w:r>
      <w:r>
        <w:rPr>
          <w:i/>
          <w:iCs/>
        </w:rPr>
        <w:t>ESA</w:t>
      </w:r>
      <w:r>
        <w:t xml:space="preserve">, despite those areas amounting only to potential habitat. The </w:t>
      </w:r>
      <w:r>
        <w:rPr>
          <w:i/>
          <w:iCs/>
        </w:rPr>
        <w:t>ESA</w:t>
      </w:r>
      <w:r>
        <w:t xml:space="preserve"> is not intended to protect potential habitat. Such an interpretation is overexpansive and completely disrupts development in Ontario.</w:t>
      </w:r>
    </w:p>
    <w:p w14:paraId="3793755E" w14:textId="77777777" w:rsidR="002F2981" w:rsidRDefault="002F2981" w:rsidP="002F2981">
      <w:pPr>
        <w:pStyle w:val="WSParaNum"/>
      </w:pPr>
      <w:r>
        <w:t xml:space="preserve">It was within the powers of the Appeal Judge to set aside the conviction on the basis that it was unsupported by the evidence, namely the evidence of the Sightings. </w:t>
      </w:r>
    </w:p>
    <w:p w14:paraId="2F0A6A8C" w14:textId="77777777" w:rsidR="002F2981" w:rsidRDefault="002F2981" w:rsidP="002F2981">
      <w:pPr>
        <w:pStyle w:val="WSParaNum"/>
      </w:pPr>
      <w:r>
        <w:lastRenderedPageBreak/>
        <w:t xml:space="preserve">The Appeal Judge correctly applied the legal test and found that based on the totality of the circumstantial evidence, including the Sightings, the conviction of CHL was not the only logical outcome. </w:t>
      </w:r>
    </w:p>
    <w:p w14:paraId="3DA636B4" w14:textId="77777777" w:rsidR="0007098C" w:rsidRPr="00B572BA" w:rsidRDefault="00B572BA" w:rsidP="00B572BA">
      <w:pPr>
        <w:pStyle w:val="Heading2"/>
        <w:rPr>
          <w:rFonts w:ascii="Times New Roman" w:hAnsi="Times New Roman"/>
          <w:i w:val="0"/>
          <w:iCs w:val="0"/>
          <w:sz w:val="24"/>
          <w:szCs w:val="24"/>
        </w:rPr>
      </w:pPr>
      <w:bookmarkStart w:id="26" w:name="_Toc220075829"/>
      <w:r w:rsidRPr="00B572BA">
        <w:rPr>
          <w:rFonts w:ascii="Times New Roman" w:hAnsi="Times New Roman"/>
          <w:i w:val="0"/>
          <w:iCs w:val="0"/>
          <w:sz w:val="24"/>
          <w:szCs w:val="24"/>
        </w:rPr>
        <w:t>Issue Two: The OCJ Correctly Found the Trial Justice Erred in Relying on the GHD</w:t>
      </w:r>
      <w:bookmarkEnd w:id="26"/>
    </w:p>
    <w:p w14:paraId="2C8D79EC" w14:textId="77777777" w:rsidR="00B572BA" w:rsidRDefault="00B572BA" w:rsidP="00B572BA">
      <w:pPr>
        <w:pStyle w:val="WSParaNum"/>
        <w:spacing w:before="0" w:after="0"/>
      </w:pPr>
      <w:r>
        <w:t xml:space="preserve">The GHD is a guiding scientific document, not a legal instrument. The Appeal Judge did not commit any error in concluding that the Trial Justice impermissibly over-relied on the GHD. The Trial Justice used the GHD as a determinative basis for establishing the definition of “habitat” under the </w:t>
      </w:r>
      <w:r w:rsidRPr="00B572BA">
        <w:rPr>
          <w:i/>
          <w:iCs/>
        </w:rPr>
        <w:t>ESA</w:t>
      </w:r>
      <w:r>
        <w:t>. The Appeal Judge’s conclusion reflects a correct understanding of the legal status of the GHD and the limits on the use of non-binding policy documents in grounding penal liability.</w:t>
      </w:r>
    </w:p>
    <w:p w14:paraId="4A8B271A" w14:textId="77777777" w:rsidR="00B572BA" w:rsidRDefault="00B572BA" w:rsidP="00B572BA">
      <w:pPr>
        <w:pStyle w:val="WSParaNum"/>
        <w:spacing w:before="0" w:after="0"/>
      </w:pPr>
      <w:r>
        <w:t xml:space="preserve">The Appeal Judge did not exclude the GHD from consideration, nor did she hold that the document was incapable of providing contextual information. Rather, the Appeal Judge correctly recognized that the GHD is a technical guidance document, not a source of law. It was therefore an error for the Trial Justice to rely on the GHD as definitively establishing the statutory element of “habitat”. </w:t>
      </w:r>
    </w:p>
    <w:p w14:paraId="5767FE84" w14:textId="77777777" w:rsidR="002D0A80" w:rsidRPr="00B572BA" w:rsidRDefault="00B572BA" w:rsidP="002D0A80">
      <w:pPr>
        <w:pStyle w:val="Heading3"/>
        <w:spacing w:before="0" w:after="0" w:line="360" w:lineRule="auto"/>
        <w:rPr>
          <w:rFonts w:ascii="Times New Roman" w:hAnsi="Times New Roman"/>
          <w:bCs w:val="0"/>
          <w:sz w:val="24"/>
          <w:szCs w:val="24"/>
        </w:rPr>
      </w:pPr>
      <w:bookmarkStart w:id="27" w:name="_Toc220075830"/>
      <w:r w:rsidRPr="00B572BA">
        <w:rPr>
          <w:rFonts w:ascii="Times New Roman" w:hAnsi="Times New Roman"/>
          <w:bCs w:val="0"/>
          <w:sz w:val="24"/>
          <w:szCs w:val="24"/>
        </w:rPr>
        <w:t xml:space="preserve">Statutes or Regulations Must Define Penal Liability Under the </w:t>
      </w:r>
      <w:r w:rsidRPr="00B572BA">
        <w:rPr>
          <w:rFonts w:ascii="Times New Roman" w:hAnsi="Times New Roman"/>
          <w:bCs w:val="0"/>
          <w:i/>
          <w:iCs/>
          <w:sz w:val="24"/>
          <w:szCs w:val="24"/>
        </w:rPr>
        <w:t>ESA</w:t>
      </w:r>
      <w:bookmarkEnd w:id="27"/>
      <w:r w:rsidRPr="00B572BA">
        <w:rPr>
          <w:rFonts w:ascii="Times New Roman" w:hAnsi="Times New Roman"/>
          <w:bCs w:val="0"/>
          <w:sz w:val="24"/>
          <w:szCs w:val="24"/>
        </w:rPr>
        <w:t xml:space="preserve"> </w:t>
      </w:r>
    </w:p>
    <w:p w14:paraId="4B9BE146" w14:textId="77777777" w:rsidR="00B572BA" w:rsidRDefault="00B572BA" w:rsidP="00B572BA">
      <w:pPr>
        <w:pStyle w:val="WSParaNum"/>
        <w:spacing w:before="0" w:after="0"/>
      </w:pPr>
      <w:r>
        <w:t xml:space="preserve">The </w:t>
      </w:r>
      <w:r w:rsidRPr="00B572BA">
        <w:rPr>
          <w:i/>
          <w:iCs/>
        </w:rPr>
        <w:t>ESA</w:t>
      </w:r>
      <w:r>
        <w:t xml:space="preserve"> establishes quasi-criminal liability for damage to habitat, and as a penal statute, must be interpreted strictly. As such, the elements of the offence must be defined by statute or regulation, not by scientific guidance documents. </w:t>
      </w:r>
    </w:p>
    <w:p w14:paraId="361E13AC" w14:textId="77777777" w:rsidR="00B572BA" w:rsidRPr="00B572BA" w:rsidRDefault="00B572BA" w:rsidP="00B572BA">
      <w:pPr>
        <w:pStyle w:val="WSParaNum"/>
        <w:numPr>
          <w:ilvl w:val="0"/>
          <w:numId w:val="0"/>
        </w:numPr>
        <w:spacing w:before="0" w:after="0"/>
        <w:ind w:firstLine="720"/>
        <w:rPr>
          <w:sz w:val="20"/>
          <w:szCs w:val="20"/>
        </w:rPr>
      </w:pPr>
      <w:r w:rsidRPr="00B572BA">
        <w:rPr>
          <w:i/>
          <w:iCs/>
          <w:sz w:val="20"/>
          <w:szCs w:val="20"/>
        </w:rPr>
        <w:t>R v Wigglesworth</w:t>
      </w:r>
      <w:r w:rsidRPr="00B572BA">
        <w:rPr>
          <w:sz w:val="20"/>
          <w:szCs w:val="20"/>
        </w:rPr>
        <w:t xml:space="preserve">, [1987] 2 SCR 541 at para 24.  </w:t>
      </w:r>
    </w:p>
    <w:p w14:paraId="3AE56DC6" w14:textId="77777777" w:rsidR="00B572BA" w:rsidRDefault="00B572BA" w:rsidP="00B572BA">
      <w:pPr>
        <w:pStyle w:val="WSParaNum"/>
      </w:pPr>
      <w:r>
        <w:t xml:space="preserve">The GHD was not enacted as a regulation under section 56 of the </w:t>
      </w:r>
      <w:r>
        <w:rPr>
          <w:i/>
          <w:iCs/>
        </w:rPr>
        <w:t>ESA</w:t>
      </w:r>
      <w:r>
        <w:t>, nor was it incorporated by reference into any binding legislative instrument. It therefore lacks the legal force required to impose obligations or ground penal consequences.</w:t>
      </w:r>
    </w:p>
    <w:p w14:paraId="0EB118ED" w14:textId="77777777" w:rsidR="00B572BA" w:rsidRDefault="00B572BA" w:rsidP="00B572BA">
      <w:pPr>
        <w:pStyle w:val="WSParaNum"/>
      </w:pPr>
      <w:r>
        <w:t xml:space="preserve">The Trial Justice treated the GHD as determinative of habitat status. By doing so, the Trial Justice allowed a non-binding policy document to substitute for the statutory definition of habitat set out in paragraph 2(1)(b) and subsection 2(2) of the </w:t>
      </w:r>
      <w:r>
        <w:rPr>
          <w:i/>
          <w:iCs/>
        </w:rPr>
        <w:t>ESA</w:t>
      </w:r>
      <w:r>
        <w:t xml:space="preserve">. The Appeal Judge correctly identified this as an error of law, because the GHD had not been subject to democratic scrutiny, displacing legislative supremacy. </w:t>
      </w:r>
    </w:p>
    <w:p w14:paraId="3B160754" w14:textId="77777777" w:rsidR="00B572BA" w:rsidRDefault="00B572BA" w:rsidP="00B572BA">
      <w:pPr>
        <w:pStyle w:val="WSParaNum"/>
      </w:pPr>
      <w:r>
        <w:lastRenderedPageBreak/>
        <w:t>Canadian appellate jurisprudence has consistently drawn a firm line between guidelines and law. While policy documents may assist regulators and courts in understanding scientific or technical context, they cannot create enforceable legal standards or ground a conviction, unless authorized by statute. The Appeal Judge’s reasoning properly reflects this settled distinction.</w:t>
      </w:r>
    </w:p>
    <w:p w14:paraId="5723E314" w14:textId="77777777" w:rsidR="00B572BA" w:rsidRDefault="00B572BA" w:rsidP="00B572BA">
      <w:pPr>
        <w:pStyle w:val="WSParaNum"/>
      </w:pPr>
      <w:r>
        <w:t xml:space="preserve">In </w:t>
      </w:r>
      <w:r>
        <w:rPr>
          <w:i/>
          <w:iCs/>
        </w:rPr>
        <w:t>Ainsley Financial Corp v Ontario (Securities Commission)</w:t>
      </w:r>
      <w:r>
        <w:t>, the Ontario Court of Appeal defined the difference between guidelines and regulations. The Court found that the Securities Commission statement at issue was valid only if it was non-binding guidance. It was invalid if it imposed mandatory, enforceable requirements, because the regulator lacked authority to make regulations.</w:t>
      </w:r>
    </w:p>
    <w:p w14:paraId="16CB4DA3" w14:textId="77777777" w:rsidR="00B572BA" w:rsidRPr="00B572BA" w:rsidRDefault="00B572BA" w:rsidP="00B572BA">
      <w:pPr>
        <w:pStyle w:val="WSParaNum"/>
        <w:numPr>
          <w:ilvl w:val="0"/>
          <w:numId w:val="0"/>
        </w:numPr>
        <w:spacing w:before="0" w:after="0"/>
        <w:ind w:left="720"/>
        <w:rPr>
          <w:sz w:val="20"/>
          <w:szCs w:val="20"/>
        </w:rPr>
      </w:pPr>
      <w:r w:rsidRPr="00B572BA">
        <w:rPr>
          <w:i/>
          <w:iCs/>
          <w:sz w:val="20"/>
          <w:szCs w:val="20"/>
        </w:rPr>
        <w:t>Ainsley Financial Corp v Ontario (Securities Commission)</w:t>
      </w:r>
      <w:r w:rsidRPr="00B572BA">
        <w:rPr>
          <w:sz w:val="20"/>
          <w:szCs w:val="20"/>
        </w:rPr>
        <w:t>, 1994 2621 (ON CA) [</w:t>
      </w:r>
      <w:r w:rsidRPr="002B0606">
        <w:rPr>
          <w:i/>
          <w:iCs/>
          <w:sz w:val="20"/>
          <w:szCs w:val="20"/>
        </w:rPr>
        <w:t>Ainsley</w:t>
      </w:r>
      <w:r w:rsidRPr="00B572BA">
        <w:rPr>
          <w:sz w:val="20"/>
          <w:szCs w:val="20"/>
        </w:rPr>
        <w:t>] at para 14.</w:t>
      </w:r>
    </w:p>
    <w:p w14:paraId="106E11C0" w14:textId="77777777" w:rsidR="00B572BA" w:rsidRDefault="00B572BA" w:rsidP="00B572BA">
      <w:pPr>
        <w:pStyle w:val="WSParaNum"/>
      </w:pPr>
      <w:r>
        <w:t xml:space="preserve">The test in </w:t>
      </w:r>
      <w:r>
        <w:rPr>
          <w:i/>
          <w:iCs/>
        </w:rPr>
        <w:t xml:space="preserve">Ainsley </w:t>
      </w:r>
      <w:r>
        <w:t>has been adopted in environmental contexts. In</w:t>
      </w:r>
      <w:r>
        <w:rPr>
          <w:i/>
          <w:iCs/>
        </w:rPr>
        <w:t xml:space="preserve"> Valley Rubber Resources Inc v British Columbia (Minister of Environment, Lands and Parks)</w:t>
      </w:r>
      <w:r>
        <w:t xml:space="preserve">, the British Columbia Court of Appeal stated, “a non-statutory instrument cannot impose mandatory requirements enforceable by sanction; that is, the regulator cannot issue </w:t>
      </w:r>
      <w:r>
        <w:rPr>
          <w:i/>
          <w:iCs/>
        </w:rPr>
        <w:t>de facto</w:t>
      </w:r>
      <w:r>
        <w:t xml:space="preserve"> laws disguised as guidelines”. </w:t>
      </w:r>
    </w:p>
    <w:p w14:paraId="69ABBAAE" w14:textId="77777777" w:rsidR="00B572BA" w:rsidRPr="00B572BA" w:rsidRDefault="00B572BA" w:rsidP="00B572BA">
      <w:pPr>
        <w:pStyle w:val="WSParaNum"/>
        <w:numPr>
          <w:ilvl w:val="0"/>
          <w:numId w:val="0"/>
        </w:numPr>
        <w:ind w:left="720"/>
        <w:rPr>
          <w:sz w:val="20"/>
          <w:szCs w:val="20"/>
        </w:rPr>
      </w:pPr>
      <w:r w:rsidRPr="00B572BA">
        <w:rPr>
          <w:i/>
          <w:iCs/>
          <w:sz w:val="20"/>
          <w:szCs w:val="20"/>
        </w:rPr>
        <w:t>Valley Rubber Resources Inc v British Columbia (Minister of the Environment, Lands and Parks)</w:t>
      </w:r>
      <w:r w:rsidRPr="00B572BA">
        <w:rPr>
          <w:sz w:val="20"/>
          <w:szCs w:val="20"/>
        </w:rPr>
        <w:t>, 2002 BCCA 524 [</w:t>
      </w:r>
      <w:r w:rsidRPr="002B0606">
        <w:rPr>
          <w:i/>
          <w:iCs/>
          <w:sz w:val="20"/>
          <w:szCs w:val="20"/>
        </w:rPr>
        <w:t>Valley Rubber</w:t>
      </w:r>
      <w:r w:rsidRPr="00B572BA">
        <w:rPr>
          <w:sz w:val="20"/>
          <w:szCs w:val="20"/>
        </w:rPr>
        <w:t>] at para 28.</w:t>
      </w:r>
    </w:p>
    <w:p w14:paraId="7C258D6F" w14:textId="77777777" w:rsidR="00B572BA" w:rsidRDefault="00B572BA" w:rsidP="00B572BA">
      <w:pPr>
        <w:pStyle w:val="WSParaNum"/>
      </w:pPr>
      <w:r>
        <w:t xml:space="preserve">Further, the application of a document cannot be used to enforce a conviction. In </w:t>
      </w:r>
      <w:r>
        <w:rPr>
          <w:i/>
          <w:iCs/>
        </w:rPr>
        <w:t>Brett v Ontario (Board of Directors of Physiotherapy)</w:t>
      </w:r>
      <w:r>
        <w:t xml:space="preserve">, the court held that a regulatory body cannot discipline or sanction a member solely for failing to comply with non-binding documents. Likewise, the alleged grubbing within 30 metres of the wetland boundary cannot, on its own, attract sanction because the GHD is a non-binding guidance document. The GHD cannot be relied upon as determinative of habitat or as a substitute for the statutory requirements under the </w:t>
      </w:r>
      <w:r>
        <w:rPr>
          <w:i/>
          <w:iCs/>
        </w:rPr>
        <w:t xml:space="preserve">ESA </w:t>
      </w:r>
      <w:r>
        <w:t xml:space="preserve">to ground a conviction. </w:t>
      </w:r>
    </w:p>
    <w:p w14:paraId="47AFCE90" w14:textId="77777777" w:rsidR="00B572BA" w:rsidRPr="00B572BA" w:rsidRDefault="00B572BA" w:rsidP="002B0606">
      <w:pPr>
        <w:pStyle w:val="WSParaNum"/>
        <w:numPr>
          <w:ilvl w:val="0"/>
          <w:numId w:val="0"/>
        </w:numPr>
        <w:ind w:firstLine="720"/>
        <w:rPr>
          <w:sz w:val="20"/>
          <w:szCs w:val="20"/>
        </w:rPr>
      </w:pPr>
      <w:r w:rsidRPr="00B572BA">
        <w:rPr>
          <w:i/>
          <w:iCs/>
          <w:sz w:val="20"/>
          <w:szCs w:val="20"/>
        </w:rPr>
        <w:t>Brett v Ontario (Board of Directors of Physiotherapy)</w:t>
      </w:r>
      <w:r w:rsidRPr="00B572BA">
        <w:rPr>
          <w:sz w:val="20"/>
          <w:szCs w:val="20"/>
        </w:rPr>
        <w:t xml:space="preserve">, 1991 8286 (ON SCDC) at paras 35—36. </w:t>
      </w:r>
    </w:p>
    <w:p w14:paraId="3E94523D" w14:textId="77777777" w:rsidR="00B572BA" w:rsidRDefault="00B572BA" w:rsidP="00B572BA">
      <w:pPr>
        <w:pStyle w:val="WSParaNum"/>
      </w:pPr>
      <w:r>
        <w:t xml:space="preserve">As the GHD is a non-binding instrument, the GHD cannot impose mandatory requirements enforceable by sanctions, as described in </w:t>
      </w:r>
      <w:r>
        <w:rPr>
          <w:i/>
          <w:iCs/>
        </w:rPr>
        <w:t>Ainsley</w:t>
      </w:r>
      <w:r>
        <w:t xml:space="preserve">. </w:t>
      </w:r>
    </w:p>
    <w:p w14:paraId="5B23C586" w14:textId="77777777" w:rsidR="00B572BA" w:rsidRPr="002B0606" w:rsidRDefault="00B572BA" w:rsidP="002B0606">
      <w:pPr>
        <w:pStyle w:val="Heading3"/>
        <w:rPr>
          <w:rFonts w:ascii="Times New Roman" w:hAnsi="Times New Roman"/>
          <w:sz w:val="24"/>
          <w:szCs w:val="24"/>
        </w:rPr>
      </w:pPr>
      <w:bookmarkStart w:id="28" w:name="_heading=h.ghnyu3f0x7zw" w:colFirst="0" w:colLast="0"/>
      <w:bookmarkStart w:id="29" w:name="_Toc220075831"/>
      <w:bookmarkEnd w:id="28"/>
      <w:r w:rsidRPr="002B0606">
        <w:rPr>
          <w:rFonts w:ascii="Times New Roman" w:hAnsi="Times New Roman"/>
          <w:sz w:val="24"/>
          <w:szCs w:val="24"/>
        </w:rPr>
        <w:lastRenderedPageBreak/>
        <w:t>The Trial Justice Substituted Policy Guidance for the Statutory Habitat Definition</w:t>
      </w:r>
      <w:bookmarkEnd w:id="29"/>
      <w:r w:rsidRPr="002B0606">
        <w:rPr>
          <w:rFonts w:ascii="Times New Roman" w:hAnsi="Times New Roman"/>
          <w:sz w:val="24"/>
          <w:szCs w:val="24"/>
        </w:rPr>
        <w:t xml:space="preserve"> </w:t>
      </w:r>
    </w:p>
    <w:p w14:paraId="065D9DF2" w14:textId="77777777" w:rsidR="00B572BA" w:rsidRDefault="00B572BA" w:rsidP="00B572BA">
      <w:pPr>
        <w:pStyle w:val="WSParaNum"/>
      </w:pPr>
      <w:r>
        <w:t xml:space="preserve">Even if the GHD were considered as part of the evidentiary matrix, it could not cure the deficiencies in the Crown’s case. The introductory paragraph of the GHD contemplates habitat as an area actually used by existing members of the species. It does not transform areas of potential or speculative use into habitat. The GHD states, “General habitat protection does not include an area where the species formerly occurred or has the potential to be reintroduced unless existing members of the species depend on that area to carry out their life processes”. </w:t>
      </w:r>
    </w:p>
    <w:p w14:paraId="5080EE7B" w14:textId="77777777" w:rsidR="00B572BA" w:rsidRPr="002B0606" w:rsidRDefault="00B572BA" w:rsidP="002B0606">
      <w:pPr>
        <w:pStyle w:val="WSParaNum"/>
        <w:numPr>
          <w:ilvl w:val="0"/>
          <w:numId w:val="0"/>
        </w:numPr>
        <w:ind w:firstLine="720"/>
        <w:rPr>
          <w:sz w:val="20"/>
          <w:szCs w:val="20"/>
        </w:rPr>
      </w:pPr>
      <w:r w:rsidRPr="002B0606">
        <w:rPr>
          <w:sz w:val="20"/>
          <w:szCs w:val="20"/>
        </w:rPr>
        <w:t xml:space="preserve">GHD </w:t>
      </w:r>
      <w:r w:rsidRPr="002B0606">
        <w:rPr>
          <w:i/>
          <w:iCs/>
          <w:sz w:val="20"/>
          <w:szCs w:val="20"/>
        </w:rPr>
        <w:t>supra</w:t>
      </w:r>
      <w:r w:rsidRPr="002B0606">
        <w:rPr>
          <w:sz w:val="20"/>
          <w:szCs w:val="20"/>
        </w:rPr>
        <w:t xml:space="preserve"> a 1. </w:t>
      </w:r>
    </w:p>
    <w:p w14:paraId="7D49CCE8" w14:textId="77777777" w:rsidR="00B572BA" w:rsidRDefault="00B572BA" w:rsidP="00B572BA">
      <w:pPr>
        <w:pStyle w:val="WSParaNum"/>
      </w:pPr>
      <w:r>
        <w:t xml:space="preserve"> The Trial Justice’s reliance on the GHD effectively bypassed the statutory requirement in subsection 2(2) of the </w:t>
      </w:r>
      <w:r>
        <w:rPr>
          <w:i/>
          <w:iCs/>
        </w:rPr>
        <w:t>ESA</w:t>
      </w:r>
      <w:r>
        <w:t xml:space="preserve">. The </w:t>
      </w:r>
      <w:r>
        <w:rPr>
          <w:i/>
          <w:iCs/>
        </w:rPr>
        <w:t>ESA</w:t>
      </w:r>
      <w:r>
        <w:t xml:space="preserve"> expressly excludes areas where a species formerly occurred or may occur unless existing members depend on that area to carry out life processes. </w:t>
      </w:r>
    </w:p>
    <w:p w14:paraId="1346D386" w14:textId="77777777" w:rsidR="00B572BA" w:rsidRDefault="00B572BA" w:rsidP="00B572BA">
      <w:pPr>
        <w:pStyle w:val="WSParaNum"/>
      </w:pPr>
      <w:r>
        <w:t xml:space="preserve">Further, multiple experts and individuals such as Mr. Bilz, Mr. Snell, Ms. Murphy and MNRF staff, only make reference to the lands as </w:t>
      </w:r>
      <w:r>
        <w:rPr>
          <w:i/>
          <w:iCs/>
        </w:rPr>
        <w:t>potential</w:t>
      </w:r>
      <w:r>
        <w:t xml:space="preserve"> habitat. </w:t>
      </w:r>
    </w:p>
    <w:p w14:paraId="1F2D7D3F" w14:textId="77777777" w:rsidR="00B572BA" w:rsidRPr="002B0606" w:rsidRDefault="00B572BA" w:rsidP="002B0606">
      <w:pPr>
        <w:pStyle w:val="WSParaNum"/>
        <w:numPr>
          <w:ilvl w:val="0"/>
          <w:numId w:val="0"/>
        </w:numPr>
        <w:ind w:firstLine="720"/>
        <w:rPr>
          <w:sz w:val="20"/>
          <w:szCs w:val="20"/>
        </w:rPr>
      </w:pPr>
      <w:r w:rsidRPr="002B0606">
        <w:rPr>
          <w:sz w:val="20"/>
          <w:szCs w:val="20"/>
        </w:rPr>
        <w:t xml:space="preserve">Appeal Decision </w:t>
      </w:r>
      <w:r w:rsidRPr="002B0606">
        <w:rPr>
          <w:i/>
          <w:iCs/>
          <w:sz w:val="20"/>
          <w:szCs w:val="20"/>
        </w:rPr>
        <w:t>supra</w:t>
      </w:r>
      <w:r w:rsidRPr="002B0606">
        <w:rPr>
          <w:sz w:val="20"/>
          <w:szCs w:val="20"/>
        </w:rPr>
        <w:t xml:space="preserve"> at 3 and 12—14.</w:t>
      </w:r>
    </w:p>
    <w:p w14:paraId="2F2A8AE4" w14:textId="77777777" w:rsidR="00B572BA" w:rsidRPr="002B0606" w:rsidRDefault="00B572BA" w:rsidP="002B0606">
      <w:pPr>
        <w:pStyle w:val="WSParaNum"/>
        <w:numPr>
          <w:ilvl w:val="0"/>
          <w:numId w:val="0"/>
        </w:numPr>
        <w:ind w:firstLine="720"/>
        <w:rPr>
          <w:sz w:val="20"/>
          <w:szCs w:val="20"/>
        </w:rPr>
      </w:pPr>
      <w:r w:rsidRPr="002B0606">
        <w:rPr>
          <w:sz w:val="20"/>
          <w:szCs w:val="20"/>
        </w:rPr>
        <w:t xml:space="preserve">ONCA Decision </w:t>
      </w:r>
      <w:r w:rsidRPr="002B0606">
        <w:rPr>
          <w:i/>
          <w:iCs/>
          <w:sz w:val="20"/>
          <w:szCs w:val="20"/>
        </w:rPr>
        <w:t xml:space="preserve">supra </w:t>
      </w:r>
      <w:r w:rsidRPr="002B0606">
        <w:rPr>
          <w:sz w:val="20"/>
          <w:szCs w:val="20"/>
        </w:rPr>
        <w:t>at para 39.</w:t>
      </w:r>
    </w:p>
    <w:p w14:paraId="0E1F1EBA" w14:textId="77777777" w:rsidR="00B572BA" w:rsidRDefault="00B572BA" w:rsidP="00B572BA">
      <w:pPr>
        <w:pStyle w:val="WSParaNum"/>
      </w:pPr>
      <w:r>
        <w:t>The Appeal Judge was correct to find the Trial Justice over-relied on the GHD. Rather than requiring evidence that Blanding’s turtles depended on the site during the offence period, the Trial Justice erred in concluding use at the time of the offence from generalized characteristics and policy descriptions. That approach is inconsistent with both the statutory text and the evidentiary discipline required in a penal prosecution.</w:t>
      </w:r>
    </w:p>
    <w:p w14:paraId="5AEA8D80" w14:textId="77777777" w:rsidR="00B572BA" w:rsidRPr="002B0606" w:rsidRDefault="00B572BA" w:rsidP="002B0606">
      <w:pPr>
        <w:pStyle w:val="Heading3"/>
        <w:rPr>
          <w:rFonts w:ascii="Times New Roman" w:hAnsi="Times New Roman"/>
          <w:sz w:val="24"/>
          <w:szCs w:val="24"/>
        </w:rPr>
      </w:pPr>
      <w:bookmarkStart w:id="30" w:name="_heading=h.51rq13odagfg" w:colFirst="0" w:colLast="0"/>
      <w:bookmarkStart w:id="31" w:name="_Toc220075832"/>
      <w:bookmarkEnd w:id="30"/>
      <w:r w:rsidRPr="002B0606">
        <w:rPr>
          <w:rFonts w:ascii="Times New Roman" w:hAnsi="Times New Roman"/>
          <w:sz w:val="24"/>
          <w:szCs w:val="24"/>
        </w:rPr>
        <w:t>The Appeal Judge’s Approach Preserves Environmental Expertise and Legislative Authority</w:t>
      </w:r>
      <w:bookmarkEnd w:id="31"/>
    </w:p>
    <w:p w14:paraId="73434FB9" w14:textId="77777777" w:rsidR="00B572BA" w:rsidRDefault="00B572BA" w:rsidP="00B572BA">
      <w:pPr>
        <w:pStyle w:val="WSParaNum"/>
      </w:pPr>
      <w:r>
        <w:t xml:space="preserve">The Appeal Judge’s characterization of the GHD as “not a legal document” was correct. It was a statement about the document’s status. The Crown itself conceded before the SEMCC that the GHD is not legally binding. The Appeal Judge’s observation did not diminish the </w:t>
      </w:r>
      <w:r>
        <w:rPr>
          <w:i/>
          <w:iCs/>
        </w:rPr>
        <w:t>ESA</w:t>
      </w:r>
      <w:r w:rsidRPr="00922833">
        <w:t xml:space="preserve">’s </w:t>
      </w:r>
      <w:r>
        <w:t>protective purpose; it reaffirmed that prosecutions must be anchored in statute, not guidance.</w:t>
      </w:r>
    </w:p>
    <w:p w14:paraId="78565F72" w14:textId="77777777" w:rsidR="00B572BA" w:rsidRPr="002B0606" w:rsidRDefault="00B572BA" w:rsidP="002B0606">
      <w:pPr>
        <w:pStyle w:val="WSParaNum"/>
        <w:numPr>
          <w:ilvl w:val="0"/>
          <w:numId w:val="0"/>
        </w:numPr>
        <w:ind w:firstLine="720"/>
        <w:rPr>
          <w:sz w:val="20"/>
          <w:szCs w:val="20"/>
        </w:rPr>
      </w:pPr>
      <w:r w:rsidRPr="002B0606">
        <w:rPr>
          <w:sz w:val="20"/>
          <w:szCs w:val="20"/>
        </w:rPr>
        <w:t xml:space="preserve">FOA </w:t>
      </w:r>
      <w:r w:rsidRPr="002B0606">
        <w:rPr>
          <w:i/>
          <w:iCs/>
          <w:sz w:val="20"/>
          <w:szCs w:val="20"/>
        </w:rPr>
        <w:t>supra</w:t>
      </w:r>
      <w:r w:rsidRPr="002B0606">
        <w:rPr>
          <w:sz w:val="20"/>
          <w:szCs w:val="20"/>
        </w:rPr>
        <w:t xml:space="preserve"> at paras 43—45. </w:t>
      </w:r>
    </w:p>
    <w:p w14:paraId="24988057" w14:textId="77777777" w:rsidR="00B572BA" w:rsidRDefault="00B572BA" w:rsidP="00B572BA">
      <w:pPr>
        <w:pStyle w:val="WSParaNum"/>
      </w:pPr>
      <w:r>
        <w:t xml:space="preserve">The Crown’s appeal mischaracterizes the Appeal Judge’s reasoning as rejecting scientific evidence. The Appeal Judge did not reject the scientific evidence. Rather, the Appeal Judge </w:t>
      </w:r>
      <w:r>
        <w:lastRenderedPageBreak/>
        <w:t>accepted the role of expert evidence but correctly refused to elevate a non-binding guidance document into a source of legal authority. Courts routinely consider guidance while maintaining that liability rests on statutory elements, not policy instruments. The Appeal Judge’s approach preserves this essential distinction.</w:t>
      </w:r>
    </w:p>
    <w:p w14:paraId="0980610D" w14:textId="77777777" w:rsidR="00B572BA" w:rsidRPr="002B0606" w:rsidRDefault="00B572BA" w:rsidP="002B0606">
      <w:pPr>
        <w:pStyle w:val="WSParaNum"/>
        <w:numPr>
          <w:ilvl w:val="0"/>
          <w:numId w:val="0"/>
        </w:numPr>
        <w:ind w:firstLine="720"/>
        <w:rPr>
          <w:sz w:val="20"/>
          <w:szCs w:val="20"/>
        </w:rPr>
      </w:pPr>
      <w:r w:rsidRPr="002B0606">
        <w:rPr>
          <w:sz w:val="20"/>
          <w:szCs w:val="20"/>
        </w:rPr>
        <w:t xml:space="preserve">FOA </w:t>
      </w:r>
      <w:r w:rsidRPr="002B0606">
        <w:rPr>
          <w:i/>
          <w:iCs/>
          <w:sz w:val="20"/>
          <w:szCs w:val="20"/>
        </w:rPr>
        <w:t>supra</w:t>
      </w:r>
      <w:r w:rsidRPr="002B0606">
        <w:rPr>
          <w:sz w:val="20"/>
          <w:szCs w:val="20"/>
        </w:rPr>
        <w:t xml:space="preserve"> at paras 44—46. </w:t>
      </w:r>
    </w:p>
    <w:p w14:paraId="1D17E23A" w14:textId="77777777" w:rsidR="00B572BA" w:rsidRPr="002B0606" w:rsidRDefault="00B572BA" w:rsidP="002B0606">
      <w:pPr>
        <w:pStyle w:val="WSParaNum"/>
        <w:numPr>
          <w:ilvl w:val="0"/>
          <w:numId w:val="0"/>
        </w:numPr>
        <w:ind w:firstLine="720"/>
        <w:rPr>
          <w:sz w:val="20"/>
          <w:szCs w:val="20"/>
        </w:rPr>
      </w:pPr>
      <w:r w:rsidRPr="002B0606">
        <w:rPr>
          <w:i/>
          <w:iCs/>
          <w:sz w:val="20"/>
          <w:szCs w:val="20"/>
        </w:rPr>
        <w:t>Valley Rubber supra</w:t>
      </w:r>
      <w:r w:rsidRPr="002B0606">
        <w:rPr>
          <w:sz w:val="20"/>
          <w:szCs w:val="20"/>
        </w:rPr>
        <w:t xml:space="preserve"> at para 27.</w:t>
      </w:r>
    </w:p>
    <w:p w14:paraId="384E8EE2" w14:textId="77777777" w:rsidR="00B572BA" w:rsidRPr="002B0606" w:rsidRDefault="00B572BA" w:rsidP="002B0606">
      <w:pPr>
        <w:pStyle w:val="WSParaNum"/>
        <w:numPr>
          <w:ilvl w:val="0"/>
          <w:numId w:val="0"/>
        </w:numPr>
        <w:ind w:firstLine="720"/>
        <w:rPr>
          <w:sz w:val="20"/>
          <w:szCs w:val="20"/>
        </w:rPr>
      </w:pPr>
      <w:r w:rsidRPr="002B0606">
        <w:rPr>
          <w:i/>
          <w:iCs/>
          <w:sz w:val="20"/>
          <w:szCs w:val="20"/>
        </w:rPr>
        <w:t>Ainsley supra</w:t>
      </w:r>
      <w:r w:rsidRPr="002B0606">
        <w:rPr>
          <w:sz w:val="20"/>
          <w:szCs w:val="20"/>
        </w:rPr>
        <w:t xml:space="preserve"> at para 14.</w:t>
      </w:r>
    </w:p>
    <w:p w14:paraId="38CC3657" w14:textId="77777777" w:rsidR="00B572BA" w:rsidRDefault="00B572BA" w:rsidP="00B572BA">
      <w:pPr>
        <w:pStyle w:val="WSParaNum"/>
      </w:pPr>
      <w:r>
        <w:t xml:space="preserve">The Appeal Judge’s decision strengthens environmental compliance by affirming the supremacy of the </w:t>
      </w:r>
      <w:r>
        <w:rPr>
          <w:i/>
          <w:iCs/>
        </w:rPr>
        <w:t>ESA</w:t>
      </w:r>
      <w:r>
        <w:t xml:space="preserve">. The Legislature has expressly chosen, where appropriate, to define habitat through regulation, and has done so for numerous species under the </w:t>
      </w:r>
      <w:r>
        <w:rPr>
          <w:i/>
          <w:iCs/>
        </w:rPr>
        <w:t>ESA</w:t>
      </w:r>
      <w:r>
        <w:t xml:space="preserve">. The absence of a habitat regulation for Blanding’s turtles reflects a legislative choice. Courts may not fill that gap by allowing non-binding guidance to assume the role of law. </w:t>
      </w:r>
    </w:p>
    <w:p w14:paraId="0D4D70F7" w14:textId="77777777" w:rsidR="00B572BA" w:rsidRDefault="00B572BA" w:rsidP="00B572BA">
      <w:pPr>
        <w:pStyle w:val="WSParaNum"/>
      </w:pPr>
      <w:r>
        <w:t xml:space="preserve"> As such, the Appeal Judge correctly held that the Trial Justice committed an error of law by treating the GHD as a legal instrument capable of establishing habitat under paragraph 10(1)(a) of the </w:t>
      </w:r>
      <w:r>
        <w:rPr>
          <w:i/>
          <w:iCs/>
        </w:rPr>
        <w:t>ESA</w:t>
      </w:r>
      <w:r>
        <w:t xml:space="preserve">. </w:t>
      </w:r>
    </w:p>
    <w:p w14:paraId="6EF36089" w14:textId="77777777" w:rsidR="00F412BE" w:rsidRPr="00F412BE" w:rsidRDefault="00F412BE" w:rsidP="00F412BE">
      <w:pPr>
        <w:pStyle w:val="Heading2"/>
        <w:rPr>
          <w:rFonts w:ascii="Times New Roman" w:hAnsi="Times New Roman"/>
          <w:i w:val="0"/>
          <w:iCs w:val="0"/>
          <w:sz w:val="24"/>
          <w:szCs w:val="24"/>
        </w:rPr>
      </w:pPr>
      <w:bookmarkStart w:id="32" w:name="_Toc220075833"/>
      <w:r w:rsidRPr="00F412BE">
        <w:rPr>
          <w:rFonts w:ascii="Times New Roman" w:hAnsi="Times New Roman"/>
          <w:i w:val="0"/>
          <w:iCs w:val="0"/>
          <w:sz w:val="24"/>
          <w:szCs w:val="24"/>
        </w:rPr>
        <w:t>Issue Three: The OCJ Did Not Err When Considering “Indirect Dependence” of Habitat</w:t>
      </w:r>
      <w:bookmarkEnd w:id="32"/>
      <w:r w:rsidRPr="00F412BE">
        <w:rPr>
          <w:rFonts w:ascii="Times New Roman" w:hAnsi="Times New Roman"/>
          <w:i w:val="0"/>
          <w:iCs w:val="0"/>
          <w:sz w:val="24"/>
          <w:szCs w:val="24"/>
        </w:rPr>
        <w:t xml:space="preserve"> </w:t>
      </w:r>
    </w:p>
    <w:p w14:paraId="09CB5970" w14:textId="77777777" w:rsidR="00F412BE" w:rsidRDefault="00F412BE" w:rsidP="00F412BE">
      <w:pPr>
        <w:pStyle w:val="WSParaNum"/>
        <w:spacing w:before="0" w:after="0"/>
      </w:pPr>
      <w:r>
        <w:t xml:space="preserve">With respect to indirect dependence, the only question is whether the Appeal Judge misinterpreted or misapplied the statutory definition of “habitat” under the </w:t>
      </w:r>
      <w:r w:rsidRPr="00F412BE">
        <w:rPr>
          <w:i/>
          <w:iCs/>
        </w:rPr>
        <w:t>ESA</w:t>
      </w:r>
      <w:r>
        <w:t>. She did not.</w:t>
      </w:r>
    </w:p>
    <w:p w14:paraId="5932E64B" w14:textId="77777777" w:rsidR="00F412BE" w:rsidRPr="00F412BE" w:rsidRDefault="00F412BE" w:rsidP="00F412BE">
      <w:pPr>
        <w:pStyle w:val="WSParaNum"/>
        <w:numPr>
          <w:ilvl w:val="0"/>
          <w:numId w:val="0"/>
        </w:numPr>
        <w:ind w:firstLine="720"/>
        <w:rPr>
          <w:sz w:val="20"/>
          <w:szCs w:val="20"/>
        </w:rPr>
      </w:pPr>
      <w:r w:rsidRPr="00F412BE">
        <w:rPr>
          <w:i/>
          <w:iCs/>
          <w:sz w:val="20"/>
          <w:szCs w:val="20"/>
        </w:rPr>
        <w:t>POA</w:t>
      </w:r>
      <w:r w:rsidRPr="00F412BE">
        <w:rPr>
          <w:sz w:val="20"/>
          <w:szCs w:val="20"/>
        </w:rPr>
        <w:t xml:space="preserve"> </w:t>
      </w:r>
      <w:r w:rsidRPr="00922833">
        <w:rPr>
          <w:i/>
          <w:iCs/>
          <w:sz w:val="20"/>
          <w:szCs w:val="20"/>
        </w:rPr>
        <w:t>supra</w:t>
      </w:r>
      <w:r w:rsidRPr="00F412BE">
        <w:rPr>
          <w:sz w:val="20"/>
          <w:szCs w:val="20"/>
        </w:rPr>
        <w:t xml:space="preserve"> 120(1)(a)(i).</w:t>
      </w:r>
    </w:p>
    <w:p w14:paraId="10B9A577" w14:textId="77777777" w:rsidR="00F412BE" w:rsidRDefault="00F412BE" w:rsidP="00F412BE">
      <w:pPr>
        <w:pStyle w:val="WSParaNum"/>
      </w:pPr>
      <w:r>
        <w:t xml:space="preserve">The Appeal Judge identified the correct legal test and recognized both direct and indirect habitat dependence. Her conclusion that the Crown failed to do so reflects a proper application of the law to the evidentiary record. The decision discloses no misinterpretation or misapprehension of the </w:t>
      </w:r>
      <w:r>
        <w:rPr>
          <w:i/>
          <w:iCs/>
        </w:rPr>
        <w:t>ESA</w:t>
      </w:r>
      <w:r>
        <w:t>. Absent an error of law, there is no basis for appellate intervention.</w:t>
      </w:r>
    </w:p>
    <w:p w14:paraId="3D0D6E05" w14:textId="77777777" w:rsidR="00F412BE" w:rsidRDefault="00F412BE" w:rsidP="00F412BE">
      <w:pPr>
        <w:pStyle w:val="WSParaNum"/>
      </w:pPr>
      <w:r>
        <w:t xml:space="preserve">Even if this Court were to conclude that the Appeal Judge erred in her legal analysis, this appeal must still fail. The Crown did not establish the </w:t>
      </w:r>
      <w:r>
        <w:rPr>
          <w:i/>
          <w:iCs/>
        </w:rPr>
        <w:t>actus reus</w:t>
      </w:r>
      <w:r>
        <w:t xml:space="preserve"> of the offence through indirect use. The Crown failed to prove, beyond a reasonable doubt, a causal connection between indirect use and any life process of the Blanding’s turtle. Without such a nexus, the statutory elements of habitat are not made out. </w:t>
      </w:r>
    </w:p>
    <w:p w14:paraId="47427A9A" w14:textId="77777777" w:rsidR="00F412BE" w:rsidRDefault="00F412BE" w:rsidP="00F412BE">
      <w:pPr>
        <w:pStyle w:val="WSParaNum"/>
      </w:pPr>
      <w:r>
        <w:lastRenderedPageBreak/>
        <w:t xml:space="preserve">Under either analysis, the Appeal Judge made no error of law in her interpretation or application of the law for this Court to correct. </w:t>
      </w:r>
    </w:p>
    <w:p w14:paraId="5C66360B" w14:textId="77777777" w:rsidR="00F412BE" w:rsidRPr="00F412BE" w:rsidRDefault="00F412BE" w:rsidP="00F412BE">
      <w:pPr>
        <w:pStyle w:val="Heading3"/>
        <w:rPr>
          <w:rFonts w:ascii="Times New Roman" w:hAnsi="Times New Roman"/>
          <w:sz w:val="24"/>
          <w:szCs w:val="24"/>
        </w:rPr>
      </w:pPr>
      <w:bookmarkStart w:id="33" w:name="_Toc220075834"/>
      <w:r w:rsidRPr="00F412BE">
        <w:rPr>
          <w:rFonts w:ascii="Times New Roman" w:hAnsi="Times New Roman"/>
          <w:sz w:val="24"/>
          <w:szCs w:val="24"/>
        </w:rPr>
        <w:t>There are No Grounds for the SEMCC to Overturn the Appeal Judge’s Findings</w:t>
      </w:r>
      <w:bookmarkEnd w:id="33"/>
    </w:p>
    <w:p w14:paraId="58342481" w14:textId="77777777" w:rsidR="00F412BE" w:rsidRDefault="00F412BE" w:rsidP="00F412BE">
      <w:pPr>
        <w:pStyle w:val="WSParaNum"/>
        <w:spacing w:before="0" w:after="0"/>
      </w:pPr>
      <w:r>
        <w:t xml:space="preserve">The Appeal Judge found the Trial Justice’s conviction was unreasonable or unsupported by the evidence. The review by the SEMCC is limited to questions of law alone on a correctness standard. The question before the SEMCC is whether the Appeal Judge was correct in her understanding and application of the statutory definition of habitat. The Appeal Judge’s decision reveals no error of law. </w:t>
      </w:r>
    </w:p>
    <w:p w14:paraId="636940E7" w14:textId="77777777" w:rsidR="00F412BE" w:rsidRPr="00F412BE" w:rsidRDefault="00F412BE" w:rsidP="00F412BE">
      <w:pPr>
        <w:pStyle w:val="WSParaNum"/>
        <w:numPr>
          <w:ilvl w:val="0"/>
          <w:numId w:val="0"/>
        </w:numPr>
        <w:ind w:firstLine="720"/>
        <w:rPr>
          <w:sz w:val="20"/>
          <w:szCs w:val="20"/>
        </w:rPr>
      </w:pPr>
      <w:r w:rsidRPr="00F412BE">
        <w:rPr>
          <w:i/>
          <w:iCs/>
          <w:sz w:val="20"/>
          <w:szCs w:val="20"/>
        </w:rPr>
        <w:t>POA supra</w:t>
      </w:r>
      <w:r w:rsidRPr="00F412BE">
        <w:rPr>
          <w:sz w:val="20"/>
          <w:szCs w:val="20"/>
        </w:rPr>
        <w:t xml:space="preserve"> at s 120(1)(a)(i). </w:t>
      </w:r>
    </w:p>
    <w:p w14:paraId="57EBC82A" w14:textId="77777777" w:rsidR="00F412BE" w:rsidRDefault="00F412BE" w:rsidP="00F412BE">
      <w:pPr>
        <w:pStyle w:val="WSParaNum"/>
      </w:pPr>
      <w:r>
        <w:t xml:space="preserve">The Appeal Decision rests on the finding that habitat was not established at the time of the alleged offence. This is a failure on the Crown to establish the </w:t>
      </w:r>
      <w:r>
        <w:rPr>
          <w:i/>
          <w:iCs/>
        </w:rPr>
        <w:t>actus reus</w:t>
      </w:r>
      <w:r>
        <w:t xml:space="preserve"> of the offence at trial. The Crown was required to prove that the Site was used for life processes and that the Site was depended upon directly or indirectly by existing members of the species. </w:t>
      </w:r>
    </w:p>
    <w:p w14:paraId="0B6AE2D4" w14:textId="77777777" w:rsidR="00F412BE" w:rsidRPr="00F412BE" w:rsidRDefault="00F412BE" w:rsidP="00F412BE">
      <w:pPr>
        <w:pStyle w:val="WSParaNum"/>
        <w:numPr>
          <w:ilvl w:val="0"/>
          <w:numId w:val="0"/>
        </w:numPr>
        <w:ind w:firstLine="720"/>
        <w:rPr>
          <w:sz w:val="20"/>
          <w:szCs w:val="20"/>
        </w:rPr>
      </w:pPr>
      <w:r w:rsidRPr="00F412BE">
        <w:rPr>
          <w:i/>
          <w:iCs/>
          <w:sz w:val="20"/>
          <w:szCs w:val="20"/>
        </w:rPr>
        <w:t>Zuber supra</w:t>
      </w:r>
      <w:r w:rsidRPr="00F412BE">
        <w:rPr>
          <w:sz w:val="20"/>
          <w:szCs w:val="20"/>
        </w:rPr>
        <w:t xml:space="preserve"> at para 15.</w:t>
      </w:r>
    </w:p>
    <w:p w14:paraId="1E8CA440" w14:textId="77777777" w:rsidR="00F412BE" w:rsidRDefault="00F412BE" w:rsidP="00F412BE">
      <w:pPr>
        <w:pStyle w:val="WSParaNum"/>
      </w:pPr>
      <w:r>
        <w:t xml:space="preserve">Similar to the </w:t>
      </w:r>
      <w:r>
        <w:rPr>
          <w:i/>
          <w:iCs/>
        </w:rPr>
        <w:t>ESA’</w:t>
      </w:r>
      <w:r>
        <w:t xml:space="preserve">s definition of habitat, the federal </w:t>
      </w:r>
      <w:r>
        <w:rPr>
          <w:i/>
          <w:iCs/>
        </w:rPr>
        <w:t xml:space="preserve">Fisheries Act </w:t>
      </w:r>
      <w:r>
        <w:t xml:space="preserve">contains functionally the same language (See Tab VII). The </w:t>
      </w:r>
      <w:r>
        <w:rPr>
          <w:i/>
          <w:iCs/>
        </w:rPr>
        <w:t xml:space="preserve">Fisheries Act </w:t>
      </w:r>
      <w:r>
        <w:t>jurisprudence provides clarity on the interpretation of “depends on directly or indirectly by existing members of the species”. The phrase refers to areas that the species usually depends directly or indirectly on for life processes. It excludes the use of the habitat in rare instances. The Appeal Judge found the Trial Justice’s decision was unreasonable because the evidence did not establish use, direct or indirect, at the time of the offence.</w:t>
      </w:r>
    </w:p>
    <w:p w14:paraId="1485FECC" w14:textId="77777777" w:rsidR="00F412BE" w:rsidRPr="00F412BE" w:rsidRDefault="00F412BE" w:rsidP="00F412BE">
      <w:pPr>
        <w:pStyle w:val="WSParaNum"/>
        <w:numPr>
          <w:ilvl w:val="0"/>
          <w:numId w:val="0"/>
        </w:numPr>
        <w:ind w:firstLine="720"/>
        <w:rPr>
          <w:i/>
          <w:iCs/>
          <w:sz w:val="20"/>
          <w:szCs w:val="20"/>
        </w:rPr>
      </w:pPr>
      <w:r w:rsidRPr="00F412BE">
        <w:rPr>
          <w:i/>
          <w:iCs/>
          <w:sz w:val="20"/>
          <w:szCs w:val="20"/>
        </w:rPr>
        <w:t>Fisheries Act</w:t>
      </w:r>
      <w:r w:rsidRPr="00F412BE">
        <w:rPr>
          <w:sz w:val="20"/>
          <w:szCs w:val="20"/>
        </w:rPr>
        <w:t>, RSC, 1985, c F 14 [</w:t>
      </w:r>
      <w:r w:rsidRPr="00F412BE">
        <w:rPr>
          <w:i/>
          <w:iCs/>
          <w:sz w:val="20"/>
          <w:szCs w:val="20"/>
        </w:rPr>
        <w:t>Fisheries Act</w:t>
      </w:r>
      <w:r w:rsidRPr="00F412BE">
        <w:rPr>
          <w:sz w:val="20"/>
          <w:szCs w:val="20"/>
        </w:rPr>
        <w:t>] at s 2(1).</w:t>
      </w:r>
    </w:p>
    <w:p w14:paraId="738C9FE3" w14:textId="77777777" w:rsidR="00F412BE" w:rsidRPr="00F412BE" w:rsidRDefault="00F412BE" w:rsidP="00F412BE">
      <w:pPr>
        <w:pStyle w:val="WSParaNum"/>
        <w:numPr>
          <w:ilvl w:val="0"/>
          <w:numId w:val="0"/>
        </w:numPr>
        <w:ind w:firstLine="720"/>
        <w:rPr>
          <w:sz w:val="20"/>
          <w:szCs w:val="20"/>
        </w:rPr>
      </w:pPr>
      <w:r w:rsidRPr="00F412BE">
        <w:rPr>
          <w:i/>
          <w:iCs/>
          <w:sz w:val="20"/>
          <w:szCs w:val="20"/>
        </w:rPr>
        <w:t>R v Bowcott</w:t>
      </w:r>
      <w:r w:rsidRPr="00F412BE">
        <w:rPr>
          <w:sz w:val="20"/>
          <w:szCs w:val="20"/>
        </w:rPr>
        <w:t xml:space="preserve">, </w:t>
      </w:r>
      <w:r w:rsidRPr="00F412BE">
        <w:rPr>
          <w:color w:val="1F1F1F"/>
          <w:sz w:val="20"/>
          <w:szCs w:val="20"/>
          <w:highlight w:val="white"/>
        </w:rPr>
        <w:t>1998 CarswellBC 2162</w:t>
      </w:r>
      <w:r w:rsidRPr="00F412BE">
        <w:rPr>
          <w:sz w:val="20"/>
          <w:szCs w:val="20"/>
        </w:rPr>
        <w:t xml:space="preserve"> at para 22.</w:t>
      </w:r>
    </w:p>
    <w:p w14:paraId="74DEC81D" w14:textId="77777777" w:rsidR="00F412BE" w:rsidRPr="00F412BE" w:rsidRDefault="00F412BE" w:rsidP="00F412BE">
      <w:pPr>
        <w:pStyle w:val="WSParaNum"/>
        <w:numPr>
          <w:ilvl w:val="0"/>
          <w:numId w:val="0"/>
        </w:numPr>
        <w:ind w:firstLine="720"/>
        <w:rPr>
          <w:sz w:val="20"/>
          <w:szCs w:val="20"/>
        </w:rPr>
      </w:pPr>
      <w:r w:rsidRPr="00F412BE">
        <w:rPr>
          <w:i/>
          <w:iCs/>
          <w:sz w:val="20"/>
          <w:szCs w:val="20"/>
        </w:rPr>
        <w:t>POA supra</w:t>
      </w:r>
      <w:r w:rsidRPr="00F412BE">
        <w:rPr>
          <w:sz w:val="20"/>
          <w:szCs w:val="20"/>
        </w:rPr>
        <w:t xml:space="preserve"> at s 120(1)(a)(i). </w:t>
      </w:r>
    </w:p>
    <w:p w14:paraId="21AFFC18" w14:textId="77777777" w:rsidR="00F412BE" w:rsidRDefault="00F412BE" w:rsidP="00F412BE">
      <w:pPr>
        <w:pStyle w:val="WSParaNum"/>
      </w:pPr>
      <w:r>
        <w:t xml:space="preserve">Absent an error of law, there is no reason to interfere with the Appeal Judge’s decision. For there to be an error of law for this court to correct, the Appeal Judge must have shown a fundamental misunderstanding or misapprehension of the </w:t>
      </w:r>
      <w:r>
        <w:rPr>
          <w:i/>
          <w:iCs/>
        </w:rPr>
        <w:t>ESA</w:t>
      </w:r>
      <w:r>
        <w:t xml:space="preserve">. </w:t>
      </w:r>
    </w:p>
    <w:p w14:paraId="7766EC6C" w14:textId="77777777" w:rsidR="00F412BE" w:rsidRPr="00F412BE" w:rsidRDefault="00F412BE" w:rsidP="00F412BE">
      <w:pPr>
        <w:pStyle w:val="WSParaNum"/>
        <w:numPr>
          <w:ilvl w:val="0"/>
          <w:numId w:val="0"/>
        </w:numPr>
        <w:spacing w:before="0" w:after="0"/>
        <w:ind w:firstLine="720"/>
        <w:rPr>
          <w:sz w:val="20"/>
          <w:szCs w:val="20"/>
        </w:rPr>
      </w:pPr>
      <w:r w:rsidRPr="00F412BE">
        <w:rPr>
          <w:i/>
          <w:iCs/>
          <w:sz w:val="20"/>
          <w:szCs w:val="20"/>
        </w:rPr>
        <w:t>R v JMH</w:t>
      </w:r>
      <w:r w:rsidRPr="00F412BE">
        <w:rPr>
          <w:sz w:val="20"/>
          <w:szCs w:val="20"/>
        </w:rPr>
        <w:t>, 2011 SCC 45 at para 29.</w:t>
      </w:r>
    </w:p>
    <w:p w14:paraId="4288E4EB" w14:textId="77777777" w:rsidR="00F412BE" w:rsidRPr="00F412BE" w:rsidRDefault="00F412BE" w:rsidP="00F412BE">
      <w:pPr>
        <w:pStyle w:val="WSParaNum"/>
        <w:numPr>
          <w:ilvl w:val="0"/>
          <w:numId w:val="0"/>
        </w:numPr>
        <w:ind w:firstLine="720"/>
        <w:rPr>
          <w:sz w:val="20"/>
          <w:szCs w:val="20"/>
        </w:rPr>
      </w:pPr>
      <w:r w:rsidRPr="00F412BE">
        <w:rPr>
          <w:i/>
          <w:iCs/>
          <w:sz w:val="20"/>
          <w:szCs w:val="20"/>
        </w:rPr>
        <w:t xml:space="preserve">R v Hodgson, </w:t>
      </w:r>
      <w:r w:rsidRPr="00F412BE">
        <w:rPr>
          <w:sz w:val="20"/>
          <w:szCs w:val="20"/>
        </w:rPr>
        <w:t>2024 SCC 25 at para 19.</w:t>
      </w:r>
    </w:p>
    <w:p w14:paraId="18C2E49D" w14:textId="77777777" w:rsidR="00F412BE" w:rsidRDefault="00F412BE" w:rsidP="00F412BE">
      <w:pPr>
        <w:pStyle w:val="WSParaNum"/>
      </w:pPr>
      <w:r>
        <w:lastRenderedPageBreak/>
        <w:t>There was no misunderstanding or misapprehension of the</w:t>
      </w:r>
      <w:r>
        <w:rPr>
          <w:i/>
          <w:iCs/>
        </w:rPr>
        <w:t xml:space="preserve"> ESA</w:t>
      </w:r>
      <w:r>
        <w:t>. The Appeal Judge cited the correct definition of habitat, which includes both direct and indirect dependency, during her oral reasons. The ONCA’s Decision found no misapprehension of the Appeal Judge’s understanding of this definition. This shows at a minimum that the Appeal Judge was aware of and alive to the proper definition, despite the Crown’s submission.</w:t>
      </w:r>
    </w:p>
    <w:p w14:paraId="07C91B54" w14:textId="77777777" w:rsidR="00F412BE" w:rsidRPr="00F412BE" w:rsidRDefault="00F412BE" w:rsidP="00F412BE">
      <w:pPr>
        <w:pStyle w:val="WSParaNum"/>
        <w:numPr>
          <w:ilvl w:val="0"/>
          <w:numId w:val="0"/>
        </w:numPr>
        <w:ind w:firstLine="720"/>
        <w:rPr>
          <w:sz w:val="20"/>
          <w:szCs w:val="20"/>
        </w:rPr>
      </w:pPr>
      <w:r w:rsidRPr="00F412BE">
        <w:rPr>
          <w:sz w:val="20"/>
          <w:szCs w:val="20"/>
        </w:rPr>
        <w:t xml:space="preserve">Appeal Decision </w:t>
      </w:r>
      <w:r w:rsidRPr="00F412BE">
        <w:rPr>
          <w:i/>
          <w:iCs/>
          <w:sz w:val="20"/>
          <w:szCs w:val="20"/>
        </w:rPr>
        <w:t>supra</w:t>
      </w:r>
      <w:r w:rsidRPr="00F412BE">
        <w:rPr>
          <w:sz w:val="20"/>
          <w:szCs w:val="20"/>
        </w:rPr>
        <w:t xml:space="preserve"> at 11. </w:t>
      </w:r>
    </w:p>
    <w:p w14:paraId="492A1326" w14:textId="77777777" w:rsidR="00F412BE" w:rsidRPr="00F412BE" w:rsidRDefault="00F412BE" w:rsidP="00F412BE">
      <w:pPr>
        <w:pStyle w:val="WSParaNum"/>
        <w:numPr>
          <w:ilvl w:val="0"/>
          <w:numId w:val="0"/>
        </w:numPr>
        <w:ind w:firstLine="720"/>
        <w:rPr>
          <w:sz w:val="20"/>
          <w:szCs w:val="20"/>
        </w:rPr>
      </w:pPr>
      <w:r w:rsidRPr="00F412BE">
        <w:rPr>
          <w:sz w:val="20"/>
          <w:szCs w:val="20"/>
        </w:rPr>
        <w:t xml:space="preserve">ONCA Decision </w:t>
      </w:r>
      <w:r w:rsidRPr="00F412BE">
        <w:rPr>
          <w:i/>
          <w:iCs/>
          <w:sz w:val="20"/>
          <w:szCs w:val="20"/>
        </w:rPr>
        <w:t xml:space="preserve">supra </w:t>
      </w:r>
      <w:r w:rsidRPr="00F412BE">
        <w:rPr>
          <w:sz w:val="20"/>
          <w:szCs w:val="20"/>
        </w:rPr>
        <w:t xml:space="preserve">at para 40—41. </w:t>
      </w:r>
    </w:p>
    <w:p w14:paraId="6E2D6408" w14:textId="77777777" w:rsidR="00F412BE" w:rsidRPr="00F412BE" w:rsidRDefault="00F412BE" w:rsidP="00F412BE">
      <w:pPr>
        <w:pStyle w:val="WSParaNum"/>
        <w:numPr>
          <w:ilvl w:val="0"/>
          <w:numId w:val="0"/>
        </w:numPr>
        <w:ind w:firstLine="720"/>
        <w:rPr>
          <w:sz w:val="20"/>
          <w:szCs w:val="20"/>
        </w:rPr>
      </w:pPr>
      <w:r w:rsidRPr="00F412BE">
        <w:rPr>
          <w:sz w:val="20"/>
          <w:szCs w:val="20"/>
        </w:rPr>
        <w:t xml:space="preserve">FOA </w:t>
      </w:r>
      <w:r w:rsidRPr="00F412BE">
        <w:rPr>
          <w:i/>
          <w:iCs/>
          <w:sz w:val="20"/>
          <w:szCs w:val="20"/>
        </w:rPr>
        <w:t>supra</w:t>
      </w:r>
      <w:r w:rsidRPr="00F412BE">
        <w:rPr>
          <w:sz w:val="20"/>
          <w:szCs w:val="20"/>
        </w:rPr>
        <w:t xml:space="preserve"> at para 61.</w:t>
      </w:r>
    </w:p>
    <w:p w14:paraId="5E636ED5" w14:textId="77777777" w:rsidR="00F412BE" w:rsidRDefault="00F412BE" w:rsidP="00F412BE">
      <w:pPr>
        <w:pStyle w:val="WSParaNum"/>
      </w:pPr>
      <w:r>
        <w:t>The Crown submits that the Appeal Judge erred by failing to expressly reference the indirect uses of habitat provided by Mr. Snell. However, a judge’s failure to refer to individual pieces of evidence does not, in itself, constitute an error of law. Appellate review does not require a judge to address every piece of evidence in the record. The absence of such references does not demonstrate that the evidence was ignored or misunderstood.</w:t>
      </w:r>
    </w:p>
    <w:p w14:paraId="279FB8D2" w14:textId="77777777" w:rsidR="00F412BE" w:rsidRPr="00F412BE" w:rsidRDefault="00F412BE" w:rsidP="00F412BE">
      <w:pPr>
        <w:pStyle w:val="WSParaNum"/>
        <w:numPr>
          <w:ilvl w:val="0"/>
          <w:numId w:val="0"/>
        </w:numPr>
        <w:ind w:firstLine="720"/>
        <w:rPr>
          <w:sz w:val="20"/>
          <w:szCs w:val="20"/>
        </w:rPr>
      </w:pPr>
      <w:r w:rsidRPr="00F412BE">
        <w:rPr>
          <w:sz w:val="20"/>
          <w:szCs w:val="20"/>
        </w:rPr>
        <w:t xml:space="preserve">FOA </w:t>
      </w:r>
      <w:r w:rsidRPr="00F412BE">
        <w:rPr>
          <w:i/>
          <w:iCs/>
          <w:sz w:val="20"/>
          <w:szCs w:val="20"/>
        </w:rPr>
        <w:t>supra</w:t>
      </w:r>
      <w:r w:rsidRPr="00F412BE">
        <w:rPr>
          <w:sz w:val="20"/>
          <w:szCs w:val="20"/>
        </w:rPr>
        <w:t xml:space="preserve"> at para 49.</w:t>
      </w:r>
    </w:p>
    <w:p w14:paraId="35822928" w14:textId="77777777" w:rsidR="00F412BE" w:rsidRPr="00F412BE" w:rsidRDefault="00F412BE" w:rsidP="00F412BE">
      <w:pPr>
        <w:pStyle w:val="WSParaNum"/>
        <w:numPr>
          <w:ilvl w:val="0"/>
          <w:numId w:val="0"/>
        </w:numPr>
        <w:ind w:firstLine="720"/>
        <w:rPr>
          <w:sz w:val="20"/>
          <w:szCs w:val="20"/>
        </w:rPr>
      </w:pPr>
      <w:r w:rsidRPr="00F412BE">
        <w:rPr>
          <w:i/>
          <w:iCs/>
          <w:sz w:val="20"/>
          <w:szCs w:val="20"/>
        </w:rPr>
        <w:t>R v Morin</w:t>
      </w:r>
      <w:r w:rsidRPr="00F412BE">
        <w:rPr>
          <w:sz w:val="20"/>
          <w:szCs w:val="20"/>
        </w:rPr>
        <w:t>, [1992] 3 SCR 286 at para 18.</w:t>
      </w:r>
    </w:p>
    <w:p w14:paraId="5D71A757" w14:textId="77777777" w:rsidR="00F412BE" w:rsidRDefault="00F412BE" w:rsidP="00F412BE">
      <w:pPr>
        <w:pStyle w:val="WSParaNum"/>
      </w:pPr>
      <w:r>
        <w:t xml:space="preserve">The legal requirement instead is that the reasons, read as a whole, are sufficient to explain why the judge reached the conclusion they did. The Appeal Judge met this standard by explaining why the evidence did not establish habitat use at the time of the offence. </w:t>
      </w:r>
    </w:p>
    <w:p w14:paraId="6C2D9D34" w14:textId="77777777" w:rsidR="00F412BE" w:rsidRDefault="00F412BE" w:rsidP="00F412BE">
      <w:pPr>
        <w:pStyle w:val="WSParaNum"/>
      </w:pPr>
      <w:r>
        <w:t xml:space="preserve">The reasons provided by the Appeal Judge were understood and upheld as revealing no error in law. The SEMCC should reach the same conclusion and not interfere with the Appeal Judge’s finding. </w:t>
      </w:r>
    </w:p>
    <w:p w14:paraId="2CF4C39C" w14:textId="77777777" w:rsidR="00F412BE" w:rsidRPr="00F412BE" w:rsidRDefault="00F412BE" w:rsidP="00F412BE">
      <w:pPr>
        <w:pStyle w:val="WSParaNum"/>
        <w:numPr>
          <w:ilvl w:val="0"/>
          <w:numId w:val="0"/>
        </w:numPr>
        <w:ind w:firstLine="720"/>
        <w:rPr>
          <w:sz w:val="20"/>
          <w:szCs w:val="20"/>
        </w:rPr>
      </w:pPr>
      <w:r w:rsidRPr="00F412BE">
        <w:rPr>
          <w:sz w:val="20"/>
          <w:szCs w:val="20"/>
        </w:rPr>
        <w:t xml:space="preserve">ONCA Decision </w:t>
      </w:r>
      <w:r w:rsidRPr="00F412BE">
        <w:rPr>
          <w:i/>
          <w:iCs/>
          <w:sz w:val="20"/>
          <w:szCs w:val="20"/>
        </w:rPr>
        <w:t>supra</w:t>
      </w:r>
      <w:r w:rsidRPr="00F412BE">
        <w:rPr>
          <w:sz w:val="20"/>
          <w:szCs w:val="20"/>
        </w:rPr>
        <w:t xml:space="preserve"> at para 41.</w:t>
      </w:r>
    </w:p>
    <w:p w14:paraId="45010AEB" w14:textId="77777777" w:rsidR="0007098C" w:rsidRPr="00F412BE" w:rsidRDefault="00F412BE" w:rsidP="00F412BE">
      <w:pPr>
        <w:pStyle w:val="Heading3"/>
        <w:rPr>
          <w:rFonts w:ascii="Times New Roman" w:hAnsi="Times New Roman"/>
          <w:sz w:val="24"/>
          <w:szCs w:val="24"/>
        </w:rPr>
      </w:pPr>
      <w:bookmarkStart w:id="34" w:name="_Toc220075835"/>
      <w:r w:rsidRPr="00F412BE">
        <w:rPr>
          <w:rFonts w:ascii="Times New Roman" w:hAnsi="Times New Roman"/>
          <w:sz w:val="24"/>
          <w:szCs w:val="24"/>
        </w:rPr>
        <w:t>The Crown Failed to Introduce Evidence to Support Indirect Dependence</w:t>
      </w:r>
      <w:bookmarkEnd w:id="34"/>
    </w:p>
    <w:p w14:paraId="540CABA4" w14:textId="77777777" w:rsidR="00F412BE" w:rsidRDefault="00F412BE" w:rsidP="00F412BE">
      <w:pPr>
        <w:pStyle w:val="WSParaNum"/>
        <w:spacing w:before="0" w:after="0"/>
      </w:pPr>
      <w:r>
        <w:t>In the alternative, even if the Appeal Judge was required to address individual pieces of indirect evidence, there is no error of law. The Crown failed to adduce evidence of indirect use to support a conviction.</w:t>
      </w:r>
    </w:p>
    <w:p w14:paraId="05219D5B" w14:textId="77777777" w:rsidR="00F412BE" w:rsidRDefault="00F412BE" w:rsidP="00F412BE">
      <w:pPr>
        <w:pStyle w:val="WSParaNum"/>
      </w:pPr>
      <w:r>
        <w:t xml:space="preserve">Under the </w:t>
      </w:r>
      <w:r>
        <w:rPr>
          <w:i/>
          <w:iCs/>
        </w:rPr>
        <w:t>Fisheries Act</w:t>
      </w:r>
      <w:r>
        <w:t xml:space="preserve">, there is a body of case law that considers it necessary to identify the habitat areas on which the species depend </w:t>
      </w:r>
      <w:r>
        <w:rPr>
          <w:i/>
          <w:iCs/>
        </w:rPr>
        <w:t>and relate them to the various life processes</w:t>
      </w:r>
      <w:r>
        <w:t xml:space="preserve"> (i.e. spawning grounds and nursery, rearing, food supply and migration areas).</w:t>
      </w:r>
    </w:p>
    <w:p w14:paraId="759E5950" w14:textId="77777777" w:rsidR="00F412BE" w:rsidRPr="00F412BE" w:rsidRDefault="00F412BE" w:rsidP="00F412BE">
      <w:pPr>
        <w:pStyle w:val="WSParaNum"/>
        <w:numPr>
          <w:ilvl w:val="0"/>
          <w:numId w:val="0"/>
        </w:numPr>
        <w:ind w:firstLine="720"/>
        <w:rPr>
          <w:sz w:val="20"/>
          <w:szCs w:val="20"/>
        </w:rPr>
      </w:pPr>
      <w:r w:rsidRPr="00922833">
        <w:rPr>
          <w:i/>
          <w:iCs/>
          <w:sz w:val="20"/>
          <w:szCs w:val="20"/>
        </w:rPr>
        <w:lastRenderedPageBreak/>
        <w:t>Fisheries Act</w:t>
      </w:r>
      <w:r w:rsidRPr="00F412BE">
        <w:rPr>
          <w:sz w:val="20"/>
          <w:szCs w:val="20"/>
        </w:rPr>
        <w:t xml:space="preserve"> </w:t>
      </w:r>
      <w:r w:rsidRPr="00922833">
        <w:rPr>
          <w:i/>
          <w:iCs/>
          <w:sz w:val="20"/>
          <w:szCs w:val="20"/>
        </w:rPr>
        <w:t>supra</w:t>
      </w:r>
      <w:r w:rsidRPr="00F412BE">
        <w:rPr>
          <w:sz w:val="20"/>
          <w:szCs w:val="20"/>
        </w:rPr>
        <w:t xml:space="preserve"> at s 2(1).</w:t>
      </w:r>
    </w:p>
    <w:p w14:paraId="56D5472D" w14:textId="77777777" w:rsidR="00F412BE" w:rsidRPr="00F412BE" w:rsidRDefault="00F412BE" w:rsidP="00F412BE">
      <w:pPr>
        <w:pStyle w:val="WSParaNum"/>
        <w:numPr>
          <w:ilvl w:val="0"/>
          <w:numId w:val="0"/>
        </w:numPr>
        <w:ind w:firstLine="720"/>
        <w:rPr>
          <w:sz w:val="20"/>
          <w:szCs w:val="20"/>
        </w:rPr>
      </w:pPr>
      <w:r w:rsidRPr="00F412BE">
        <w:rPr>
          <w:i/>
          <w:iCs/>
          <w:sz w:val="20"/>
          <w:szCs w:val="20"/>
        </w:rPr>
        <w:t>Bowcott</w:t>
      </w:r>
      <w:r w:rsidRPr="00F412BE">
        <w:rPr>
          <w:sz w:val="20"/>
          <w:szCs w:val="20"/>
        </w:rPr>
        <w:t xml:space="preserve"> </w:t>
      </w:r>
      <w:r w:rsidRPr="00F412BE">
        <w:rPr>
          <w:i/>
          <w:iCs/>
          <w:sz w:val="20"/>
          <w:szCs w:val="20"/>
        </w:rPr>
        <w:t>supra</w:t>
      </w:r>
      <w:r w:rsidRPr="00F412BE">
        <w:rPr>
          <w:sz w:val="20"/>
          <w:szCs w:val="20"/>
        </w:rPr>
        <w:t xml:space="preserve"> at para 22.  </w:t>
      </w:r>
    </w:p>
    <w:p w14:paraId="4F185F97" w14:textId="77777777" w:rsidR="00F412BE" w:rsidRPr="00F412BE" w:rsidRDefault="00F412BE" w:rsidP="00F412BE">
      <w:pPr>
        <w:pStyle w:val="WSParaNum"/>
        <w:numPr>
          <w:ilvl w:val="0"/>
          <w:numId w:val="0"/>
        </w:numPr>
        <w:ind w:firstLine="720"/>
        <w:rPr>
          <w:sz w:val="20"/>
          <w:szCs w:val="20"/>
        </w:rPr>
      </w:pPr>
      <w:r w:rsidRPr="00F412BE">
        <w:rPr>
          <w:i/>
          <w:iCs/>
          <w:sz w:val="20"/>
          <w:szCs w:val="20"/>
        </w:rPr>
        <w:t>R v St Paul (Town)</w:t>
      </w:r>
      <w:r w:rsidRPr="00F412BE">
        <w:rPr>
          <w:sz w:val="20"/>
          <w:szCs w:val="20"/>
        </w:rPr>
        <w:t>, [1993] AJ No 953 at para 51.</w:t>
      </w:r>
    </w:p>
    <w:p w14:paraId="75180050" w14:textId="77777777" w:rsidR="00F412BE" w:rsidRDefault="00F412BE" w:rsidP="00F412BE">
      <w:pPr>
        <w:pStyle w:val="WSParaNum"/>
      </w:pPr>
      <w:r>
        <w:t xml:space="preserve">Under the </w:t>
      </w:r>
      <w:r>
        <w:rPr>
          <w:i/>
          <w:iCs/>
        </w:rPr>
        <w:t>ESA</w:t>
      </w:r>
      <w:r>
        <w:t xml:space="preserve">, the equivalent would be a requirement to relate the habitat area to life processes such as reproduction, rearing, hibernation, migration or feeding. </w:t>
      </w:r>
    </w:p>
    <w:p w14:paraId="34D102CF" w14:textId="77777777" w:rsidR="00F412BE" w:rsidRPr="00F412BE" w:rsidRDefault="00F412BE" w:rsidP="00F412BE">
      <w:pPr>
        <w:pStyle w:val="WSParaNum"/>
        <w:numPr>
          <w:ilvl w:val="0"/>
          <w:numId w:val="0"/>
        </w:numPr>
        <w:ind w:firstLine="720"/>
        <w:rPr>
          <w:sz w:val="20"/>
          <w:szCs w:val="20"/>
        </w:rPr>
      </w:pPr>
      <w:r w:rsidRPr="00F412BE">
        <w:rPr>
          <w:i/>
          <w:iCs/>
          <w:sz w:val="20"/>
          <w:szCs w:val="20"/>
        </w:rPr>
        <w:t>ESA supra</w:t>
      </w:r>
      <w:r w:rsidRPr="00F412BE">
        <w:rPr>
          <w:sz w:val="20"/>
          <w:szCs w:val="20"/>
        </w:rPr>
        <w:t xml:space="preserve"> at s 2(1)(b). </w:t>
      </w:r>
    </w:p>
    <w:p w14:paraId="5165A1E1" w14:textId="77777777" w:rsidR="00F412BE" w:rsidRDefault="00F412BE" w:rsidP="00F412BE">
      <w:pPr>
        <w:pStyle w:val="WSParaNum"/>
      </w:pPr>
      <w:r>
        <w:t xml:space="preserve">The Crown introduced circumstantial evidence of alleged direct use and causally linked the Site’s disturbance to life process of the Blanding’s turtle. For direct uses, Mr. Snell stated that the removal of the vegetation affected the turtles’ thermal regulation opportunities, removal of the vegetation made the site less valuable as a nesting habitat, as eggs and young would be more susceptible to predators, and the work was done without exclusion fencing to prevent harm to turtles on the site. </w:t>
      </w:r>
    </w:p>
    <w:p w14:paraId="4300170B" w14:textId="77777777" w:rsidR="00F412BE" w:rsidRPr="00F412BE" w:rsidRDefault="00F412BE" w:rsidP="00F412BE">
      <w:pPr>
        <w:pStyle w:val="WSParaNum"/>
        <w:numPr>
          <w:ilvl w:val="0"/>
          <w:numId w:val="0"/>
        </w:numPr>
        <w:ind w:firstLine="720"/>
        <w:rPr>
          <w:sz w:val="20"/>
          <w:szCs w:val="20"/>
        </w:rPr>
      </w:pPr>
      <w:r w:rsidRPr="00F412BE">
        <w:rPr>
          <w:sz w:val="20"/>
          <w:szCs w:val="20"/>
        </w:rPr>
        <w:t xml:space="preserve">Trial Decision </w:t>
      </w:r>
      <w:r w:rsidRPr="00F412BE">
        <w:rPr>
          <w:i/>
          <w:iCs/>
          <w:sz w:val="20"/>
          <w:szCs w:val="20"/>
        </w:rPr>
        <w:t xml:space="preserve">supra </w:t>
      </w:r>
      <w:r w:rsidRPr="00F412BE">
        <w:rPr>
          <w:sz w:val="20"/>
          <w:szCs w:val="20"/>
        </w:rPr>
        <w:t>at 7.</w:t>
      </w:r>
    </w:p>
    <w:p w14:paraId="7580E6D2" w14:textId="77777777" w:rsidR="00F412BE" w:rsidRDefault="00F412BE" w:rsidP="00F412BE">
      <w:pPr>
        <w:pStyle w:val="WSParaNum"/>
      </w:pPr>
      <w:r>
        <w:t xml:space="preserve">However, the Crown failed to make this link between damage and life processes for the indirect uses. For indirect uses, Mr. Snell stated the removal of the vegetation reduced the food supply (vegetation) for the food source (insects) of Blanding’s turtles; the grubbing resulted in increased erosion and increased sedimentation in the adjacent water; the grubbing resulted in the removal of vegetation that acted as a buffer from nutrient runoff; and the earth pushed to the wetland edge diminished the water supply to the wetland. </w:t>
      </w:r>
    </w:p>
    <w:p w14:paraId="6D2400B8" w14:textId="77777777" w:rsidR="00F412BE" w:rsidRPr="00F412BE" w:rsidRDefault="00F412BE" w:rsidP="00F412BE">
      <w:pPr>
        <w:pStyle w:val="WSParaNum"/>
        <w:numPr>
          <w:ilvl w:val="0"/>
          <w:numId w:val="0"/>
        </w:numPr>
        <w:ind w:firstLine="720"/>
        <w:rPr>
          <w:sz w:val="20"/>
          <w:szCs w:val="20"/>
        </w:rPr>
      </w:pPr>
      <w:r w:rsidRPr="00F412BE">
        <w:rPr>
          <w:sz w:val="20"/>
          <w:szCs w:val="20"/>
        </w:rPr>
        <w:t xml:space="preserve">Trial Decision </w:t>
      </w:r>
      <w:r w:rsidRPr="00F412BE">
        <w:rPr>
          <w:i/>
          <w:iCs/>
          <w:sz w:val="20"/>
          <w:szCs w:val="20"/>
        </w:rPr>
        <w:t xml:space="preserve">supra </w:t>
      </w:r>
      <w:r w:rsidRPr="00F412BE">
        <w:rPr>
          <w:sz w:val="20"/>
          <w:szCs w:val="20"/>
        </w:rPr>
        <w:t>at 7.</w:t>
      </w:r>
    </w:p>
    <w:p w14:paraId="193C8B8E" w14:textId="77777777" w:rsidR="00F412BE" w:rsidRDefault="00F412BE" w:rsidP="00F412BE">
      <w:pPr>
        <w:pStyle w:val="WSParaNum"/>
      </w:pPr>
      <w:r>
        <w:t xml:space="preserve">None of these examples of indirect uses links the alleged damage to a life process of the Blanding’s turtle. Without this link between damage and life processes, the </w:t>
      </w:r>
      <w:r>
        <w:rPr>
          <w:i/>
          <w:iCs/>
        </w:rPr>
        <w:t xml:space="preserve">actus reus </w:t>
      </w:r>
      <w:r>
        <w:t xml:space="preserve">cannot be established. </w:t>
      </w:r>
    </w:p>
    <w:p w14:paraId="42C2920A" w14:textId="77777777" w:rsidR="00F412BE" w:rsidRPr="00F412BE" w:rsidRDefault="00F412BE" w:rsidP="00F412BE">
      <w:pPr>
        <w:pStyle w:val="WSParaNum"/>
        <w:numPr>
          <w:ilvl w:val="0"/>
          <w:numId w:val="0"/>
        </w:numPr>
        <w:ind w:firstLine="720"/>
        <w:rPr>
          <w:i/>
          <w:iCs/>
          <w:sz w:val="20"/>
          <w:szCs w:val="20"/>
        </w:rPr>
      </w:pPr>
      <w:r w:rsidRPr="00F412BE">
        <w:rPr>
          <w:sz w:val="20"/>
          <w:szCs w:val="20"/>
        </w:rPr>
        <w:t xml:space="preserve">Trial Decision </w:t>
      </w:r>
      <w:r w:rsidRPr="00F412BE">
        <w:rPr>
          <w:i/>
          <w:iCs/>
          <w:sz w:val="20"/>
          <w:szCs w:val="20"/>
        </w:rPr>
        <w:t xml:space="preserve">supra </w:t>
      </w:r>
      <w:r w:rsidRPr="00F412BE">
        <w:rPr>
          <w:sz w:val="20"/>
          <w:szCs w:val="20"/>
        </w:rPr>
        <w:t>at 7.</w:t>
      </w:r>
    </w:p>
    <w:p w14:paraId="3D69601A" w14:textId="79AECD75" w:rsidR="00F412BE" w:rsidRDefault="00F412BE" w:rsidP="00F412BE">
      <w:pPr>
        <w:pStyle w:val="WSParaNum"/>
      </w:pPr>
      <w:r>
        <w:t xml:space="preserve">The impacts on Blanding’s turtle’s food </w:t>
      </w:r>
      <w:r w:rsidR="00922833">
        <w:t xml:space="preserve">sources’ </w:t>
      </w:r>
      <w:r>
        <w:t>food supply provides the strongest evidence of an indirect use linked to a life process (feeding). However, the SEMCC should disregard this example as it is too remote. Mr. Snell stated that the Site reduced the food supply, not for the Blanding’s turtle, but reduced the food supply for insects that the Blanding’s turtle feeds on.</w:t>
      </w:r>
    </w:p>
    <w:p w14:paraId="0E989074" w14:textId="77777777" w:rsidR="00F412BE" w:rsidRPr="00F412BE" w:rsidRDefault="00F412BE" w:rsidP="00F412BE">
      <w:pPr>
        <w:pStyle w:val="WSParaNum"/>
        <w:numPr>
          <w:ilvl w:val="0"/>
          <w:numId w:val="0"/>
        </w:numPr>
        <w:ind w:firstLine="720"/>
        <w:rPr>
          <w:sz w:val="20"/>
          <w:szCs w:val="20"/>
        </w:rPr>
      </w:pPr>
      <w:r w:rsidRPr="00F412BE">
        <w:rPr>
          <w:sz w:val="20"/>
          <w:szCs w:val="20"/>
        </w:rPr>
        <w:lastRenderedPageBreak/>
        <w:t xml:space="preserve">Trial Decision </w:t>
      </w:r>
      <w:r w:rsidRPr="00F412BE">
        <w:rPr>
          <w:i/>
          <w:iCs/>
          <w:sz w:val="20"/>
          <w:szCs w:val="20"/>
        </w:rPr>
        <w:t xml:space="preserve">supra </w:t>
      </w:r>
      <w:r w:rsidRPr="00F412BE">
        <w:rPr>
          <w:sz w:val="20"/>
          <w:szCs w:val="20"/>
        </w:rPr>
        <w:t>at 7.</w:t>
      </w:r>
    </w:p>
    <w:p w14:paraId="0DEA5ECD" w14:textId="77777777" w:rsidR="00F412BE" w:rsidRDefault="00F412BE" w:rsidP="00F412BE">
      <w:pPr>
        <w:pStyle w:val="WSParaNum"/>
      </w:pPr>
      <w:r>
        <w:t xml:space="preserve">If accepted as an indirect use, most lands in Ontario could likely be linked to a tertiary food chain source of an </w:t>
      </w:r>
      <w:r>
        <w:rPr>
          <w:i/>
          <w:iCs/>
        </w:rPr>
        <w:t>ESA-</w:t>
      </w:r>
      <w:r>
        <w:t>listed species. The ONCA Decision notes the correct approach, stating that an indirect use linked to a life process would be the destruction of habitat of a food source of the Blanding’s turtle, not the destruction of a food source’s food supply.</w:t>
      </w:r>
    </w:p>
    <w:p w14:paraId="73439BD6" w14:textId="77777777" w:rsidR="00F412BE" w:rsidRPr="00F412BE" w:rsidRDefault="00F412BE" w:rsidP="00F412BE">
      <w:pPr>
        <w:pStyle w:val="WSParaNum"/>
        <w:numPr>
          <w:ilvl w:val="0"/>
          <w:numId w:val="0"/>
        </w:numPr>
        <w:ind w:firstLine="720"/>
        <w:rPr>
          <w:sz w:val="20"/>
          <w:szCs w:val="20"/>
        </w:rPr>
      </w:pPr>
      <w:r w:rsidRPr="00F412BE">
        <w:rPr>
          <w:sz w:val="20"/>
          <w:szCs w:val="20"/>
        </w:rPr>
        <w:t xml:space="preserve">ONCA Decision </w:t>
      </w:r>
      <w:r w:rsidRPr="00F412BE">
        <w:rPr>
          <w:i/>
          <w:iCs/>
          <w:sz w:val="20"/>
          <w:szCs w:val="20"/>
        </w:rPr>
        <w:t>supra</w:t>
      </w:r>
      <w:r w:rsidRPr="00F412BE">
        <w:rPr>
          <w:sz w:val="20"/>
          <w:szCs w:val="20"/>
        </w:rPr>
        <w:t xml:space="preserve"> at para 39.</w:t>
      </w:r>
    </w:p>
    <w:p w14:paraId="03BE57E2" w14:textId="77777777" w:rsidR="00F412BE" w:rsidRDefault="00F412BE" w:rsidP="00F412BE">
      <w:pPr>
        <w:pStyle w:val="WSParaNum"/>
      </w:pPr>
      <w:r>
        <w:t xml:space="preserve">The examples Mr. Snell provides related to potential wetland effects could diminish the area’s suitability for Blanding’s turtles. However, the Crown failed to link these changes to any life process, as defined in the </w:t>
      </w:r>
      <w:r>
        <w:rPr>
          <w:i/>
          <w:iCs/>
        </w:rPr>
        <w:t>ESA</w:t>
      </w:r>
      <w:r>
        <w:t>.</w:t>
      </w:r>
    </w:p>
    <w:p w14:paraId="383E2563" w14:textId="77777777" w:rsidR="00F412BE" w:rsidRPr="00F412BE" w:rsidRDefault="00F412BE" w:rsidP="00F412BE">
      <w:pPr>
        <w:pStyle w:val="WSParaNum"/>
        <w:numPr>
          <w:ilvl w:val="0"/>
          <w:numId w:val="0"/>
        </w:numPr>
        <w:ind w:firstLine="720"/>
        <w:rPr>
          <w:sz w:val="20"/>
          <w:szCs w:val="20"/>
        </w:rPr>
      </w:pPr>
      <w:r w:rsidRPr="00F412BE">
        <w:rPr>
          <w:i/>
          <w:iCs/>
          <w:sz w:val="20"/>
          <w:szCs w:val="20"/>
        </w:rPr>
        <w:t>ESA supra</w:t>
      </w:r>
      <w:r w:rsidRPr="00F412BE">
        <w:rPr>
          <w:sz w:val="20"/>
          <w:szCs w:val="20"/>
        </w:rPr>
        <w:t xml:space="preserve"> at s 2(1)(a).</w:t>
      </w:r>
    </w:p>
    <w:p w14:paraId="432D07DA" w14:textId="77777777" w:rsidR="00F412BE" w:rsidRDefault="00F412BE" w:rsidP="00F412BE">
      <w:pPr>
        <w:pStyle w:val="WSParaNum"/>
      </w:pPr>
      <w:r>
        <w:t xml:space="preserve">In addition, CHL was granted a DIA permit that allowed them to make changes that impacted the wetland. Any impacts to the wetland were authorized under the </w:t>
      </w:r>
      <w:r>
        <w:rPr>
          <w:i/>
          <w:iCs/>
        </w:rPr>
        <w:t>CAA</w:t>
      </w:r>
      <w:r>
        <w:t xml:space="preserve"> and should not form the basis of a conviction under the </w:t>
      </w:r>
      <w:r>
        <w:rPr>
          <w:i/>
          <w:iCs/>
        </w:rPr>
        <w:t>ESA</w:t>
      </w:r>
      <w:r>
        <w:t xml:space="preserve">. </w:t>
      </w:r>
    </w:p>
    <w:p w14:paraId="31931B93" w14:textId="77777777" w:rsidR="00F412BE" w:rsidRPr="00F412BE" w:rsidRDefault="00F412BE" w:rsidP="00F412BE">
      <w:pPr>
        <w:pStyle w:val="WSParaNum"/>
        <w:numPr>
          <w:ilvl w:val="0"/>
          <w:numId w:val="0"/>
        </w:numPr>
        <w:ind w:firstLine="720"/>
        <w:rPr>
          <w:sz w:val="20"/>
          <w:szCs w:val="20"/>
        </w:rPr>
      </w:pPr>
      <w:r w:rsidRPr="00F412BE">
        <w:rPr>
          <w:i/>
          <w:iCs/>
          <w:sz w:val="20"/>
          <w:szCs w:val="20"/>
        </w:rPr>
        <w:t>CAA</w:t>
      </w:r>
      <w:r w:rsidRPr="00F412BE">
        <w:rPr>
          <w:sz w:val="20"/>
          <w:szCs w:val="20"/>
        </w:rPr>
        <w:t xml:space="preserve"> </w:t>
      </w:r>
      <w:r w:rsidRPr="00F412BE">
        <w:rPr>
          <w:i/>
          <w:iCs/>
          <w:sz w:val="20"/>
          <w:szCs w:val="20"/>
        </w:rPr>
        <w:t>supra</w:t>
      </w:r>
      <w:r w:rsidRPr="00F412BE">
        <w:rPr>
          <w:sz w:val="20"/>
          <w:szCs w:val="20"/>
        </w:rPr>
        <w:t xml:space="preserve"> at s 28.1(1). </w:t>
      </w:r>
    </w:p>
    <w:p w14:paraId="7395A706" w14:textId="77777777" w:rsidR="0007098C" w:rsidRDefault="00F412BE" w:rsidP="005B1EAF">
      <w:pPr>
        <w:pStyle w:val="WSParaNum"/>
      </w:pPr>
      <w:r>
        <w:t>For the conviction to stand, the Crown was required to link any indirect uses to the Blanding’s turtle’s life processes. While the Crown attempted to establish a link for alleged direct uses, the Crown failed to establish any comparable nexus for indirect uses. It was not a failure of the Appeal Judge to set aside the conviction because there was no evidentiary basis, direct or indirect, for the finding.</w:t>
      </w:r>
    </w:p>
    <w:p w14:paraId="4F357C1A" w14:textId="77777777" w:rsidR="002D0A80" w:rsidRPr="009C7F6B" w:rsidRDefault="009C7F6B" w:rsidP="009C7F6B">
      <w:pPr>
        <w:pStyle w:val="Heading2"/>
        <w:rPr>
          <w:rFonts w:ascii="Times New Roman" w:hAnsi="Times New Roman"/>
          <w:i w:val="0"/>
          <w:iCs w:val="0"/>
          <w:sz w:val="24"/>
          <w:szCs w:val="24"/>
        </w:rPr>
      </w:pPr>
      <w:bookmarkStart w:id="35" w:name="_Toc220075836"/>
      <w:r w:rsidRPr="009C7F6B">
        <w:rPr>
          <w:rFonts w:ascii="Times New Roman" w:hAnsi="Times New Roman"/>
          <w:i w:val="0"/>
          <w:iCs w:val="0"/>
          <w:sz w:val="24"/>
          <w:szCs w:val="24"/>
        </w:rPr>
        <w:t xml:space="preserve">Issue Four: The Amended </w:t>
      </w:r>
      <w:r w:rsidRPr="00922833">
        <w:rPr>
          <w:rFonts w:ascii="Times New Roman" w:hAnsi="Times New Roman"/>
          <w:sz w:val="24"/>
          <w:szCs w:val="24"/>
        </w:rPr>
        <w:t>ESA</w:t>
      </w:r>
      <w:r w:rsidRPr="009C7F6B">
        <w:rPr>
          <w:rFonts w:ascii="Times New Roman" w:hAnsi="Times New Roman"/>
          <w:i w:val="0"/>
          <w:iCs w:val="0"/>
          <w:sz w:val="24"/>
          <w:szCs w:val="24"/>
        </w:rPr>
        <w:t xml:space="preserve"> Definition of Habitat Does Not Support a Conviction Against CHL</w:t>
      </w:r>
      <w:bookmarkEnd w:id="35"/>
      <w:r w:rsidRPr="009C7F6B">
        <w:rPr>
          <w:rFonts w:ascii="Times New Roman" w:hAnsi="Times New Roman"/>
          <w:i w:val="0"/>
          <w:iCs w:val="0"/>
          <w:sz w:val="24"/>
          <w:szCs w:val="24"/>
        </w:rPr>
        <w:t xml:space="preserve">  </w:t>
      </w:r>
    </w:p>
    <w:p w14:paraId="51E6D313" w14:textId="77777777" w:rsidR="009C7F6B" w:rsidRDefault="009C7F6B" w:rsidP="009C7F6B">
      <w:pPr>
        <w:pStyle w:val="WSParaNum"/>
        <w:spacing w:before="0" w:after="0"/>
      </w:pPr>
      <w:r>
        <w:t xml:space="preserve">The Site fails to meet the </w:t>
      </w:r>
      <w:r w:rsidRPr="009C7F6B">
        <w:rPr>
          <w:i/>
          <w:iCs/>
        </w:rPr>
        <w:t>ESA</w:t>
      </w:r>
      <w:r>
        <w:t>’s amended habitat definition, foreclosing any finding that CHL damaged habitat.</w:t>
      </w:r>
    </w:p>
    <w:p w14:paraId="1F3C73BE" w14:textId="77777777" w:rsidR="009C7F6B" w:rsidRDefault="009C7F6B" w:rsidP="009C7F6B">
      <w:pPr>
        <w:pStyle w:val="WSParaNum"/>
      </w:pPr>
      <w:r>
        <w:t>Bill 5</w:t>
      </w:r>
      <w:r>
        <w:rPr>
          <w:i/>
          <w:iCs/>
        </w:rPr>
        <w:t xml:space="preserve"> </w:t>
      </w:r>
      <w:r>
        <w:t xml:space="preserve">deliberately amended the </w:t>
      </w:r>
      <w:r>
        <w:rPr>
          <w:i/>
          <w:iCs/>
        </w:rPr>
        <w:t>ESA</w:t>
      </w:r>
      <w:r>
        <w:t xml:space="preserve">, to narrow the definition of habitat. The amended definition of habitat for an animal species is a dwelling place which is </w:t>
      </w:r>
      <w:r>
        <w:rPr>
          <w:i/>
          <w:iCs/>
        </w:rPr>
        <w:t xml:space="preserve">occupied </w:t>
      </w:r>
      <w:r>
        <w:t xml:space="preserve">by a member of the species for breeding, rearing, staging, wintering, or hibernating. </w:t>
      </w:r>
    </w:p>
    <w:p w14:paraId="6D3112D1" w14:textId="77777777" w:rsidR="009C7F6B" w:rsidRPr="009C7F6B" w:rsidRDefault="009C7F6B" w:rsidP="009C7F6B">
      <w:pPr>
        <w:pStyle w:val="WSParaNum"/>
        <w:numPr>
          <w:ilvl w:val="0"/>
          <w:numId w:val="0"/>
        </w:numPr>
        <w:ind w:firstLine="720"/>
        <w:rPr>
          <w:sz w:val="20"/>
          <w:szCs w:val="20"/>
        </w:rPr>
      </w:pPr>
      <w:r w:rsidRPr="009C7F6B">
        <w:rPr>
          <w:sz w:val="20"/>
          <w:szCs w:val="20"/>
        </w:rPr>
        <w:t xml:space="preserve">Bill 5 </w:t>
      </w:r>
      <w:r w:rsidRPr="009C7F6B">
        <w:rPr>
          <w:i/>
          <w:iCs/>
          <w:sz w:val="20"/>
          <w:szCs w:val="20"/>
        </w:rPr>
        <w:t xml:space="preserve">supra </w:t>
      </w:r>
      <w:r w:rsidRPr="009C7F6B">
        <w:rPr>
          <w:sz w:val="20"/>
          <w:szCs w:val="20"/>
        </w:rPr>
        <w:t xml:space="preserve">at s 2(3). </w:t>
      </w:r>
    </w:p>
    <w:p w14:paraId="0EABD11E" w14:textId="77777777" w:rsidR="009C7F6B" w:rsidRDefault="009C7F6B" w:rsidP="009C7F6B">
      <w:pPr>
        <w:pStyle w:val="WSParaNum"/>
      </w:pPr>
      <w:r>
        <w:t xml:space="preserve">Notably, this definition eliminates the language that allowed for indirect indicators of habitat. </w:t>
      </w:r>
    </w:p>
    <w:p w14:paraId="708222AB" w14:textId="77777777" w:rsidR="008C63D1" w:rsidRDefault="009C7F6B" w:rsidP="009C7F6B">
      <w:pPr>
        <w:pStyle w:val="WSParaNum"/>
        <w:numPr>
          <w:ilvl w:val="0"/>
          <w:numId w:val="0"/>
        </w:numPr>
        <w:ind w:firstLine="720"/>
        <w:rPr>
          <w:sz w:val="20"/>
          <w:szCs w:val="20"/>
        </w:rPr>
      </w:pPr>
      <w:r w:rsidRPr="009C7F6B">
        <w:rPr>
          <w:i/>
          <w:iCs/>
          <w:sz w:val="20"/>
          <w:szCs w:val="20"/>
        </w:rPr>
        <w:lastRenderedPageBreak/>
        <w:t xml:space="preserve">ESA supra </w:t>
      </w:r>
      <w:r w:rsidRPr="009C7F6B">
        <w:rPr>
          <w:sz w:val="20"/>
          <w:szCs w:val="20"/>
        </w:rPr>
        <w:t>at s 2(2).</w:t>
      </w:r>
    </w:p>
    <w:p w14:paraId="4B78F1DB" w14:textId="77777777" w:rsidR="009C7F6B" w:rsidRPr="009C7F6B" w:rsidRDefault="009C7F6B" w:rsidP="009C7F6B">
      <w:pPr>
        <w:pStyle w:val="Heading3"/>
        <w:rPr>
          <w:rFonts w:ascii="Times New Roman" w:hAnsi="Times New Roman"/>
          <w:sz w:val="24"/>
          <w:szCs w:val="24"/>
        </w:rPr>
      </w:pPr>
      <w:bookmarkStart w:id="36" w:name="_Toc220075837"/>
      <w:r w:rsidRPr="009C7F6B">
        <w:rPr>
          <w:rFonts w:ascii="Times New Roman" w:hAnsi="Times New Roman"/>
          <w:sz w:val="24"/>
          <w:szCs w:val="24"/>
        </w:rPr>
        <w:t>The Amended Definition Fails to Establish Habitat as a Dwelling Place</w:t>
      </w:r>
      <w:bookmarkEnd w:id="36"/>
      <w:r w:rsidRPr="009C7F6B">
        <w:rPr>
          <w:rFonts w:ascii="Times New Roman" w:hAnsi="Times New Roman"/>
          <w:sz w:val="24"/>
          <w:szCs w:val="24"/>
        </w:rPr>
        <w:t xml:space="preserve"> </w:t>
      </w:r>
    </w:p>
    <w:p w14:paraId="79E34296" w14:textId="77777777" w:rsidR="009C7F6B" w:rsidRDefault="009C7F6B" w:rsidP="009C7F6B">
      <w:pPr>
        <w:pStyle w:val="WSParaNum"/>
        <w:spacing w:before="0" w:after="0"/>
      </w:pPr>
      <w:r>
        <w:t>The evidentiary record before the lower courts was insufficient to satisfy the former, broader definition of habitat. On a correctness review, the existing evidentiary record cannot satisfy a narrower definition of habitat.</w:t>
      </w:r>
    </w:p>
    <w:p w14:paraId="1E7E6124" w14:textId="77777777" w:rsidR="009C7F6B" w:rsidRDefault="009C7F6B" w:rsidP="009C7F6B">
      <w:pPr>
        <w:pStyle w:val="WSParaNum"/>
      </w:pPr>
      <w:r>
        <w:rPr>
          <w:color w:val="000000"/>
        </w:rPr>
        <w:t>The Trial Jus</w:t>
      </w:r>
      <w:r>
        <w:t xml:space="preserve">tice relied on predominantly circumstantial and indirect evidence. This included the Sightings, the GHD, and site surveys. This evidence indicates </w:t>
      </w:r>
      <w:r>
        <w:rPr>
          <w:i/>
          <w:iCs/>
        </w:rPr>
        <w:t xml:space="preserve">potential </w:t>
      </w:r>
      <w:r>
        <w:t xml:space="preserve">Blanding’s turtle habitat. None of these sources provide </w:t>
      </w:r>
      <w:r>
        <w:rPr>
          <w:i/>
          <w:iCs/>
        </w:rPr>
        <w:t>direct</w:t>
      </w:r>
      <w:r>
        <w:t xml:space="preserve"> proof of Blanding’s turtles using the Site at the relevant time. Under the amended habitat definition, this indirect evidence cannot establish the Site as a dwelling place and cannot sustain a conviction.</w:t>
      </w:r>
    </w:p>
    <w:p w14:paraId="7161643D" w14:textId="77777777" w:rsidR="009C7F6B" w:rsidRPr="009C7F6B" w:rsidRDefault="009C7F6B" w:rsidP="009C7F6B">
      <w:pPr>
        <w:pStyle w:val="WSParaNum"/>
        <w:numPr>
          <w:ilvl w:val="0"/>
          <w:numId w:val="0"/>
        </w:numPr>
        <w:ind w:firstLine="720"/>
        <w:rPr>
          <w:sz w:val="20"/>
          <w:szCs w:val="20"/>
        </w:rPr>
      </w:pPr>
      <w:r w:rsidRPr="009C7F6B">
        <w:rPr>
          <w:sz w:val="20"/>
          <w:szCs w:val="20"/>
        </w:rPr>
        <w:t xml:space="preserve">Trial Decision </w:t>
      </w:r>
      <w:r w:rsidRPr="009C7F6B">
        <w:rPr>
          <w:i/>
          <w:iCs/>
          <w:sz w:val="20"/>
          <w:szCs w:val="20"/>
        </w:rPr>
        <w:t>supra</w:t>
      </w:r>
      <w:r w:rsidRPr="009C7F6B">
        <w:rPr>
          <w:sz w:val="20"/>
          <w:szCs w:val="20"/>
        </w:rPr>
        <w:t xml:space="preserve"> at 10.</w:t>
      </w:r>
    </w:p>
    <w:p w14:paraId="404F60E9" w14:textId="77777777" w:rsidR="009C7F6B" w:rsidRPr="009C7F6B" w:rsidRDefault="009C7F6B" w:rsidP="009C7F6B">
      <w:pPr>
        <w:pStyle w:val="WSParaNum"/>
        <w:numPr>
          <w:ilvl w:val="0"/>
          <w:numId w:val="0"/>
        </w:numPr>
        <w:ind w:firstLine="720"/>
        <w:rPr>
          <w:sz w:val="20"/>
          <w:szCs w:val="20"/>
        </w:rPr>
      </w:pPr>
      <w:r w:rsidRPr="009C7F6B">
        <w:rPr>
          <w:sz w:val="20"/>
          <w:szCs w:val="20"/>
        </w:rPr>
        <w:t xml:space="preserve">Appeal Decision </w:t>
      </w:r>
      <w:r w:rsidRPr="009C7F6B">
        <w:rPr>
          <w:i/>
          <w:iCs/>
          <w:sz w:val="20"/>
          <w:szCs w:val="20"/>
        </w:rPr>
        <w:t xml:space="preserve">supra </w:t>
      </w:r>
      <w:r w:rsidRPr="009C7F6B">
        <w:rPr>
          <w:sz w:val="20"/>
          <w:szCs w:val="20"/>
        </w:rPr>
        <w:t>at 7 and 14.</w:t>
      </w:r>
    </w:p>
    <w:p w14:paraId="4045A216" w14:textId="77777777" w:rsidR="009C7F6B" w:rsidRDefault="009C7F6B" w:rsidP="009C7F6B">
      <w:pPr>
        <w:pStyle w:val="WSParaNum"/>
      </w:pPr>
      <w:r>
        <w:t>The only direct evidence on the record that could classify the Site as a dwelling place is a single eggshell fragment. The shell was not confirmed to be a Blanding’s turtle; the expert confirmed only that it was reptilian and could have originated from a snake.</w:t>
      </w:r>
    </w:p>
    <w:p w14:paraId="4A67FEDB" w14:textId="77777777" w:rsidR="009C7F6B" w:rsidRPr="009C7F6B" w:rsidRDefault="009C7F6B" w:rsidP="009C7F6B">
      <w:pPr>
        <w:pStyle w:val="WSParaNum"/>
        <w:numPr>
          <w:ilvl w:val="0"/>
          <w:numId w:val="0"/>
        </w:numPr>
        <w:ind w:firstLine="720"/>
        <w:rPr>
          <w:sz w:val="20"/>
          <w:szCs w:val="20"/>
        </w:rPr>
      </w:pPr>
      <w:r w:rsidRPr="009C7F6B">
        <w:rPr>
          <w:sz w:val="20"/>
          <w:szCs w:val="20"/>
        </w:rPr>
        <w:t xml:space="preserve">Appeal Decision </w:t>
      </w:r>
      <w:r w:rsidRPr="009C7F6B">
        <w:rPr>
          <w:i/>
          <w:iCs/>
          <w:sz w:val="20"/>
          <w:szCs w:val="20"/>
        </w:rPr>
        <w:t xml:space="preserve">supra </w:t>
      </w:r>
      <w:r w:rsidRPr="009C7F6B">
        <w:rPr>
          <w:sz w:val="20"/>
          <w:szCs w:val="20"/>
        </w:rPr>
        <w:t>at 17.</w:t>
      </w:r>
    </w:p>
    <w:p w14:paraId="12A901BC" w14:textId="77777777" w:rsidR="009C7F6B" w:rsidRDefault="009C7F6B" w:rsidP="009C7F6B">
      <w:pPr>
        <w:pStyle w:val="WSParaNum"/>
      </w:pPr>
      <w:r>
        <w:t>Under the new definition of habitat, the shell alone would be grossly insufficient to categorize the Site as a dwelling place. There is no indication of a nest or den, and no evidence of occupation by a member of the species at the Site. As such, the</w:t>
      </w:r>
      <w:r>
        <w:rPr>
          <w:sz w:val="20"/>
          <w:szCs w:val="20"/>
        </w:rPr>
        <w:t xml:space="preserve"> </w:t>
      </w:r>
      <w:r>
        <w:t xml:space="preserve">evidence presented at trial is insufficient to convict CHL under the new </w:t>
      </w:r>
      <w:r>
        <w:rPr>
          <w:i/>
          <w:iCs/>
        </w:rPr>
        <w:t xml:space="preserve">ESA </w:t>
      </w:r>
      <w:r>
        <w:t xml:space="preserve">because it does not establish the existence of a dwelling place as required by the new definition of habitat. </w:t>
      </w:r>
    </w:p>
    <w:p w14:paraId="78B44B88" w14:textId="77777777" w:rsidR="005B1EAF" w:rsidRPr="005B1EAF" w:rsidRDefault="005B1EAF" w:rsidP="005B1EAF">
      <w:pPr>
        <w:pStyle w:val="Heading3"/>
        <w:rPr>
          <w:rFonts w:ascii="Times New Roman" w:hAnsi="Times New Roman"/>
          <w:sz w:val="24"/>
          <w:szCs w:val="24"/>
        </w:rPr>
      </w:pPr>
      <w:bookmarkStart w:id="37" w:name="_Toc220075838"/>
      <w:r w:rsidRPr="005B1EAF">
        <w:rPr>
          <w:rFonts w:ascii="Times New Roman" w:hAnsi="Times New Roman"/>
          <w:sz w:val="24"/>
          <w:szCs w:val="24"/>
        </w:rPr>
        <w:t>The Legislative Intent of the New Definition Supports CHL’s Position</w:t>
      </w:r>
      <w:bookmarkEnd w:id="37"/>
    </w:p>
    <w:p w14:paraId="37C29020" w14:textId="77777777" w:rsidR="0007098C" w:rsidRPr="00D678D8" w:rsidRDefault="0007098C" w:rsidP="005B1EAF">
      <w:pPr>
        <w:pStyle w:val="WSParaNum"/>
        <w:numPr>
          <w:ilvl w:val="0"/>
          <w:numId w:val="0"/>
        </w:numPr>
        <w:spacing w:before="0" w:after="0"/>
      </w:pPr>
    </w:p>
    <w:p w14:paraId="3E1FEEDF" w14:textId="77777777" w:rsidR="005B1EAF" w:rsidRPr="005B1EAF" w:rsidRDefault="005B1EAF" w:rsidP="005B1EAF">
      <w:pPr>
        <w:pStyle w:val="WSParaNum"/>
        <w:spacing w:before="0" w:after="0"/>
      </w:pPr>
      <w:r>
        <w:t xml:space="preserve">The title of Bill 5 and amendments to the </w:t>
      </w:r>
      <w:r w:rsidRPr="005B1EAF">
        <w:rPr>
          <w:i/>
          <w:iCs/>
        </w:rPr>
        <w:t>ESA</w:t>
      </w:r>
      <w:r>
        <w:t xml:space="preserve"> demonstrate a narrow definition of habitat was intended by the Legislature. </w:t>
      </w:r>
    </w:p>
    <w:p w14:paraId="6A1BB348" w14:textId="77777777" w:rsidR="005B1EAF" w:rsidRDefault="005B1EAF" w:rsidP="005B1EAF">
      <w:pPr>
        <w:pStyle w:val="WSParaNum"/>
      </w:pPr>
      <w:r>
        <w:t xml:space="preserve">The SEMCC, like all judicial bodies, must interpret and apply law as set by the Legislature, including the </w:t>
      </w:r>
      <w:r>
        <w:rPr>
          <w:i/>
          <w:iCs/>
        </w:rPr>
        <w:t>ESA</w:t>
      </w:r>
      <w:r>
        <w:t xml:space="preserve">. Courts must first look to the plain meaning of the law. Where further interpretation is needed, courts must take a purposive approach, considering the entire concept and mischief of the law. </w:t>
      </w:r>
    </w:p>
    <w:p w14:paraId="43B9BBEE" w14:textId="77777777" w:rsidR="005B1EAF" w:rsidRPr="005B1EAF" w:rsidRDefault="005B1EAF" w:rsidP="005B1EAF">
      <w:pPr>
        <w:pStyle w:val="WSParaNum"/>
        <w:numPr>
          <w:ilvl w:val="0"/>
          <w:numId w:val="0"/>
        </w:numPr>
        <w:ind w:left="720"/>
        <w:rPr>
          <w:sz w:val="20"/>
          <w:szCs w:val="20"/>
        </w:rPr>
      </w:pPr>
      <w:r w:rsidRPr="005B1EAF">
        <w:rPr>
          <w:sz w:val="20"/>
          <w:szCs w:val="20"/>
          <w:highlight w:val="white"/>
        </w:rPr>
        <w:lastRenderedPageBreak/>
        <w:t xml:space="preserve">Ruth Sullivan, Statutory Interpretation in the Supreme Court of Canada, 1999 30-2 </w:t>
      </w:r>
      <w:r w:rsidRPr="005B1EAF">
        <w:rPr>
          <w:i/>
          <w:iCs/>
          <w:sz w:val="20"/>
          <w:szCs w:val="20"/>
          <w:highlight w:val="white"/>
        </w:rPr>
        <w:t>Ottawa Law Review</w:t>
      </w:r>
      <w:r w:rsidRPr="005B1EAF">
        <w:rPr>
          <w:sz w:val="20"/>
          <w:szCs w:val="20"/>
          <w:highlight w:val="white"/>
        </w:rPr>
        <w:t xml:space="preserve"> 175, 1999 CanLIIDocs 21 at 187 and 216.</w:t>
      </w:r>
    </w:p>
    <w:p w14:paraId="476B6D15" w14:textId="77777777" w:rsidR="005B1EAF" w:rsidRDefault="005B1EAF" w:rsidP="005B1EAF">
      <w:pPr>
        <w:pStyle w:val="WSParaNum"/>
        <w:rPr>
          <w:color w:val="000000"/>
        </w:rPr>
      </w:pPr>
      <w:r>
        <w:rPr>
          <w:color w:val="000000"/>
        </w:rPr>
        <w:t xml:space="preserve">The </w:t>
      </w:r>
      <w:r>
        <w:t xml:space="preserve">short title of Bill 5 is, </w:t>
      </w:r>
      <w:r>
        <w:rPr>
          <w:i/>
          <w:iCs/>
        </w:rPr>
        <w:t>Protect Ontario by Unleashing our Economy</w:t>
      </w:r>
      <w:r>
        <w:t xml:space="preserve">. This title highlights a </w:t>
      </w:r>
      <w:r>
        <w:rPr>
          <w:color w:val="000000"/>
        </w:rPr>
        <w:t xml:space="preserve">focus on the economy, further </w:t>
      </w:r>
      <w:r>
        <w:t>emphasizing</w:t>
      </w:r>
      <w:r>
        <w:rPr>
          <w:color w:val="000000"/>
        </w:rPr>
        <w:t xml:space="preserve"> the</w:t>
      </w:r>
      <w:r>
        <w:t xml:space="preserve"> narrow scope of the amendments. </w:t>
      </w:r>
    </w:p>
    <w:p w14:paraId="7F448D60" w14:textId="77777777" w:rsidR="005B1EAF" w:rsidRPr="005B1EAF" w:rsidRDefault="005B1EAF" w:rsidP="005B1EAF">
      <w:pPr>
        <w:pStyle w:val="WSParaNum"/>
        <w:numPr>
          <w:ilvl w:val="0"/>
          <w:numId w:val="0"/>
        </w:numPr>
        <w:ind w:firstLine="720"/>
        <w:rPr>
          <w:sz w:val="20"/>
          <w:szCs w:val="20"/>
        </w:rPr>
      </w:pPr>
      <w:r w:rsidRPr="005B1EAF">
        <w:rPr>
          <w:sz w:val="20"/>
          <w:szCs w:val="20"/>
        </w:rPr>
        <w:t xml:space="preserve">Bill 5 </w:t>
      </w:r>
      <w:r w:rsidRPr="005B1EAF">
        <w:rPr>
          <w:i/>
          <w:iCs/>
          <w:sz w:val="20"/>
          <w:szCs w:val="20"/>
        </w:rPr>
        <w:t>supra</w:t>
      </w:r>
      <w:r w:rsidRPr="005B1EAF">
        <w:rPr>
          <w:sz w:val="20"/>
          <w:szCs w:val="20"/>
        </w:rPr>
        <w:t xml:space="preserve"> 1.</w:t>
      </w:r>
    </w:p>
    <w:p w14:paraId="03F09869" w14:textId="77777777" w:rsidR="005B1EAF" w:rsidRDefault="005B1EAF" w:rsidP="005B1EAF">
      <w:pPr>
        <w:pStyle w:val="WSParaNum"/>
      </w:pPr>
      <w:r>
        <w:t>Through the mischief of Bill 5</w:t>
      </w:r>
      <w:r>
        <w:rPr>
          <w:i/>
          <w:iCs/>
        </w:rPr>
        <w:t xml:space="preserve"> </w:t>
      </w:r>
      <w:r>
        <w:t xml:space="preserve">and the debates during drafting, the Legislature demonstrably understood that the new definition of habitat would be narrow. </w:t>
      </w:r>
    </w:p>
    <w:p w14:paraId="4013A36D" w14:textId="77777777" w:rsidR="005B1EAF" w:rsidRDefault="005B1EAF" w:rsidP="005B1EAF">
      <w:pPr>
        <w:pStyle w:val="WSParaNum"/>
      </w:pPr>
      <w:r>
        <w:t>Blanding’s turtles were specifically mentioned by Liberal MPP Mary-Margaret McMahon (“</w:t>
      </w:r>
      <w:r>
        <w:rPr>
          <w:b/>
          <w:bCs/>
        </w:rPr>
        <w:t>MPP McMahon</w:t>
      </w:r>
      <w:r>
        <w:t>”) in the Debates on second reading of Bill 5</w:t>
      </w:r>
      <w:r>
        <w:rPr>
          <w:i/>
          <w:iCs/>
        </w:rPr>
        <w:t xml:space="preserve">. </w:t>
      </w:r>
      <w:r>
        <w:t>MPP</w:t>
      </w:r>
      <w:r>
        <w:rPr>
          <w:i/>
          <w:iCs/>
        </w:rPr>
        <w:t xml:space="preserve"> </w:t>
      </w:r>
      <w:r>
        <w:t>McMahon expressed concern that species, like the Blanding’s turtle, would not be captured by the new habitat definition. By their very nature, species such as the Blanding’s turtle do not occupy fixed dwelling places in a manner susceptible to direct proof as they are a roaming species.</w:t>
      </w:r>
    </w:p>
    <w:p w14:paraId="4C7157AD" w14:textId="40BDBEB6" w:rsidR="005B1EAF" w:rsidRPr="005B1EAF" w:rsidRDefault="005B1EAF" w:rsidP="005B1EAF">
      <w:pPr>
        <w:pStyle w:val="WSParaNum"/>
        <w:numPr>
          <w:ilvl w:val="0"/>
          <w:numId w:val="0"/>
        </w:numPr>
        <w:ind w:left="720"/>
        <w:rPr>
          <w:sz w:val="20"/>
          <w:szCs w:val="20"/>
        </w:rPr>
      </w:pPr>
      <w:r w:rsidRPr="005B1EAF">
        <w:rPr>
          <w:sz w:val="20"/>
          <w:szCs w:val="20"/>
        </w:rPr>
        <w:t xml:space="preserve">Ontario, Legislative Assembly, </w:t>
      </w:r>
      <w:r w:rsidRPr="005B1EAF">
        <w:rPr>
          <w:i/>
          <w:iCs/>
          <w:sz w:val="20"/>
          <w:szCs w:val="20"/>
        </w:rPr>
        <w:t>Ontario Hansard</w:t>
      </w:r>
      <w:r w:rsidRPr="005B1EAF">
        <w:rPr>
          <w:sz w:val="20"/>
          <w:szCs w:val="20"/>
        </w:rPr>
        <w:t xml:space="preserve"> (May 1, 2025)</w:t>
      </w:r>
      <w:r w:rsidR="002B611C">
        <w:rPr>
          <w:sz w:val="20"/>
          <w:szCs w:val="20"/>
        </w:rPr>
        <w:t>.</w:t>
      </w:r>
      <w:r w:rsidRPr="005B1EAF">
        <w:rPr>
          <w:sz w:val="20"/>
          <w:szCs w:val="20"/>
        </w:rPr>
        <w:t xml:space="preserve"> </w:t>
      </w:r>
    </w:p>
    <w:p w14:paraId="333D61D6" w14:textId="77777777" w:rsidR="005B1EAF" w:rsidRPr="005B1EAF" w:rsidRDefault="005B1EAF" w:rsidP="005B1EAF">
      <w:pPr>
        <w:pStyle w:val="WSParaNum"/>
        <w:numPr>
          <w:ilvl w:val="0"/>
          <w:numId w:val="0"/>
        </w:numPr>
        <w:ind w:firstLine="720"/>
        <w:rPr>
          <w:sz w:val="20"/>
          <w:szCs w:val="20"/>
        </w:rPr>
      </w:pPr>
      <w:r w:rsidRPr="005B1EAF">
        <w:rPr>
          <w:sz w:val="20"/>
          <w:szCs w:val="20"/>
        </w:rPr>
        <w:t xml:space="preserve">GHD </w:t>
      </w:r>
      <w:r w:rsidRPr="005B1EAF">
        <w:rPr>
          <w:i/>
          <w:iCs/>
          <w:sz w:val="20"/>
          <w:szCs w:val="20"/>
        </w:rPr>
        <w:t>supra</w:t>
      </w:r>
      <w:r w:rsidRPr="005B1EAF">
        <w:rPr>
          <w:sz w:val="20"/>
          <w:szCs w:val="20"/>
        </w:rPr>
        <w:t xml:space="preserve"> at 3.</w:t>
      </w:r>
    </w:p>
    <w:p w14:paraId="54DF2E5A" w14:textId="77777777" w:rsidR="005B1EAF" w:rsidRDefault="005B1EAF" w:rsidP="005B1EAF">
      <w:pPr>
        <w:pStyle w:val="WSParaNum"/>
        <w:rPr>
          <w:color w:val="000000"/>
        </w:rPr>
      </w:pPr>
      <w:r>
        <w:t>In response, Conservative MPP William Bouma stated that Bill 5 aligned Ontario with other provinces by shortening approval timelines for projects, such as mining developments.</w:t>
      </w:r>
    </w:p>
    <w:p w14:paraId="110203D9" w14:textId="6630AB0D" w:rsidR="005B1EAF" w:rsidRPr="005B1EAF" w:rsidRDefault="005B1EAF" w:rsidP="005B1EAF">
      <w:pPr>
        <w:pStyle w:val="WSParaNum"/>
        <w:numPr>
          <w:ilvl w:val="0"/>
          <w:numId w:val="0"/>
        </w:numPr>
        <w:ind w:left="720"/>
        <w:rPr>
          <w:color w:val="000000"/>
          <w:sz w:val="20"/>
          <w:szCs w:val="20"/>
        </w:rPr>
      </w:pPr>
      <w:r w:rsidRPr="005B1EAF">
        <w:rPr>
          <w:sz w:val="20"/>
          <w:szCs w:val="20"/>
        </w:rPr>
        <w:t xml:space="preserve">Ontario, Legislative Assembly, </w:t>
      </w:r>
      <w:r w:rsidRPr="005B1EAF">
        <w:rPr>
          <w:i/>
          <w:iCs/>
          <w:sz w:val="20"/>
          <w:szCs w:val="20"/>
        </w:rPr>
        <w:t>Ontario Hansard</w:t>
      </w:r>
      <w:r w:rsidRPr="005B1EAF">
        <w:rPr>
          <w:sz w:val="20"/>
          <w:szCs w:val="20"/>
        </w:rPr>
        <w:t xml:space="preserve"> (May 1, 2025)</w:t>
      </w:r>
      <w:r w:rsidR="00C460A4">
        <w:rPr>
          <w:sz w:val="20"/>
          <w:szCs w:val="20"/>
        </w:rPr>
        <w:t>.</w:t>
      </w:r>
      <w:r w:rsidRPr="005B1EAF">
        <w:rPr>
          <w:sz w:val="20"/>
          <w:szCs w:val="20"/>
        </w:rPr>
        <w:t xml:space="preserve"> </w:t>
      </w:r>
    </w:p>
    <w:p w14:paraId="155A4472" w14:textId="77777777" w:rsidR="005B1EAF" w:rsidRDefault="005B1EAF" w:rsidP="005B1EAF">
      <w:pPr>
        <w:pStyle w:val="WSParaNum"/>
      </w:pPr>
      <w:r>
        <w:t xml:space="preserve">While Hansard cannot be relied upon as determinative of legislative intent, it may be consulted as contextual evidence of the Legislature’s purpose. Here, the Debates show that the Legislature considered the implications of the amended definition for Blanding’s turtles, and still chose to pass the </w:t>
      </w:r>
      <w:r>
        <w:rPr>
          <w:i/>
          <w:iCs/>
        </w:rPr>
        <w:t xml:space="preserve">ESA </w:t>
      </w:r>
      <w:r>
        <w:t xml:space="preserve">with this language. </w:t>
      </w:r>
    </w:p>
    <w:p w14:paraId="43008E20" w14:textId="77777777" w:rsidR="005B1EAF" w:rsidRPr="005B1EAF" w:rsidRDefault="005B1EAF" w:rsidP="005B1EAF">
      <w:pPr>
        <w:pStyle w:val="WSParaNum"/>
        <w:numPr>
          <w:ilvl w:val="0"/>
          <w:numId w:val="0"/>
        </w:numPr>
        <w:ind w:firstLine="720"/>
        <w:rPr>
          <w:i/>
          <w:iCs/>
          <w:sz w:val="20"/>
          <w:szCs w:val="20"/>
        </w:rPr>
      </w:pPr>
      <w:r w:rsidRPr="005B1EAF">
        <w:rPr>
          <w:i/>
          <w:iCs/>
          <w:sz w:val="20"/>
          <w:szCs w:val="20"/>
        </w:rPr>
        <w:t>Re Rizzo &amp; Rizzo Shoes</w:t>
      </w:r>
      <w:r w:rsidRPr="005B1EAF">
        <w:rPr>
          <w:sz w:val="20"/>
          <w:szCs w:val="20"/>
        </w:rPr>
        <w:t>, [1998] 1 SCR 27 at para 35</w:t>
      </w:r>
      <w:r w:rsidRPr="005B1EAF">
        <w:rPr>
          <w:i/>
          <w:iCs/>
          <w:sz w:val="20"/>
          <w:szCs w:val="20"/>
        </w:rPr>
        <w:t>.</w:t>
      </w:r>
    </w:p>
    <w:p w14:paraId="07592AC2" w14:textId="77777777" w:rsidR="005B1EAF" w:rsidRDefault="005B1EAF" w:rsidP="005B1EAF">
      <w:pPr>
        <w:pStyle w:val="WSParaNum"/>
        <w:rPr>
          <w:color w:val="000000"/>
        </w:rPr>
      </w:pPr>
      <w:r>
        <w:t xml:space="preserve">Whether creating a definition of habitat that would exclude roaming species is “right” is not for this court to decide. The SEMCC’s jurisdiction is to interpret and apply the amended </w:t>
      </w:r>
      <w:r>
        <w:rPr>
          <w:i/>
          <w:iCs/>
        </w:rPr>
        <w:t>ESA</w:t>
      </w:r>
      <w:r>
        <w:t>, including its deliberately narrowed definition of habitat, to the facts of this case.</w:t>
      </w:r>
    </w:p>
    <w:p w14:paraId="02CA12BF" w14:textId="77777777" w:rsidR="005B1EAF" w:rsidRDefault="005B1EAF" w:rsidP="005B1EAF">
      <w:pPr>
        <w:pStyle w:val="WSParaNum"/>
        <w:rPr>
          <w:color w:val="000000"/>
        </w:rPr>
      </w:pPr>
      <w:r>
        <w:t xml:space="preserve">A finding that CHL did not breach the </w:t>
      </w:r>
      <w:r>
        <w:rPr>
          <w:i/>
          <w:iCs/>
        </w:rPr>
        <w:t xml:space="preserve">ESA </w:t>
      </w:r>
      <w:r>
        <w:t>under the new definition of habitat is consistent with the narrow interpretation of habitat as the Legislature intended.</w:t>
      </w:r>
    </w:p>
    <w:p w14:paraId="1D3DDAB1" w14:textId="77777777" w:rsidR="005B1EAF" w:rsidRPr="005B1EAF" w:rsidRDefault="005B1EAF" w:rsidP="005B1EAF">
      <w:pPr>
        <w:pStyle w:val="Heading3"/>
        <w:rPr>
          <w:rFonts w:ascii="Times New Roman" w:hAnsi="Times New Roman"/>
          <w:sz w:val="24"/>
          <w:szCs w:val="24"/>
        </w:rPr>
      </w:pPr>
      <w:bookmarkStart w:id="38" w:name="_Toc220075839"/>
      <w:r w:rsidRPr="005B1EAF">
        <w:rPr>
          <w:rFonts w:ascii="Times New Roman" w:hAnsi="Times New Roman"/>
          <w:i/>
          <w:iCs/>
          <w:sz w:val="24"/>
          <w:szCs w:val="24"/>
        </w:rPr>
        <w:lastRenderedPageBreak/>
        <w:t xml:space="preserve">Castonguay </w:t>
      </w:r>
      <w:r w:rsidRPr="005B1EAF">
        <w:rPr>
          <w:rFonts w:ascii="Times New Roman" w:hAnsi="Times New Roman"/>
          <w:sz w:val="24"/>
          <w:szCs w:val="24"/>
        </w:rPr>
        <w:t>Does Not Apply to the Amended Definition</w:t>
      </w:r>
      <w:bookmarkEnd w:id="38"/>
      <w:r w:rsidRPr="005B1EAF">
        <w:rPr>
          <w:rFonts w:ascii="Times New Roman" w:hAnsi="Times New Roman"/>
          <w:sz w:val="24"/>
          <w:szCs w:val="24"/>
        </w:rPr>
        <w:t xml:space="preserve"> </w:t>
      </w:r>
    </w:p>
    <w:p w14:paraId="68FB7FB5" w14:textId="77777777" w:rsidR="005B1EAF" w:rsidRDefault="005B1EAF" w:rsidP="005B1EAF">
      <w:pPr>
        <w:pStyle w:val="WSParaNum"/>
        <w:spacing w:before="0" w:after="0"/>
      </w:pPr>
      <w:r>
        <w:t>I</w:t>
      </w:r>
      <w:r w:rsidRPr="005B1EAF">
        <w:rPr>
          <w:color w:val="000000"/>
        </w:rPr>
        <w:t xml:space="preserve">n </w:t>
      </w:r>
      <w:r w:rsidRPr="005B1EAF">
        <w:rPr>
          <w:i/>
          <w:iCs/>
          <w:color w:val="000000"/>
        </w:rPr>
        <w:t>Castonguay Blasting Ltd v Ontario</w:t>
      </w:r>
      <w:r>
        <w:t>, the Supreme Court of Canada (</w:t>
      </w:r>
      <w:r w:rsidRPr="005B1EAF">
        <w:rPr>
          <w:b/>
          <w:bCs/>
        </w:rPr>
        <w:t>SCC</w:t>
      </w:r>
      <w:r>
        <w:t xml:space="preserve">) </w:t>
      </w:r>
      <w:r w:rsidRPr="005B1EAF">
        <w:rPr>
          <w:color w:val="000000"/>
        </w:rPr>
        <w:t>held that a broad interpretation was required when interpreting environmental legislation</w:t>
      </w:r>
      <w:r>
        <w:t xml:space="preserve">. However, Bill 5 alters the purpose of the </w:t>
      </w:r>
      <w:r w:rsidRPr="005B1EAF">
        <w:rPr>
          <w:i/>
          <w:iCs/>
        </w:rPr>
        <w:t>ESA</w:t>
      </w:r>
      <w:r>
        <w:t xml:space="preserve">, rendering the broad interpretive approach in </w:t>
      </w:r>
      <w:r w:rsidRPr="005B1EAF">
        <w:rPr>
          <w:i/>
          <w:iCs/>
        </w:rPr>
        <w:t>Castonguay</w:t>
      </w:r>
      <w:r>
        <w:t xml:space="preserve"> immaterial. </w:t>
      </w:r>
    </w:p>
    <w:p w14:paraId="135F3792" w14:textId="77777777" w:rsidR="005B1EAF" w:rsidRPr="005B1EAF" w:rsidRDefault="005B1EAF" w:rsidP="005B1EAF">
      <w:pPr>
        <w:pStyle w:val="WSParaNum"/>
        <w:numPr>
          <w:ilvl w:val="0"/>
          <w:numId w:val="0"/>
        </w:numPr>
        <w:ind w:firstLine="720"/>
        <w:rPr>
          <w:sz w:val="20"/>
          <w:szCs w:val="20"/>
        </w:rPr>
      </w:pPr>
      <w:r w:rsidRPr="005B1EAF">
        <w:rPr>
          <w:i/>
          <w:iCs/>
          <w:sz w:val="20"/>
          <w:szCs w:val="20"/>
        </w:rPr>
        <w:t>Castonguay Blasting Ltd v Ontario</w:t>
      </w:r>
      <w:r w:rsidRPr="005B1EAF">
        <w:rPr>
          <w:sz w:val="20"/>
          <w:szCs w:val="20"/>
        </w:rPr>
        <w:t>, 2013 SCC 52 [Castonguay] at para 9.</w:t>
      </w:r>
    </w:p>
    <w:p w14:paraId="46E39655" w14:textId="77777777" w:rsidR="005B1EAF" w:rsidRDefault="005B1EAF" w:rsidP="005B1EAF">
      <w:pPr>
        <w:pStyle w:val="WSParaNum"/>
      </w:pPr>
      <w:r>
        <w:t xml:space="preserve">In </w:t>
      </w:r>
      <w:r>
        <w:rPr>
          <w:i/>
          <w:iCs/>
        </w:rPr>
        <w:t>Castonguay</w:t>
      </w:r>
      <w:r>
        <w:t xml:space="preserve">, the SCC was interpreting the </w:t>
      </w:r>
      <w:r>
        <w:rPr>
          <w:i/>
          <w:iCs/>
        </w:rPr>
        <w:t xml:space="preserve">Environmental Protection Act </w:t>
      </w:r>
      <w:r>
        <w:t>(“</w:t>
      </w:r>
      <w:r>
        <w:rPr>
          <w:b/>
          <w:bCs/>
          <w:i/>
          <w:iCs/>
        </w:rPr>
        <w:t>EPA</w:t>
      </w:r>
      <w:r>
        <w:t xml:space="preserve">”). The SCC gives the </w:t>
      </w:r>
      <w:r>
        <w:rPr>
          <w:i/>
          <w:iCs/>
        </w:rPr>
        <w:t>EPA</w:t>
      </w:r>
      <w:r>
        <w:t xml:space="preserve"> a purposive and expansive interpretation because the legislation is pursuing the objective of environmental protection. Specifically, the purpose of the </w:t>
      </w:r>
      <w:r>
        <w:rPr>
          <w:i/>
          <w:iCs/>
        </w:rPr>
        <w:t xml:space="preserve">EPA </w:t>
      </w:r>
      <w:r>
        <w:t>is to provide for the protection and conservation of the natural environment.</w:t>
      </w:r>
    </w:p>
    <w:p w14:paraId="240B20DC" w14:textId="77777777" w:rsidR="005B1EAF" w:rsidRPr="005B1EAF" w:rsidRDefault="005B1EAF" w:rsidP="005B1EAF">
      <w:pPr>
        <w:pStyle w:val="WSParaNum"/>
        <w:numPr>
          <w:ilvl w:val="0"/>
          <w:numId w:val="0"/>
        </w:numPr>
        <w:ind w:firstLine="720"/>
        <w:rPr>
          <w:sz w:val="20"/>
          <w:szCs w:val="20"/>
        </w:rPr>
      </w:pPr>
      <w:r w:rsidRPr="005B1EAF">
        <w:rPr>
          <w:i/>
          <w:iCs/>
          <w:sz w:val="20"/>
          <w:szCs w:val="20"/>
        </w:rPr>
        <w:t>Environmental Protection Act</w:t>
      </w:r>
      <w:r w:rsidRPr="005B1EAF">
        <w:rPr>
          <w:sz w:val="20"/>
          <w:szCs w:val="20"/>
        </w:rPr>
        <w:t>, RSO 1990, c E 19 [EPA] at s 3.</w:t>
      </w:r>
    </w:p>
    <w:p w14:paraId="59F85390" w14:textId="77777777" w:rsidR="005B1EAF" w:rsidRPr="005B1EAF" w:rsidRDefault="005B1EAF" w:rsidP="005B1EAF">
      <w:pPr>
        <w:pStyle w:val="WSParaNum"/>
        <w:numPr>
          <w:ilvl w:val="0"/>
          <w:numId w:val="0"/>
        </w:numPr>
        <w:ind w:firstLine="720"/>
        <w:rPr>
          <w:sz w:val="20"/>
          <w:szCs w:val="20"/>
        </w:rPr>
      </w:pPr>
      <w:r w:rsidRPr="005B1EAF">
        <w:rPr>
          <w:i/>
          <w:iCs/>
          <w:sz w:val="20"/>
          <w:szCs w:val="20"/>
        </w:rPr>
        <w:t>Castonguay supra</w:t>
      </w:r>
      <w:r w:rsidRPr="005B1EAF">
        <w:rPr>
          <w:sz w:val="20"/>
          <w:szCs w:val="20"/>
        </w:rPr>
        <w:t xml:space="preserve"> at paras 8—9.</w:t>
      </w:r>
    </w:p>
    <w:p w14:paraId="26AAABA2" w14:textId="77777777" w:rsidR="005B1EAF" w:rsidRDefault="005B1EAF" w:rsidP="005B1EAF">
      <w:pPr>
        <w:pStyle w:val="WSParaNum"/>
      </w:pPr>
      <w:r>
        <w:rPr>
          <w:color w:val="000000"/>
        </w:rPr>
        <w:t xml:space="preserve">The previous version of the </w:t>
      </w:r>
      <w:r>
        <w:rPr>
          <w:i/>
          <w:iCs/>
          <w:color w:val="000000"/>
        </w:rPr>
        <w:t>ESA</w:t>
      </w:r>
      <w:r>
        <w:t xml:space="preserve"> </w:t>
      </w:r>
      <w:r>
        <w:rPr>
          <w:color w:val="000000"/>
        </w:rPr>
        <w:t xml:space="preserve">stated that the purposes of the </w:t>
      </w:r>
      <w:r>
        <w:t>Act included identifying species at risk, protecting species and their habitats, promoting species recovery, and encouraging environmental stewardship.</w:t>
      </w:r>
      <w:r>
        <w:rPr>
          <w:color w:val="000000"/>
        </w:rPr>
        <w:t xml:space="preserve"> </w:t>
      </w:r>
      <w:r>
        <w:t xml:space="preserve">These purposes mirrored those of the </w:t>
      </w:r>
      <w:r>
        <w:rPr>
          <w:i/>
          <w:iCs/>
        </w:rPr>
        <w:t>EPA</w:t>
      </w:r>
      <w:r>
        <w:t xml:space="preserve"> and were directly tied to environmental protection objectives, as recognized in </w:t>
      </w:r>
      <w:r>
        <w:rPr>
          <w:i/>
          <w:iCs/>
        </w:rPr>
        <w:t>Castonguay</w:t>
      </w:r>
      <w:r>
        <w:t>.</w:t>
      </w:r>
    </w:p>
    <w:p w14:paraId="7C87240A" w14:textId="77777777" w:rsidR="005B1EAF" w:rsidRPr="005B1EAF" w:rsidRDefault="005B1EAF" w:rsidP="005B1EAF">
      <w:pPr>
        <w:pStyle w:val="WSParaNum"/>
        <w:numPr>
          <w:ilvl w:val="0"/>
          <w:numId w:val="0"/>
        </w:numPr>
        <w:ind w:firstLine="720"/>
        <w:rPr>
          <w:sz w:val="20"/>
          <w:szCs w:val="20"/>
        </w:rPr>
      </w:pPr>
      <w:r w:rsidRPr="005B1EAF">
        <w:rPr>
          <w:i/>
          <w:iCs/>
          <w:sz w:val="20"/>
          <w:szCs w:val="20"/>
        </w:rPr>
        <w:t>ESA supra</w:t>
      </w:r>
      <w:r w:rsidRPr="005B1EAF">
        <w:rPr>
          <w:sz w:val="20"/>
          <w:szCs w:val="20"/>
        </w:rPr>
        <w:t xml:space="preserve"> at s 1.</w:t>
      </w:r>
    </w:p>
    <w:p w14:paraId="677E8AB1" w14:textId="77777777" w:rsidR="005B1EAF" w:rsidRPr="005B1EAF" w:rsidRDefault="005B1EAF" w:rsidP="005B1EAF">
      <w:pPr>
        <w:pStyle w:val="WSParaNum"/>
        <w:numPr>
          <w:ilvl w:val="0"/>
          <w:numId w:val="0"/>
        </w:numPr>
        <w:ind w:firstLine="720"/>
        <w:rPr>
          <w:sz w:val="20"/>
          <w:szCs w:val="20"/>
        </w:rPr>
      </w:pPr>
      <w:r w:rsidRPr="005B1EAF">
        <w:rPr>
          <w:i/>
          <w:iCs/>
          <w:sz w:val="20"/>
          <w:szCs w:val="20"/>
        </w:rPr>
        <w:t>EPA supra</w:t>
      </w:r>
      <w:r w:rsidRPr="005B1EAF">
        <w:rPr>
          <w:sz w:val="20"/>
          <w:szCs w:val="20"/>
        </w:rPr>
        <w:t xml:space="preserve"> at s 1.</w:t>
      </w:r>
    </w:p>
    <w:p w14:paraId="7C9B9A43" w14:textId="77777777" w:rsidR="005B1EAF" w:rsidRPr="005B1EAF" w:rsidRDefault="005B1EAF" w:rsidP="005B1EAF">
      <w:pPr>
        <w:pStyle w:val="WSParaNum"/>
        <w:numPr>
          <w:ilvl w:val="0"/>
          <w:numId w:val="0"/>
        </w:numPr>
        <w:ind w:firstLine="720"/>
        <w:rPr>
          <w:sz w:val="20"/>
          <w:szCs w:val="20"/>
        </w:rPr>
      </w:pPr>
      <w:r w:rsidRPr="005B1EAF">
        <w:rPr>
          <w:i/>
          <w:iCs/>
          <w:sz w:val="20"/>
          <w:szCs w:val="20"/>
        </w:rPr>
        <w:t>Castonguay supra</w:t>
      </w:r>
      <w:r w:rsidRPr="005B1EAF">
        <w:rPr>
          <w:sz w:val="20"/>
          <w:szCs w:val="20"/>
        </w:rPr>
        <w:t xml:space="preserve"> at paras 8—9. </w:t>
      </w:r>
    </w:p>
    <w:p w14:paraId="787A071B" w14:textId="77777777" w:rsidR="005B1EAF" w:rsidRDefault="005B1EAF" w:rsidP="005B1EAF">
      <w:pPr>
        <w:pStyle w:val="WSParaNum"/>
      </w:pPr>
      <w:r>
        <w:t xml:space="preserve">Bill 5 amended the purpose of the </w:t>
      </w:r>
      <w:r>
        <w:rPr>
          <w:i/>
          <w:iCs/>
        </w:rPr>
        <w:t>ESA</w:t>
      </w:r>
      <w:r>
        <w:t xml:space="preserve"> to align with a narrower definition of habitat and the Legislature’s intent to prioritize economic development. The </w:t>
      </w:r>
      <w:r>
        <w:rPr>
          <w:i/>
          <w:iCs/>
        </w:rPr>
        <w:t>ESA</w:t>
      </w:r>
      <w:r>
        <w:t xml:space="preserve"> no longer frames environmental protection as its sole guiding principle. While the new </w:t>
      </w:r>
      <w:r>
        <w:rPr>
          <w:i/>
          <w:iCs/>
        </w:rPr>
        <w:t>ESA</w:t>
      </w:r>
      <w:r>
        <w:t xml:space="preserve"> continues to identify species at risk as a core purpose, the amendments prioritize a balance of competing interests. The </w:t>
      </w:r>
      <w:r>
        <w:rPr>
          <w:i/>
          <w:iCs/>
        </w:rPr>
        <w:t>ESA</w:t>
      </w:r>
      <w:r>
        <w:t xml:space="preserve"> now qualifies the scope of protection by stating, “</w:t>
      </w:r>
      <w:r>
        <w:rPr>
          <w:color w:val="000000"/>
        </w:rPr>
        <w:t>to provide for the protection and conservation of species at risk while taking into account social and economic considerations including the need for sustainable economic growth in Ontario”.</w:t>
      </w:r>
    </w:p>
    <w:p w14:paraId="7C6F7FEE" w14:textId="77777777" w:rsidR="005B1EAF" w:rsidRPr="005B1EAF" w:rsidRDefault="005B1EAF" w:rsidP="005B1EAF">
      <w:pPr>
        <w:pStyle w:val="WSParaNum"/>
        <w:numPr>
          <w:ilvl w:val="0"/>
          <w:numId w:val="0"/>
        </w:numPr>
        <w:ind w:firstLine="720"/>
        <w:rPr>
          <w:sz w:val="20"/>
          <w:szCs w:val="20"/>
        </w:rPr>
      </w:pPr>
      <w:r w:rsidRPr="005B1EAF">
        <w:rPr>
          <w:sz w:val="20"/>
          <w:szCs w:val="20"/>
        </w:rPr>
        <w:t xml:space="preserve">Bill 5 </w:t>
      </w:r>
      <w:r w:rsidRPr="005B1EAF">
        <w:rPr>
          <w:i/>
          <w:iCs/>
          <w:sz w:val="20"/>
          <w:szCs w:val="20"/>
        </w:rPr>
        <w:t>supra</w:t>
      </w:r>
      <w:r w:rsidRPr="005B1EAF">
        <w:rPr>
          <w:sz w:val="20"/>
          <w:szCs w:val="20"/>
        </w:rPr>
        <w:t xml:space="preserve"> at s 1(2).</w:t>
      </w:r>
    </w:p>
    <w:p w14:paraId="5C8BC7AB" w14:textId="77777777" w:rsidR="005B1EAF" w:rsidRDefault="005B1EAF" w:rsidP="005B1EAF">
      <w:pPr>
        <w:pStyle w:val="WSParaNum"/>
      </w:pPr>
      <w:r>
        <w:t xml:space="preserve">Mentions of promoting recovery for species at risk and promoting environmental stewardship were repealed from the </w:t>
      </w:r>
      <w:r>
        <w:rPr>
          <w:i/>
          <w:iCs/>
        </w:rPr>
        <w:t xml:space="preserve">ESA. </w:t>
      </w:r>
    </w:p>
    <w:p w14:paraId="7977CED9" w14:textId="77777777" w:rsidR="005B1EAF" w:rsidRPr="005B1EAF" w:rsidRDefault="005B1EAF" w:rsidP="005B1EAF">
      <w:pPr>
        <w:pStyle w:val="WSParaNum"/>
        <w:numPr>
          <w:ilvl w:val="0"/>
          <w:numId w:val="0"/>
        </w:numPr>
        <w:ind w:firstLine="720"/>
        <w:rPr>
          <w:sz w:val="20"/>
          <w:szCs w:val="20"/>
        </w:rPr>
      </w:pPr>
      <w:r w:rsidRPr="005B1EAF">
        <w:rPr>
          <w:sz w:val="20"/>
          <w:szCs w:val="20"/>
        </w:rPr>
        <w:lastRenderedPageBreak/>
        <w:t xml:space="preserve">Bill 5 </w:t>
      </w:r>
      <w:r w:rsidRPr="005B1EAF">
        <w:rPr>
          <w:i/>
          <w:iCs/>
          <w:sz w:val="20"/>
          <w:szCs w:val="20"/>
        </w:rPr>
        <w:t>supra</w:t>
      </w:r>
      <w:r w:rsidRPr="005B1EAF">
        <w:rPr>
          <w:sz w:val="20"/>
          <w:szCs w:val="20"/>
        </w:rPr>
        <w:t xml:space="preserve"> at s 1(2). </w:t>
      </w:r>
    </w:p>
    <w:p w14:paraId="044751F9" w14:textId="77777777" w:rsidR="005B1EAF" w:rsidRDefault="005B1EAF" w:rsidP="005B1EAF">
      <w:pPr>
        <w:pStyle w:val="WSParaNum"/>
      </w:pPr>
      <w:r>
        <w:t xml:space="preserve">This purpose no longer reflects the purpose of the </w:t>
      </w:r>
      <w:r>
        <w:rPr>
          <w:i/>
          <w:iCs/>
        </w:rPr>
        <w:t>EPA</w:t>
      </w:r>
      <w:r>
        <w:t xml:space="preserve">, previously addressed in </w:t>
      </w:r>
      <w:r>
        <w:rPr>
          <w:i/>
          <w:iCs/>
        </w:rPr>
        <w:t xml:space="preserve">Castonguay. </w:t>
      </w:r>
      <w:r>
        <w:t xml:space="preserve">The broad interpretation in </w:t>
      </w:r>
      <w:r>
        <w:rPr>
          <w:i/>
          <w:iCs/>
        </w:rPr>
        <w:t xml:space="preserve">Castonguay </w:t>
      </w:r>
      <w:r>
        <w:t xml:space="preserve">does not apply to all legislation bearing the term </w:t>
      </w:r>
      <w:r>
        <w:rPr>
          <w:i/>
          <w:iCs/>
        </w:rPr>
        <w:t xml:space="preserve">environmental </w:t>
      </w:r>
      <w:r>
        <w:t xml:space="preserve">in the title, but rather must be assessed in its full context. </w:t>
      </w:r>
    </w:p>
    <w:p w14:paraId="3F2069BD" w14:textId="77777777" w:rsidR="005B1EAF" w:rsidRPr="005B1EAF" w:rsidRDefault="005B1EAF" w:rsidP="005B1EAF">
      <w:pPr>
        <w:pStyle w:val="WSParaNum"/>
        <w:numPr>
          <w:ilvl w:val="0"/>
          <w:numId w:val="0"/>
        </w:numPr>
        <w:ind w:firstLine="720"/>
        <w:rPr>
          <w:sz w:val="20"/>
          <w:szCs w:val="20"/>
        </w:rPr>
      </w:pPr>
      <w:r w:rsidRPr="005B1EAF">
        <w:rPr>
          <w:i/>
          <w:iCs/>
          <w:sz w:val="20"/>
          <w:szCs w:val="20"/>
        </w:rPr>
        <w:t>Castonguay supra</w:t>
      </w:r>
      <w:r w:rsidRPr="005B1EAF">
        <w:rPr>
          <w:sz w:val="20"/>
          <w:szCs w:val="20"/>
        </w:rPr>
        <w:t xml:space="preserve"> at para 8.</w:t>
      </w:r>
    </w:p>
    <w:p w14:paraId="59855EE9" w14:textId="77777777" w:rsidR="005B1EAF" w:rsidRDefault="005B1EAF" w:rsidP="005B1EAF">
      <w:pPr>
        <w:pStyle w:val="WSParaNum"/>
      </w:pPr>
      <w:r>
        <w:t xml:space="preserve">In changing the purpose provisions of the </w:t>
      </w:r>
      <w:r>
        <w:rPr>
          <w:i/>
          <w:iCs/>
        </w:rPr>
        <w:t xml:space="preserve">ESA </w:t>
      </w:r>
      <w:r>
        <w:t xml:space="preserve">the Legislature signaled its intention to not treat the </w:t>
      </w:r>
      <w:r>
        <w:rPr>
          <w:i/>
          <w:iCs/>
        </w:rPr>
        <w:t>ESA</w:t>
      </w:r>
      <w:r>
        <w:t xml:space="preserve"> like other environmental statutes. The goal of the </w:t>
      </w:r>
      <w:r>
        <w:rPr>
          <w:i/>
          <w:iCs/>
        </w:rPr>
        <w:t xml:space="preserve">ESA </w:t>
      </w:r>
      <w:r>
        <w:t>is more nuanced than a direct priority of environmental protection.</w:t>
      </w:r>
    </w:p>
    <w:p w14:paraId="6C96F605" w14:textId="77777777" w:rsidR="008C63D1" w:rsidRDefault="005B1EAF" w:rsidP="005B1EAF">
      <w:pPr>
        <w:pStyle w:val="WSParaNum"/>
      </w:pPr>
      <w:r>
        <w:t xml:space="preserve">Any expansive interpretation granted by the SCC in </w:t>
      </w:r>
      <w:r>
        <w:rPr>
          <w:i/>
          <w:iCs/>
        </w:rPr>
        <w:t>Castonguay</w:t>
      </w:r>
      <w:r>
        <w:t xml:space="preserve"> does not apply to the new </w:t>
      </w:r>
      <w:r>
        <w:rPr>
          <w:i/>
          <w:iCs/>
        </w:rPr>
        <w:t xml:space="preserve">ESA </w:t>
      </w:r>
      <w:r>
        <w:t xml:space="preserve">and does not impact the new narrow definition of habitat. </w:t>
      </w:r>
    </w:p>
    <w:p w14:paraId="766914CD" w14:textId="77777777" w:rsidR="00DD6E8C" w:rsidRPr="00D678D8" w:rsidRDefault="00DD6E8C" w:rsidP="00DD6E8C">
      <w:pPr>
        <w:pStyle w:val="Heading1"/>
        <w:tabs>
          <w:tab w:val="num" w:pos="720"/>
        </w:tabs>
        <w:spacing w:before="0" w:after="0" w:line="360" w:lineRule="auto"/>
        <w:ind w:left="720" w:hanging="720"/>
        <w:rPr>
          <w:rFonts w:ascii="Times New Roman" w:hAnsi="Times New Roman"/>
          <w:sz w:val="24"/>
          <w:szCs w:val="24"/>
        </w:rPr>
      </w:pPr>
      <w:bookmarkStart w:id="39" w:name="_Toc271703735"/>
      <w:bookmarkStart w:id="40" w:name="_Toc220075840"/>
      <w:r w:rsidRPr="00D678D8">
        <w:rPr>
          <w:rFonts w:ascii="Times New Roman" w:hAnsi="Times New Roman"/>
          <w:sz w:val="24"/>
          <w:szCs w:val="24"/>
        </w:rPr>
        <w:t>SUBMISSIONS IN SUPPORT OF COSTS</w:t>
      </w:r>
      <w:bookmarkEnd w:id="39"/>
      <w:bookmarkEnd w:id="40"/>
    </w:p>
    <w:p w14:paraId="384FE765" w14:textId="77777777" w:rsidR="00DD6E8C" w:rsidRPr="00D678D8" w:rsidRDefault="005B1EAF" w:rsidP="006A26F3">
      <w:pPr>
        <w:pStyle w:val="WSParaNum"/>
        <w:spacing w:before="0" w:after="0"/>
      </w:pPr>
      <w:r>
        <w:t>The Respondent requests all reasonable costs incurred in the litigation to be awarded on a basis of partial indemnity.</w:t>
      </w:r>
    </w:p>
    <w:p w14:paraId="6C6CEF52" w14:textId="77777777" w:rsidR="00DD6E8C" w:rsidRPr="00D678D8" w:rsidRDefault="0024187B" w:rsidP="00DD6E8C">
      <w:pPr>
        <w:pStyle w:val="Heading1"/>
        <w:tabs>
          <w:tab w:val="num" w:pos="720"/>
        </w:tabs>
        <w:spacing w:before="0" w:after="0" w:line="360" w:lineRule="auto"/>
        <w:ind w:left="720" w:hanging="720"/>
        <w:rPr>
          <w:rFonts w:ascii="Times New Roman" w:hAnsi="Times New Roman"/>
          <w:sz w:val="24"/>
          <w:szCs w:val="24"/>
        </w:rPr>
      </w:pPr>
      <w:bookmarkStart w:id="41" w:name="_Toc271703736"/>
      <w:bookmarkStart w:id="42" w:name="_Toc220075841"/>
      <w:r w:rsidRPr="00D678D8">
        <w:rPr>
          <w:rFonts w:ascii="Times New Roman" w:hAnsi="Times New Roman"/>
          <w:sz w:val="24"/>
          <w:szCs w:val="24"/>
        </w:rPr>
        <w:t>ORDER</w:t>
      </w:r>
      <w:r w:rsidR="00DD6E8C" w:rsidRPr="00D678D8">
        <w:rPr>
          <w:rFonts w:ascii="Times New Roman" w:hAnsi="Times New Roman"/>
          <w:sz w:val="24"/>
          <w:szCs w:val="24"/>
        </w:rPr>
        <w:t xml:space="preserve"> SOUGHT</w:t>
      </w:r>
      <w:bookmarkEnd w:id="41"/>
      <w:bookmarkEnd w:id="42"/>
    </w:p>
    <w:p w14:paraId="2A2610A1" w14:textId="77777777" w:rsidR="006A26F3" w:rsidRDefault="005B1EAF" w:rsidP="006A26F3">
      <w:pPr>
        <w:pStyle w:val="WSParaNum"/>
        <w:spacing w:before="0" w:after="0"/>
      </w:pPr>
      <w:r>
        <w:t>The Respondent respectfully requests that this Honourable Court:</w:t>
      </w:r>
    </w:p>
    <w:p w14:paraId="1158C370" w14:textId="77777777" w:rsidR="006A26F3" w:rsidRDefault="005B1EAF" w:rsidP="006A26F3">
      <w:pPr>
        <w:pStyle w:val="WSParaNum"/>
        <w:numPr>
          <w:ilvl w:val="1"/>
          <w:numId w:val="4"/>
        </w:numPr>
        <w:spacing w:before="0" w:after="0"/>
      </w:pPr>
      <w:r>
        <w:t>Dismiss the appeal in its entirety;</w:t>
      </w:r>
    </w:p>
    <w:p w14:paraId="154E5617" w14:textId="77777777" w:rsidR="006A26F3" w:rsidRDefault="005B1EAF" w:rsidP="006A26F3">
      <w:pPr>
        <w:pStyle w:val="WSParaNum"/>
        <w:numPr>
          <w:ilvl w:val="1"/>
          <w:numId w:val="4"/>
        </w:numPr>
        <w:spacing w:before="0" w:after="0"/>
      </w:pPr>
      <w:r>
        <w:t>Affirm the decision of the OCJ setting aside the conviction and entering an acquittal in favour of CHL.; and</w:t>
      </w:r>
    </w:p>
    <w:p w14:paraId="79495EE2" w14:textId="77777777" w:rsidR="00DD6E8C" w:rsidRPr="00D678D8" w:rsidRDefault="005B1EAF" w:rsidP="006A26F3">
      <w:pPr>
        <w:pStyle w:val="WSParaNum"/>
        <w:numPr>
          <w:ilvl w:val="1"/>
          <w:numId w:val="4"/>
        </w:numPr>
        <w:spacing w:before="0" w:after="0"/>
      </w:pPr>
      <w:r>
        <w:t>Award the costs of this appeal to CHL on a partial indemnity basis.</w:t>
      </w:r>
    </w:p>
    <w:p w14:paraId="0EC9FC97" w14:textId="77777777" w:rsidR="00DD6E8C" w:rsidRPr="00D678D8" w:rsidRDefault="00DD6E8C" w:rsidP="00DD6E8C">
      <w:pPr>
        <w:spacing w:line="360" w:lineRule="auto"/>
      </w:pPr>
      <w:r w:rsidRPr="00D678D8">
        <w:t>ALL OF WHICH IS</w:t>
      </w:r>
      <w:r w:rsidR="0003757F">
        <w:t xml:space="preserve"> RESPECTFULLY SUBMITTED this </w:t>
      </w:r>
      <w:r w:rsidR="006A26F3">
        <w:t>23rd</w:t>
      </w:r>
      <w:r w:rsidRPr="00D678D8">
        <w:t xml:space="preserve"> day of</w:t>
      </w:r>
      <w:r w:rsidR="0003757F">
        <w:t xml:space="preserve"> </w:t>
      </w:r>
      <w:r w:rsidR="006A26F3">
        <w:t>January</w:t>
      </w:r>
      <w:r w:rsidR="00C606E4">
        <w:t xml:space="preserve">, </w:t>
      </w:r>
      <w:r w:rsidR="00915A04">
        <w:t>202</w:t>
      </w:r>
      <w:r w:rsidR="00B72782">
        <w:t>6</w:t>
      </w:r>
      <w:r w:rsidRPr="00D678D8">
        <w:t>.</w:t>
      </w:r>
    </w:p>
    <w:p w14:paraId="75EBE353" w14:textId="77777777" w:rsidR="00334F22" w:rsidRPr="00D678D8" w:rsidRDefault="00334F22" w:rsidP="00DD6E8C">
      <w:pPr>
        <w:spacing w:line="360" w:lineRule="auto"/>
      </w:pPr>
    </w:p>
    <w:p w14:paraId="757CE960" w14:textId="77777777" w:rsidR="00334F22" w:rsidRPr="00DD6E8C" w:rsidRDefault="00334F22" w:rsidP="003822BD">
      <w:pPr>
        <w:jc w:val="right"/>
      </w:pPr>
      <w:r>
        <w:t>_______________________________</w:t>
      </w:r>
    </w:p>
    <w:p w14:paraId="5411FC63" w14:textId="77777777" w:rsidR="00334F22" w:rsidRDefault="006A26F3" w:rsidP="007579FA">
      <w:pPr>
        <w:jc w:val="right"/>
      </w:pPr>
      <w:r>
        <w:t>Matthew Patten</w:t>
      </w:r>
    </w:p>
    <w:p w14:paraId="510C4D30" w14:textId="77777777" w:rsidR="00334F22" w:rsidRPr="00DD6E8C" w:rsidRDefault="00334F22" w:rsidP="003822BD">
      <w:pPr>
        <w:jc w:val="right"/>
      </w:pPr>
      <w:r>
        <w:t>_______________________________</w:t>
      </w:r>
    </w:p>
    <w:p w14:paraId="5FFA0181" w14:textId="77777777" w:rsidR="00334F22" w:rsidRDefault="006A26F3" w:rsidP="007579FA">
      <w:pPr>
        <w:jc w:val="right"/>
      </w:pPr>
      <w:r>
        <w:t>Anuja Purohit</w:t>
      </w:r>
    </w:p>
    <w:p w14:paraId="15188E41" w14:textId="77777777" w:rsidR="00334F22" w:rsidRPr="00DD6E8C" w:rsidRDefault="00334F22" w:rsidP="003822BD">
      <w:pPr>
        <w:jc w:val="right"/>
      </w:pPr>
      <w:r>
        <w:t>_______________________________</w:t>
      </w:r>
    </w:p>
    <w:p w14:paraId="6A1605AA" w14:textId="77777777" w:rsidR="00334F22" w:rsidRDefault="006A26F3" w:rsidP="003822BD">
      <w:pPr>
        <w:jc w:val="right"/>
      </w:pPr>
      <w:r>
        <w:t>Rhiannon Szewczyk</w:t>
      </w:r>
    </w:p>
    <w:p w14:paraId="69E4317B" w14:textId="77777777" w:rsidR="003822BD" w:rsidRDefault="003822BD" w:rsidP="003822BD">
      <w:pPr>
        <w:jc w:val="right"/>
      </w:pPr>
    </w:p>
    <w:p w14:paraId="724B3D02" w14:textId="77777777" w:rsidR="003822BD" w:rsidRDefault="003822BD" w:rsidP="003822BD">
      <w:pPr>
        <w:jc w:val="right"/>
      </w:pPr>
      <w:r>
        <w:t xml:space="preserve">Counsel for the </w:t>
      </w:r>
      <w:r w:rsidR="00EE2290">
        <w:t>Respondent</w:t>
      </w:r>
    </w:p>
    <w:p w14:paraId="4B706332" w14:textId="77777777" w:rsidR="003822BD" w:rsidRPr="00A85602" w:rsidRDefault="00E91273" w:rsidP="003822BD">
      <w:pPr>
        <w:jc w:val="right"/>
      </w:pPr>
      <w:r>
        <w:t>Consolidated Homes Ltd.</w:t>
      </w:r>
    </w:p>
    <w:p w14:paraId="319A5D8A" w14:textId="77777777" w:rsidR="00E52FC6" w:rsidRDefault="0044118E" w:rsidP="00E52FC6">
      <w:pPr>
        <w:pStyle w:val="Heading1"/>
        <w:tabs>
          <w:tab w:val="num" w:pos="720"/>
        </w:tabs>
        <w:spacing w:before="0" w:after="0" w:line="360" w:lineRule="auto"/>
        <w:ind w:left="720" w:hanging="720"/>
        <w:rPr>
          <w:rFonts w:ascii="Times New Roman" w:hAnsi="Times New Roman"/>
          <w:sz w:val="24"/>
          <w:szCs w:val="24"/>
        </w:rPr>
      </w:pPr>
      <w:r w:rsidRPr="0044118E">
        <w:rPr>
          <w:rFonts w:ascii="Times New Roman" w:hAnsi="Times New Roman"/>
          <w:sz w:val="24"/>
          <w:szCs w:val="24"/>
        </w:rPr>
        <w:br w:type="page"/>
      </w:r>
      <w:bookmarkStart w:id="43" w:name="_Toc220075842"/>
      <w:r>
        <w:rPr>
          <w:rFonts w:ascii="Times New Roman" w:hAnsi="Times New Roman"/>
          <w:sz w:val="24"/>
          <w:szCs w:val="24"/>
        </w:rPr>
        <w:lastRenderedPageBreak/>
        <w:t>TABLE OF AUTHORITIE</w:t>
      </w:r>
      <w:r w:rsidR="00E52FC6">
        <w:rPr>
          <w:rFonts w:ascii="Times New Roman" w:hAnsi="Times New Roman"/>
          <w:sz w:val="24"/>
          <w:szCs w:val="24"/>
        </w:rPr>
        <w:t>S</w:t>
      </w:r>
      <w:bookmarkEnd w:id="43"/>
    </w:p>
    <w:tbl>
      <w:tblPr>
        <w:tblStyle w:val="TableGrid"/>
        <w:tblW w:w="0" w:type="auto"/>
        <w:tblLook w:val="04A0" w:firstRow="1" w:lastRow="0" w:firstColumn="1" w:lastColumn="0" w:noHBand="0" w:noVBand="1"/>
      </w:tblPr>
      <w:tblGrid>
        <w:gridCol w:w="4675"/>
        <w:gridCol w:w="4675"/>
      </w:tblGrid>
      <w:tr w:rsidR="00573FA1" w14:paraId="50AF67E5" w14:textId="77777777" w:rsidTr="00573FA1">
        <w:tc>
          <w:tcPr>
            <w:tcW w:w="4675" w:type="dxa"/>
          </w:tcPr>
          <w:p w14:paraId="28F75245" w14:textId="471E64D5" w:rsidR="00573FA1" w:rsidRDefault="00573FA1" w:rsidP="00573FA1">
            <w:r>
              <w:rPr>
                <w:b/>
                <w:bCs/>
              </w:rPr>
              <w:t xml:space="preserve">Authorities </w:t>
            </w:r>
          </w:p>
        </w:tc>
        <w:tc>
          <w:tcPr>
            <w:tcW w:w="4675" w:type="dxa"/>
          </w:tcPr>
          <w:p w14:paraId="331BE866" w14:textId="740F2700" w:rsidR="00573FA1" w:rsidRDefault="00573FA1" w:rsidP="00573FA1">
            <w:r>
              <w:rPr>
                <w:b/>
                <w:bCs/>
              </w:rPr>
              <w:t>Paragraph #</w:t>
            </w:r>
          </w:p>
        </w:tc>
      </w:tr>
      <w:tr w:rsidR="00573FA1" w14:paraId="47EFB209" w14:textId="77777777" w:rsidTr="00573FA1">
        <w:tc>
          <w:tcPr>
            <w:tcW w:w="4675" w:type="dxa"/>
          </w:tcPr>
          <w:p w14:paraId="7431AA09" w14:textId="04583339" w:rsidR="00573FA1" w:rsidRDefault="00573FA1" w:rsidP="00573FA1">
            <w:r>
              <w:rPr>
                <w:i/>
                <w:iCs/>
              </w:rPr>
              <w:t>Ainsley Financial Corp v Ontario (Securities Commission)</w:t>
            </w:r>
            <w:r>
              <w:t>, [1994] OJ No 29665</w:t>
            </w:r>
          </w:p>
        </w:tc>
        <w:tc>
          <w:tcPr>
            <w:tcW w:w="4675" w:type="dxa"/>
          </w:tcPr>
          <w:p w14:paraId="3055000D" w14:textId="46B1CDE0" w:rsidR="00573FA1" w:rsidRDefault="00573FA1" w:rsidP="00573FA1">
            <w:r>
              <w:t>66, 75</w:t>
            </w:r>
          </w:p>
        </w:tc>
      </w:tr>
      <w:tr w:rsidR="00573FA1" w14:paraId="60D5D2A2" w14:textId="77777777" w:rsidTr="00573FA1">
        <w:tc>
          <w:tcPr>
            <w:tcW w:w="4675" w:type="dxa"/>
          </w:tcPr>
          <w:p w14:paraId="518DEFC4" w14:textId="2E33DEBF" w:rsidR="00573FA1" w:rsidRDefault="00573FA1" w:rsidP="00573FA1">
            <w:r>
              <w:t>Bill 5,</w:t>
            </w:r>
            <w:r>
              <w:rPr>
                <w:i/>
                <w:iCs/>
              </w:rPr>
              <w:t xml:space="preserve"> An Act to enact the Special Economic Zones Act, 2025, to amend the Endangered Species Act, 2007 and to replace it with the Species Conservation Act, 2025, and to amend various Acts and revoke various regulations in relation to development and to procurement</w:t>
            </w:r>
            <w:r>
              <w:t>, 2025, 1st Sess, 44th Leg, Ontario, 2025 (assented to June 5, 2025)</w:t>
            </w:r>
          </w:p>
        </w:tc>
        <w:tc>
          <w:tcPr>
            <w:tcW w:w="4675" w:type="dxa"/>
          </w:tcPr>
          <w:p w14:paraId="4D340CA4" w14:textId="16F50D19" w:rsidR="00573FA1" w:rsidRDefault="00573FA1" w:rsidP="00573FA1">
            <w:r>
              <w:t>28, 102, 110, 120, 121</w:t>
            </w:r>
          </w:p>
        </w:tc>
      </w:tr>
      <w:tr w:rsidR="00573FA1" w14:paraId="5C914BA1" w14:textId="77777777" w:rsidTr="00573FA1">
        <w:tc>
          <w:tcPr>
            <w:tcW w:w="4675" w:type="dxa"/>
          </w:tcPr>
          <w:p w14:paraId="05FE6FA4" w14:textId="5204250A" w:rsidR="00573FA1" w:rsidRDefault="00573FA1" w:rsidP="00573FA1">
            <w:r>
              <w:rPr>
                <w:i/>
                <w:iCs/>
              </w:rPr>
              <w:t>Brett v Ontario (Board of Directors of Physiotherapy)</w:t>
            </w:r>
            <w:r>
              <w:t xml:space="preserve"> 1991 8286 (ON SCDC)</w:t>
            </w:r>
          </w:p>
        </w:tc>
        <w:tc>
          <w:tcPr>
            <w:tcW w:w="4675" w:type="dxa"/>
          </w:tcPr>
          <w:p w14:paraId="0D0D9171" w14:textId="040DC9E0" w:rsidR="00573FA1" w:rsidRDefault="00573FA1" w:rsidP="00573FA1">
            <w:r>
              <w:t>68</w:t>
            </w:r>
          </w:p>
        </w:tc>
      </w:tr>
      <w:tr w:rsidR="00573FA1" w14:paraId="5FE9F6B1" w14:textId="77777777" w:rsidTr="00573FA1">
        <w:tc>
          <w:tcPr>
            <w:tcW w:w="4675" w:type="dxa"/>
          </w:tcPr>
          <w:p w14:paraId="4D0F4670" w14:textId="399040A4" w:rsidR="00573FA1" w:rsidRDefault="00573FA1" w:rsidP="00573FA1">
            <w:r>
              <w:rPr>
                <w:i/>
                <w:iCs/>
              </w:rPr>
              <w:t>Castonguay Blasting Ltd v Ontario</w:t>
            </w:r>
            <w:r>
              <w:t>, 2013 SCC 52</w:t>
            </w:r>
          </w:p>
        </w:tc>
        <w:tc>
          <w:tcPr>
            <w:tcW w:w="4675" w:type="dxa"/>
          </w:tcPr>
          <w:p w14:paraId="5E0E268E" w14:textId="6E0CA8C5" w:rsidR="00573FA1" w:rsidRDefault="00573FA1" w:rsidP="00573FA1">
            <w:r>
              <w:t>117, 119, 122</w:t>
            </w:r>
          </w:p>
        </w:tc>
      </w:tr>
      <w:tr w:rsidR="00573FA1" w14:paraId="2B8D7466" w14:textId="77777777" w:rsidTr="00573FA1">
        <w:tc>
          <w:tcPr>
            <w:tcW w:w="4675" w:type="dxa"/>
          </w:tcPr>
          <w:p w14:paraId="2DA9CDBA" w14:textId="76B37B8F" w:rsidR="00573FA1" w:rsidRDefault="00573FA1" w:rsidP="00573FA1">
            <w:r>
              <w:rPr>
                <w:i/>
                <w:iCs/>
              </w:rPr>
              <w:t>Conservation Authorities Act</w:t>
            </w:r>
            <w:r>
              <w:t>, RSO 1990, c C 27</w:t>
            </w:r>
          </w:p>
        </w:tc>
        <w:tc>
          <w:tcPr>
            <w:tcW w:w="4675" w:type="dxa"/>
          </w:tcPr>
          <w:p w14:paraId="664621D9" w14:textId="5E980FAA" w:rsidR="00573FA1" w:rsidRDefault="00573FA1" w:rsidP="00573FA1">
            <w:r>
              <w:t>16, 99</w:t>
            </w:r>
          </w:p>
        </w:tc>
      </w:tr>
      <w:tr w:rsidR="00573FA1" w14:paraId="7BD36251" w14:textId="77777777" w:rsidTr="00573FA1">
        <w:tc>
          <w:tcPr>
            <w:tcW w:w="4675" w:type="dxa"/>
          </w:tcPr>
          <w:p w14:paraId="7DAF4AC0" w14:textId="776FB828" w:rsidR="00573FA1" w:rsidRDefault="00573FA1" w:rsidP="00573FA1">
            <w:pPr>
              <w:rPr>
                <w:i/>
                <w:iCs/>
              </w:rPr>
            </w:pPr>
            <w:r>
              <w:rPr>
                <w:i/>
                <w:iCs/>
              </w:rPr>
              <w:t>Criminal Code</w:t>
            </w:r>
            <w:r>
              <w:t>, RSC 1985, c C 46</w:t>
            </w:r>
          </w:p>
        </w:tc>
        <w:tc>
          <w:tcPr>
            <w:tcW w:w="4675" w:type="dxa"/>
          </w:tcPr>
          <w:p w14:paraId="48D3AE52" w14:textId="13F8C4C1" w:rsidR="00573FA1" w:rsidRDefault="00573FA1" w:rsidP="00573FA1">
            <w:r>
              <w:t>43, 45</w:t>
            </w:r>
          </w:p>
        </w:tc>
      </w:tr>
      <w:tr w:rsidR="00573FA1" w14:paraId="6EF6EEDF" w14:textId="77777777" w:rsidTr="00573FA1">
        <w:tc>
          <w:tcPr>
            <w:tcW w:w="4675" w:type="dxa"/>
          </w:tcPr>
          <w:p w14:paraId="457B8680" w14:textId="1236DE72" w:rsidR="00573FA1" w:rsidRDefault="00573FA1" w:rsidP="00573FA1">
            <w:pPr>
              <w:rPr>
                <w:i/>
                <w:iCs/>
              </w:rPr>
            </w:pPr>
            <w:r>
              <w:rPr>
                <w:i/>
                <w:iCs/>
              </w:rPr>
              <w:t>Endangered Species Act, 2007,</w:t>
            </w:r>
            <w:r>
              <w:t xml:space="preserve"> SO 2007, c 6</w:t>
            </w:r>
          </w:p>
        </w:tc>
        <w:tc>
          <w:tcPr>
            <w:tcW w:w="4675" w:type="dxa"/>
          </w:tcPr>
          <w:p w14:paraId="2EE3A9D4" w14:textId="7AAD7C53" w:rsidR="00573FA1" w:rsidRDefault="002B611C" w:rsidP="00573FA1">
            <w:r>
              <w:t xml:space="preserve">1, </w:t>
            </w:r>
            <w:r w:rsidR="00573FA1">
              <w:t>24, 52, 53, 92, 98, 103, 119</w:t>
            </w:r>
          </w:p>
        </w:tc>
      </w:tr>
      <w:tr w:rsidR="00573FA1" w14:paraId="268B76B7" w14:textId="77777777" w:rsidTr="00573FA1">
        <w:tc>
          <w:tcPr>
            <w:tcW w:w="4675" w:type="dxa"/>
          </w:tcPr>
          <w:p w14:paraId="0F78CD5B" w14:textId="4F562212" w:rsidR="00573FA1" w:rsidRDefault="00573FA1" w:rsidP="00573FA1">
            <w:pPr>
              <w:rPr>
                <w:i/>
                <w:iCs/>
              </w:rPr>
            </w:pPr>
            <w:r>
              <w:rPr>
                <w:i/>
                <w:iCs/>
              </w:rPr>
              <w:t>Environmental Protection Act</w:t>
            </w:r>
            <w:r>
              <w:t>, RSO 1990, c E 19</w:t>
            </w:r>
          </w:p>
        </w:tc>
        <w:tc>
          <w:tcPr>
            <w:tcW w:w="4675" w:type="dxa"/>
          </w:tcPr>
          <w:p w14:paraId="286ADC20" w14:textId="3665F357" w:rsidR="00573FA1" w:rsidRDefault="00573FA1" w:rsidP="00573FA1">
            <w:r>
              <w:t xml:space="preserve"> 118, 119</w:t>
            </w:r>
          </w:p>
        </w:tc>
      </w:tr>
      <w:tr w:rsidR="00573FA1" w14:paraId="3511DED7" w14:textId="77777777" w:rsidTr="00573FA1">
        <w:tc>
          <w:tcPr>
            <w:tcW w:w="4675" w:type="dxa"/>
          </w:tcPr>
          <w:p w14:paraId="2AABB694" w14:textId="099EBAF2" w:rsidR="00573FA1" w:rsidRDefault="00573FA1" w:rsidP="00573FA1">
            <w:pPr>
              <w:rPr>
                <w:i/>
                <w:iCs/>
              </w:rPr>
            </w:pPr>
            <w:r>
              <w:t xml:space="preserve">Factum of the Appellant Willms &amp; Shier Moot Team 2026-05  </w:t>
            </w:r>
          </w:p>
        </w:tc>
        <w:tc>
          <w:tcPr>
            <w:tcW w:w="4675" w:type="dxa"/>
          </w:tcPr>
          <w:p w14:paraId="18880419" w14:textId="29768B6A" w:rsidR="00573FA1" w:rsidRDefault="00573FA1" w:rsidP="00573FA1">
            <w:r>
              <w:t>30, 32, 34, 50, 74, 75, 86, 87</w:t>
            </w:r>
          </w:p>
        </w:tc>
      </w:tr>
      <w:tr w:rsidR="00573FA1" w14:paraId="35C284EE" w14:textId="77777777" w:rsidTr="00573FA1">
        <w:tc>
          <w:tcPr>
            <w:tcW w:w="4675" w:type="dxa"/>
          </w:tcPr>
          <w:p w14:paraId="074C8008" w14:textId="02726114" w:rsidR="00573FA1" w:rsidRDefault="00573FA1" w:rsidP="00573FA1">
            <w:r>
              <w:rPr>
                <w:i/>
                <w:iCs/>
              </w:rPr>
              <w:t>Fisheries Act</w:t>
            </w:r>
            <w:r>
              <w:t>, RSC, 1985, c F 14</w:t>
            </w:r>
          </w:p>
        </w:tc>
        <w:tc>
          <w:tcPr>
            <w:tcW w:w="4675" w:type="dxa"/>
          </w:tcPr>
          <w:p w14:paraId="1CD86C61" w14:textId="7902DBBB" w:rsidR="00573FA1" w:rsidRDefault="00573FA1" w:rsidP="00573FA1">
            <w:r>
              <w:t>84, 91</w:t>
            </w:r>
          </w:p>
        </w:tc>
      </w:tr>
      <w:tr w:rsidR="00573FA1" w14:paraId="1E6A4007" w14:textId="77777777" w:rsidTr="00573FA1">
        <w:tc>
          <w:tcPr>
            <w:tcW w:w="4675" w:type="dxa"/>
          </w:tcPr>
          <w:p w14:paraId="12FD2C8C" w14:textId="6D26FF0B" w:rsidR="00573FA1" w:rsidRDefault="00573FA1" w:rsidP="00573FA1">
            <w:pPr>
              <w:rPr>
                <w:i/>
                <w:iCs/>
              </w:rPr>
            </w:pPr>
            <w:r>
              <w:rPr>
                <w:i/>
                <w:iCs/>
              </w:rPr>
              <w:t>Housen v Nikolaisen</w:t>
            </w:r>
            <w:r>
              <w:t>, 2002 SCC 33</w:t>
            </w:r>
          </w:p>
        </w:tc>
        <w:tc>
          <w:tcPr>
            <w:tcW w:w="4675" w:type="dxa"/>
          </w:tcPr>
          <w:p w14:paraId="15A2B79A" w14:textId="0C13332C" w:rsidR="00573FA1" w:rsidRDefault="00573FA1" w:rsidP="00573FA1">
            <w:r>
              <w:t>37, 39, 50</w:t>
            </w:r>
          </w:p>
        </w:tc>
      </w:tr>
      <w:tr w:rsidR="00573FA1" w14:paraId="49D22E19" w14:textId="77777777" w:rsidTr="00573FA1">
        <w:tc>
          <w:tcPr>
            <w:tcW w:w="4675" w:type="dxa"/>
          </w:tcPr>
          <w:p w14:paraId="0168CFE1" w14:textId="1F3F3F3A" w:rsidR="00573FA1" w:rsidRDefault="00573FA1" w:rsidP="00573FA1">
            <w:pPr>
              <w:rPr>
                <w:i/>
                <w:iCs/>
              </w:rPr>
            </w:pPr>
            <w:r>
              <w:t>Judgment by Justice of the Peace P. Nichols, Trial Transcript of October 12, 2022.</w:t>
            </w:r>
          </w:p>
        </w:tc>
        <w:tc>
          <w:tcPr>
            <w:tcW w:w="4675" w:type="dxa"/>
          </w:tcPr>
          <w:p w14:paraId="2CFB900E" w14:textId="58695076" w:rsidR="00573FA1" w:rsidRDefault="00573FA1" w:rsidP="00573FA1">
            <w:r>
              <w:t>7, 8, 9, 14, 16, 18, 19, 20, 25, 55, 93, 94, 95, 96, 105</w:t>
            </w:r>
          </w:p>
        </w:tc>
      </w:tr>
      <w:tr w:rsidR="00573FA1" w14:paraId="56B9E6FD" w14:textId="77777777" w:rsidTr="00573FA1">
        <w:tc>
          <w:tcPr>
            <w:tcW w:w="4675" w:type="dxa"/>
          </w:tcPr>
          <w:p w14:paraId="0379B56B" w14:textId="3D5D099E" w:rsidR="00573FA1" w:rsidRPr="00573FA1" w:rsidRDefault="00573FA1" w:rsidP="00573FA1">
            <w:r>
              <w:t xml:space="preserve">Ontario, Legislative Assembly, </w:t>
            </w:r>
            <w:r>
              <w:rPr>
                <w:i/>
                <w:iCs/>
              </w:rPr>
              <w:t xml:space="preserve">Ontario Hansard </w:t>
            </w:r>
            <w:r>
              <w:t>(May 1 2025).</w:t>
            </w:r>
          </w:p>
        </w:tc>
        <w:tc>
          <w:tcPr>
            <w:tcW w:w="4675" w:type="dxa"/>
          </w:tcPr>
          <w:p w14:paraId="6F31709B" w14:textId="48976066" w:rsidR="00573FA1" w:rsidRDefault="00573FA1" w:rsidP="00573FA1">
            <w:r>
              <w:t>112,113</w:t>
            </w:r>
          </w:p>
        </w:tc>
      </w:tr>
      <w:tr w:rsidR="00573FA1" w14:paraId="5C0F1B7B" w14:textId="77777777" w:rsidTr="00573FA1">
        <w:tc>
          <w:tcPr>
            <w:tcW w:w="4675" w:type="dxa"/>
          </w:tcPr>
          <w:p w14:paraId="60FE4976" w14:textId="687FB5DB" w:rsidR="00573FA1" w:rsidRDefault="00573FA1" w:rsidP="00573FA1">
            <w:r>
              <w:t xml:space="preserve">Ontario, Ministry of the Environment Conservation and Parks, July 2013 (updated March 2021) </w:t>
            </w:r>
            <w:r>
              <w:rPr>
                <w:i/>
                <w:iCs/>
              </w:rPr>
              <w:t>General Habitat Description for the Blanding’s Turtle (Emydoidea blandingii)</w:t>
            </w:r>
            <w:r>
              <w:t>.</w:t>
            </w:r>
          </w:p>
        </w:tc>
        <w:tc>
          <w:tcPr>
            <w:tcW w:w="4675" w:type="dxa"/>
          </w:tcPr>
          <w:p w14:paraId="165528E8" w14:textId="0670747E" w:rsidR="00573FA1" w:rsidRDefault="00573FA1" w:rsidP="00573FA1">
            <w:r>
              <w:t xml:space="preserve">22, 70, 112 </w:t>
            </w:r>
          </w:p>
        </w:tc>
      </w:tr>
      <w:tr w:rsidR="00573FA1" w14:paraId="01837156" w14:textId="77777777" w:rsidTr="00573FA1">
        <w:tc>
          <w:tcPr>
            <w:tcW w:w="4675" w:type="dxa"/>
          </w:tcPr>
          <w:p w14:paraId="4F52DF7E" w14:textId="3ECC3ACC" w:rsidR="00573FA1" w:rsidRDefault="00573FA1" w:rsidP="00573FA1">
            <w:r>
              <w:t xml:space="preserve">Ontario, Ministry of the Environment Conservation and Parks, May 2017 </w:t>
            </w:r>
            <w:r>
              <w:rPr>
                <w:i/>
                <w:iCs/>
              </w:rPr>
              <w:t>Ontario Species at Risk Evaluation Report for Blanding’s Turtle (Emydoidea blandingii)</w:t>
            </w:r>
            <w:r>
              <w:t xml:space="preserve">. </w:t>
            </w:r>
          </w:p>
        </w:tc>
        <w:tc>
          <w:tcPr>
            <w:tcW w:w="4675" w:type="dxa"/>
          </w:tcPr>
          <w:p w14:paraId="3954B3D3" w14:textId="3BF88691" w:rsidR="00573FA1" w:rsidRDefault="00573FA1" w:rsidP="00573FA1">
            <w:r>
              <w:t>7</w:t>
            </w:r>
          </w:p>
        </w:tc>
      </w:tr>
      <w:tr w:rsidR="00573FA1" w14:paraId="33011136" w14:textId="77777777" w:rsidTr="00573FA1">
        <w:tc>
          <w:tcPr>
            <w:tcW w:w="4675" w:type="dxa"/>
          </w:tcPr>
          <w:p w14:paraId="52FE90AA" w14:textId="4AFE16BD" w:rsidR="00573FA1" w:rsidRDefault="00573FA1" w:rsidP="00573FA1">
            <w:r>
              <w:rPr>
                <w:i/>
                <w:iCs/>
              </w:rPr>
              <w:t>Provincial Offences Act</w:t>
            </w:r>
            <w:r>
              <w:t xml:space="preserve">, RSO 1990, c P 33 </w:t>
            </w:r>
          </w:p>
        </w:tc>
        <w:tc>
          <w:tcPr>
            <w:tcW w:w="4675" w:type="dxa"/>
          </w:tcPr>
          <w:p w14:paraId="0B00A686" w14:textId="10BB2D80" w:rsidR="00573FA1" w:rsidRDefault="00573FA1" w:rsidP="00573FA1">
            <w:r>
              <w:t xml:space="preserve">38, 42, 43, 45, 78, 82, 84, </w:t>
            </w:r>
          </w:p>
        </w:tc>
      </w:tr>
      <w:tr w:rsidR="00573FA1" w14:paraId="6F192BA6" w14:textId="77777777" w:rsidTr="00573FA1">
        <w:tc>
          <w:tcPr>
            <w:tcW w:w="4675" w:type="dxa"/>
          </w:tcPr>
          <w:p w14:paraId="6E759849" w14:textId="33AC8521" w:rsidR="00573FA1" w:rsidRDefault="00573FA1" w:rsidP="00573FA1">
            <w:pPr>
              <w:rPr>
                <w:i/>
                <w:iCs/>
              </w:rPr>
            </w:pPr>
            <w:r>
              <w:t xml:space="preserve">Reasons for Judgment of Justice C. Mathias, Transcript from August 20, 2024 [Appeal Decision]. </w:t>
            </w:r>
          </w:p>
        </w:tc>
        <w:tc>
          <w:tcPr>
            <w:tcW w:w="4675" w:type="dxa"/>
          </w:tcPr>
          <w:p w14:paraId="306007D4" w14:textId="7C7C0658" w:rsidR="00573FA1" w:rsidRDefault="00573FA1" w:rsidP="00573FA1">
            <w:r>
              <w:t>10, 11, 13, 15, 16, 17, 18, 20, 26, 40, 53, 55, 72, 86, 105, 106</w:t>
            </w:r>
          </w:p>
        </w:tc>
      </w:tr>
      <w:tr w:rsidR="00573FA1" w14:paraId="5C488DBE" w14:textId="77777777" w:rsidTr="00573FA1">
        <w:tc>
          <w:tcPr>
            <w:tcW w:w="4675" w:type="dxa"/>
          </w:tcPr>
          <w:p w14:paraId="10732EA8" w14:textId="66729959" w:rsidR="00573FA1" w:rsidRDefault="00573FA1" w:rsidP="00573FA1">
            <w:r>
              <w:rPr>
                <w:i/>
                <w:iCs/>
              </w:rPr>
              <w:t>Re Rizzo &amp; Rizzo Shoes</w:t>
            </w:r>
            <w:r>
              <w:t>, [1998] 1 SCR 27</w:t>
            </w:r>
          </w:p>
        </w:tc>
        <w:tc>
          <w:tcPr>
            <w:tcW w:w="4675" w:type="dxa"/>
          </w:tcPr>
          <w:p w14:paraId="2DD194DC" w14:textId="5571D7AD" w:rsidR="00573FA1" w:rsidRDefault="00573FA1" w:rsidP="00573FA1">
            <w:r>
              <w:t>114</w:t>
            </w:r>
          </w:p>
        </w:tc>
      </w:tr>
      <w:tr w:rsidR="00573FA1" w14:paraId="0F0E5CA2" w14:textId="77777777" w:rsidTr="00573FA1">
        <w:tc>
          <w:tcPr>
            <w:tcW w:w="4675" w:type="dxa"/>
          </w:tcPr>
          <w:p w14:paraId="2555D78B" w14:textId="35046FB2" w:rsidR="00573FA1" w:rsidRDefault="00573FA1" w:rsidP="00573FA1">
            <w:pPr>
              <w:rPr>
                <w:i/>
                <w:iCs/>
              </w:rPr>
            </w:pPr>
            <w:r>
              <w:rPr>
                <w:highlight w:val="white"/>
              </w:rPr>
              <w:lastRenderedPageBreak/>
              <w:t xml:space="preserve">Ruth Sullivan, Statutory Interpretation in the Supreme Court of Canada, 1999 30-2 </w:t>
            </w:r>
            <w:r>
              <w:rPr>
                <w:i/>
                <w:iCs/>
                <w:highlight w:val="white"/>
              </w:rPr>
              <w:t>Ottawa Law Review</w:t>
            </w:r>
            <w:r>
              <w:rPr>
                <w:highlight w:val="white"/>
              </w:rPr>
              <w:t xml:space="preserve"> 175, 1999 CanLIIDocs 21.</w:t>
            </w:r>
          </w:p>
        </w:tc>
        <w:tc>
          <w:tcPr>
            <w:tcW w:w="4675" w:type="dxa"/>
          </w:tcPr>
          <w:p w14:paraId="693AC7C2" w14:textId="063DC607" w:rsidR="00573FA1" w:rsidRDefault="00573FA1" w:rsidP="00573FA1">
            <w:r>
              <w:t>109</w:t>
            </w:r>
          </w:p>
        </w:tc>
      </w:tr>
      <w:tr w:rsidR="00573FA1" w14:paraId="1F2B19C2" w14:textId="77777777" w:rsidTr="00573FA1">
        <w:tc>
          <w:tcPr>
            <w:tcW w:w="4675" w:type="dxa"/>
          </w:tcPr>
          <w:p w14:paraId="5387EDAF" w14:textId="77777777" w:rsidR="00573FA1" w:rsidRDefault="00573FA1" w:rsidP="00573FA1">
            <w:r>
              <w:rPr>
                <w:i/>
                <w:iCs/>
              </w:rPr>
              <w:t>R v Biniaris</w:t>
            </w:r>
            <w:r>
              <w:t>, [2000] 1 SCR 381</w:t>
            </w:r>
          </w:p>
          <w:p w14:paraId="3F20CE67" w14:textId="20B633FC" w:rsidR="00573FA1" w:rsidRDefault="00573FA1" w:rsidP="00573FA1">
            <w:pPr>
              <w:rPr>
                <w:highlight w:val="white"/>
              </w:rPr>
            </w:pPr>
            <w:r>
              <w:t xml:space="preserve"> </w:t>
            </w:r>
          </w:p>
        </w:tc>
        <w:tc>
          <w:tcPr>
            <w:tcW w:w="4675" w:type="dxa"/>
          </w:tcPr>
          <w:p w14:paraId="689B0C13" w14:textId="08F5031F" w:rsidR="00573FA1" w:rsidRDefault="00573FA1" w:rsidP="00573FA1">
            <w:r>
              <w:t>42, 46</w:t>
            </w:r>
          </w:p>
        </w:tc>
      </w:tr>
      <w:tr w:rsidR="00573FA1" w14:paraId="7BF54E45" w14:textId="77777777" w:rsidTr="00573FA1">
        <w:tc>
          <w:tcPr>
            <w:tcW w:w="4675" w:type="dxa"/>
          </w:tcPr>
          <w:p w14:paraId="70A22F81" w14:textId="0CC8A135" w:rsidR="00573FA1" w:rsidRDefault="00573FA1" w:rsidP="00573FA1">
            <w:pPr>
              <w:rPr>
                <w:i/>
                <w:iCs/>
              </w:rPr>
            </w:pPr>
            <w:r>
              <w:rPr>
                <w:i/>
                <w:iCs/>
              </w:rPr>
              <w:t>R v Bowcott</w:t>
            </w:r>
            <w:r>
              <w:t xml:space="preserve">, </w:t>
            </w:r>
            <w:r>
              <w:rPr>
                <w:color w:val="1F1F1F"/>
                <w:highlight w:val="white"/>
              </w:rPr>
              <w:t xml:space="preserve">1998 CarswellBC 2162 </w:t>
            </w:r>
          </w:p>
        </w:tc>
        <w:tc>
          <w:tcPr>
            <w:tcW w:w="4675" w:type="dxa"/>
          </w:tcPr>
          <w:p w14:paraId="190550B1" w14:textId="07DD36B7" w:rsidR="00573FA1" w:rsidRDefault="00573FA1" w:rsidP="00573FA1">
            <w:r>
              <w:t>84, 91</w:t>
            </w:r>
          </w:p>
        </w:tc>
      </w:tr>
      <w:tr w:rsidR="00573FA1" w14:paraId="21CCB102" w14:textId="77777777" w:rsidTr="00573FA1">
        <w:tc>
          <w:tcPr>
            <w:tcW w:w="4675" w:type="dxa"/>
          </w:tcPr>
          <w:p w14:paraId="6C71B506" w14:textId="44AF4EA0" w:rsidR="00573FA1" w:rsidRDefault="00573FA1" w:rsidP="00573FA1">
            <w:pPr>
              <w:rPr>
                <w:i/>
                <w:iCs/>
              </w:rPr>
            </w:pPr>
            <w:r>
              <w:rPr>
                <w:i/>
                <w:iCs/>
              </w:rPr>
              <w:t>R v Consolidated Homes Ltd</w:t>
            </w:r>
            <w:r>
              <w:t>, 2025 ONCA 41</w:t>
            </w:r>
          </w:p>
        </w:tc>
        <w:tc>
          <w:tcPr>
            <w:tcW w:w="4675" w:type="dxa"/>
          </w:tcPr>
          <w:p w14:paraId="613AA4AF" w14:textId="1468331C" w:rsidR="00573FA1" w:rsidRDefault="00573FA1" w:rsidP="00573FA1">
            <w:r>
              <w:t>12, 26, 44, 48, 52, 72, 86, 89, 97</w:t>
            </w:r>
          </w:p>
        </w:tc>
      </w:tr>
      <w:tr w:rsidR="00573FA1" w14:paraId="6C835F04" w14:textId="77777777" w:rsidTr="00573FA1">
        <w:tc>
          <w:tcPr>
            <w:tcW w:w="4675" w:type="dxa"/>
          </w:tcPr>
          <w:p w14:paraId="59F23E3C" w14:textId="06E11E4F" w:rsidR="00573FA1" w:rsidRDefault="00573FA1" w:rsidP="00573FA1">
            <w:pPr>
              <w:rPr>
                <w:i/>
                <w:iCs/>
              </w:rPr>
            </w:pPr>
            <w:r>
              <w:rPr>
                <w:i/>
                <w:iCs/>
              </w:rPr>
              <w:t xml:space="preserve">R v Hodgson, </w:t>
            </w:r>
            <w:r>
              <w:t>2024 SCC 25.</w:t>
            </w:r>
          </w:p>
        </w:tc>
        <w:tc>
          <w:tcPr>
            <w:tcW w:w="4675" w:type="dxa"/>
          </w:tcPr>
          <w:p w14:paraId="3D4A7550" w14:textId="055467F0" w:rsidR="00573FA1" w:rsidRDefault="00573FA1" w:rsidP="00573FA1">
            <w:r>
              <w:t>85</w:t>
            </w:r>
          </w:p>
        </w:tc>
      </w:tr>
      <w:tr w:rsidR="00573FA1" w14:paraId="5E8E1AF4" w14:textId="77777777" w:rsidTr="00573FA1">
        <w:tc>
          <w:tcPr>
            <w:tcW w:w="4675" w:type="dxa"/>
          </w:tcPr>
          <w:p w14:paraId="0EC31E2E" w14:textId="349C39C3" w:rsidR="00573FA1" w:rsidRDefault="00573FA1" w:rsidP="00573FA1">
            <w:pPr>
              <w:rPr>
                <w:i/>
                <w:iCs/>
              </w:rPr>
            </w:pPr>
            <w:r>
              <w:rPr>
                <w:i/>
                <w:iCs/>
              </w:rPr>
              <w:t>R v JMH</w:t>
            </w:r>
            <w:r>
              <w:t>, 2011 SCC 45.</w:t>
            </w:r>
          </w:p>
        </w:tc>
        <w:tc>
          <w:tcPr>
            <w:tcW w:w="4675" w:type="dxa"/>
          </w:tcPr>
          <w:p w14:paraId="6E6973D8" w14:textId="6860BE63" w:rsidR="00573FA1" w:rsidRDefault="00573FA1" w:rsidP="00573FA1">
            <w:r>
              <w:t>85</w:t>
            </w:r>
          </w:p>
        </w:tc>
      </w:tr>
      <w:tr w:rsidR="00573FA1" w14:paraId="665430B1" w14:textId="77777777" w:rsidTr="00573FA1">
        <w:tc>
          <w:tcPr>
            <w:tcW w:w="4675" w:type="dxa"/>
          </w:tcPr>
          <w:p w14:paraId="1F8438DC" w14:textId="46DCD516" w:rsidR="00573FA1" w:rsidRDefault="00573FA1" w:rsidP="00573FA1">
            <w:pPr>
              <w:rPr>
                <w:i/>
                <w:iCs/>
              </w:rPr>
            </w:pPr>
            <w:r>
              <w:rPr>
                <w:i/>
                <w:iCs/>
              </w:rPr>
              <w:t>R v Morin</w:t>
            </w:r>
            <w:r>
              <w:t>, [1992] 3 SCR 286</w:t>
            </w:r>
          </w:p>
        </w:tc>
        <w:tc>
          <w:tcPr>
            <w:tcW w:w="4675" w:type="dxa"/>
          </w:tcPr>
          <w:p w14:paraId="2E860400" w14:textId="20E77E37" w:rsidR="00573FA1" w:rsidRDefault="00573FA1" w:rsidP="00573FA1">
            <w:r>
              <w:t>87</w:t>
            </w:r>
          </w:p>
        </w:tc>
      </w:tr>
      <w:tr w:rsidR="00573FA1" w14:paraId="6B1AF9E2" w14:textId="77777777" w:rsidTr="00573FA1">
        <w:tc>
          <w:tcPr>
            <w:tcW w:w="4675" w:type="dxa"/>
          </w:tcPr>
          <w:p w14:paraId="04F1516F" w14:textId="77777777" w:rsidR="00573FA1" w:rsidRDefault="00573FA1" w:rsidP="00573FA1">
            <w:r>
              <w:rPr>
                <w:i/>
                <w:iCs/>
              </w:rPr>
              <w:t>R v Roebuck</w:t>
            </w:r>
            <w:r>
              <w:t>, 2024 ABCA 143</w:t>
            </w:r>
          </w:p>
          <w:p w14:paraId="7E503E97" w14:textId="38CDCC64" w:rsidR="00573FA1" w:rsidRDefault="00573FA1" w:rsidP="00573FA1">
            <w:pPr>
              <w:rPr>
                <w:i/>
                <w:iCs/>
              </w:rPr>
            </w:pPr>
            <w:r>
              <w:t xml:space="preserve"> </w:t>
            </w:r>
          </w:p>
        </w:tc>
        <w:tc>
          <w:tcPr>
            <w:tcW w:w="4675" w:type="dxa"/>
          </w:tcPr>
          <w:p w14:paraId="677E15E6" w14:textId="4A26F397" w:rsidR="00573FA1" w:rsidRDefault="00573FA1" w:rsidP="00573FA1">
            <w:r>
              <w:t>49</w:t>
            </w:r>
          </w:p>
        </w:tc>
      </w:tr>
      <w:tr w:rsidR="00573FA1" w14:paraId="0112B20A" w14:textId="77777777" w:rsidTr="00573FA1">
        <w:tc>
          <w:tcPr>
            <w:tcW w:w="4675" w:type="dxa"/>
          </w:tcPr>
          <w:p w14:paraId="123C824C" w14:textId="4544E161" w:rsidR="00573FA1" w:rsidRDefault="00573FA1" w:rsidP="00573FA1">
            <w:pPr>
              <w:rPr>
                <w:i/>
                <w:iCs/>
              </w:rPr>
            </w:pPr>
            <w:r>
              <w:rPr>
                <w:i/>
                <w:iCs/>
              </w:rPr>
              <w:t>R v St Paul (Town)</w:t>
            </w:r>
            <w:r>
              <w:t>, [1993] AJ No 953</w:t>
            </w:r>
          </w:p>
        </w:tc>
        <w:tc>
          <w:tcPr>
            <w:tcW w:w="4675" w:type="dxa"/>
          </w:tcPr>
          <w:p w14:paraId="365F4CD1" w14:textId="7E872578" w:rsidR="00573FA1" w:rsidRDefault="00573FA1" w:rsidP="00573FA1">
            <w:r>
              <w:t>91</w:t>
            </w:r>
          </w:p>
        </w:tc>
      </w:tr>
      <w:tr w:rsidR="00573FA1" w14:paraId="73CB3071" w14:textId="77777777" w:rsidTr="00573FA1">
        <w:tc>
          <w:tcPr>
            <w:tcW w:w="4675" w:type="dxa"/>
          </w:tcPr>
          <w:p w14:paraId="550E4960" w14:textId="77777777" w:rsidR="00573FA1" w:rsidRDefault="00573FA1" w:rsidP="00573FA1">
            <w:r>
              <w:rPr>
                <w:i/>
                <w:iCs/>
              </w:rPr>
              <w:t>R v Villaroman</w:t>
            </w:r>
            <w:r>
              <w:t>, 2016 SCC 33</w:t>
            </w:r>
          </w:p>
          <w:p w14:paraId="15EB33BC" w14:textId="2021B820" w:rsidR="00573FA1" w:rsidRDefault="00573FA1" w:rsidP="00573FA1">
            <w:pPr>
              <w:rPr>
                <w:i/>
                <w:iCs/>
              </w:rPr>
            </w:pPr>
            <w:r>
              <w:t xml:space="preserve"> </w:t>
            </w:r>
          </w:p>
        </w:tc>
        <w:tc>
          <w:tcPr>
            <w:tcW w:w="4675" w:type="dxa"/>
          </w:tcPr>
          <w:p w14:paraId="7B2C7681" w14:textId="48A16BB5" w:rsidR="00573FA1" w:rsidRDefault="00573FA1" w:rsidP="00573FA1">
            <w:r>
              <w:t>47, 49, 51</w:t>
            </w:r>
          </w:p>
        </w:tc>
      </w:tr>
      <w:tr w:rsidR="00573FA1" w14:paraId="2A396F38" w14:textId="77777777" w:rsidTr="00573FA1">
        <w:tc>
          <w:tcPr>
            <w:tcW w:w="4675" w:type="dxa"/>
          </w:tcPr>
          <w:p w14:paraId="786C7E26" w14:textId="77777777" w:rsidR="00573FA1" w:rsidRDefault="00573FA1" w:rsidP="00573FA1">
            <w:pPr>
              <w:widowControl w:val="0"/>
            </w:pPr>
            <w:r>
              <w:rPr>
                <w:i/>
                <w:iCs/>
              </w:rPr>
              <w:t>R v Wigglesworth</w:t>
            </w:r>
            <w:r>
              <w:t>, [1987] 2 SCR 541 (SCC)</w:t>
            </w:r>
          </w:p>
          <w:p w14:paraId="5AC866DE" w14:textId="77777777" w:rsidR="00573FA1" w:rsidRDefault="00573FA1" w:rsidP="00573FA1">
            <w:pPr>
              <w:rPr>
                <w:i/>
                <w:iCs/>
              </w:rPr>
            </w:pPr>
          </w:p>
        </w:tc>
        <w:tc>
          <w:tcPr>
            <w:tcW w:w="4675" w:type="dxa"/>
          </w:tcPr>
          <w:p w14:paraId="551F3B79" w14:textId="75306A98" w:rsidR="00573FA1" w:rsidRDefault="00573FA1" w:rsidP="00573FA1">
            <w:r>
              <w:t>62</w:t>
            </w:r>
          </w:p>
        </w:tc>
      </w:tr>
      <w:tr w:rsidR="00573FA1" w14:paraId="6A840ECE" w14:textId="77777777" w:rsidTr="00573FA1">
        <w:tc>
          <w:tcPr>
            <w:tcW w:w="4675" w:type="dxa"/>
          </w:tcPr>
          <w:p w14:paraId="312DEF37" w14:textId="6738DC29" w:rsidR="00573FA1" w:rsidRDefault="00573FA1" w:rsidP="00573FA1">
            <w:pPr>
              <w:widowControl w:val="0"/>
              <w:rPr>
                <w:i/>
                <w:iCs/>
              </w:rPr>
            </w:pPr>
            <w:r>
              <w:rPr>
                <w:i/>
                <w:iCs/>
              </w:rPr>
              <w:t>R v Yebes</w:t>
            </w:r>
            <w:r>
              <w:t>, [1987] 2 SCR 168</w:t>
            </w:r>
          </w:p>
        </w:tc>
        <w:tc>
          <w:tcPr>
            <w:tcW w:w="4675" w:type="dxa"/>
          </w:tcPr>
          <w:p w14:paraId="4A3EE92C" w14:textId="0B62FD3F" w:rsidR="00573FA1" w:rsidRDefault="00573FA1" w:rsidP="00573FA1">
            <w:r>
              <w:t>42, 46, 49, 50</w:t>
            </w:r>
          </w:p>
        </w:tc>
      </w:tr>
      <w:tr w:rsidR="00573FA1" w14:paraId="2EC3F9F2" w14:textId="77777777" w:rsidTr="00573FA1">
        <w:tc>
          <w:tcPr>
            <w:tcW w:w="4675" w:type="dxa"/>
          </w:tcPr>
          <w:p w14:paraId="4E14135B" w14:textId="2F58930E" w:rsidR="00573FA1" w:rsidRDefault="00573FA1" w:rsidP="00573FA1">
            <w:pPr>
              <w:widowControl w:val="0"/>
              <w:rPr>
                <w:i/>
                <w:iCs/>
              </w:rPr>
            </w:pPr>
            <w:r>
              <w:rPr>
                <w:i/>
                <w:iCs/>
              </w:rPr>
              <w:t>R v Zuber</w:t>
            </w:r>
            <w:r>
              <w:t>, [2004] OJ No 2989</w:t>
            </w:r>
          </w:p>
        </w:tc>
        <w:tc>
          <w:tcPr>
            <w:tcW w:w="4675" w:type="dxa"/>
          </w:tcPr>
          <w:p w14:paraId="73376253" w14:textId="740E4744" w:rsidR="00573FA1" w:rsidRDefault="00573FA1" w:rsidP="00573FA1">
            <w:r>
              <w:t>42, 44, 83</w:t>
            </w:r>
          </w:p>
        </w:tc>
      </w:tr>
      <w:tr w:rsidR="00573FA1" w14:paraId="3C9A7DEA" w14:textId="77777777" w:rsidTr="00573FA1">
        <w:tc>
          <w:tcPr>
            <w:tcW w:w="4675" w:type="dxa"/>
          </w:tcPr>
          <w:p w14:paraId="55D6029C" w14:textId="6B295736" w:rsidR="00573FA1" w:rsidRDefault="00573FA1" w:rsidP="00573FA1">
            <w:pPr>
              <w:widowControl w:val="0"/>
              <w:rPr>
                <w:i/>
                <w:iCs/>
              </w:rPr>
            </w:pPr>
            <w:r>
              <w:rPr>
                <w:i/>
                <w:iCs/>
              </w:rPr>
              <w:t>Valley Rubber Resources Inc v British Columbia (Minister of Environment, Lands &amp; Parks)</w:t>
            </w:r>
            <w:r>
              <w:t>, 2002 BCCA 524</w:t>
            </w:r>
          </w:p>
        </w:tc>
        <w:tc>
          <w:tcPr>
            <w:tcW w:w="4675" w:type="dxa"/>
          </w:tcPr>
          <w:p w14:paraId="0E2F0333" w14:textId="2C0395AD" w:rsidR="00573FA1" w:rsidRDefault="00573FA1" w:rsidP="00573FA1">
            <w:r>
              <w:t>67, 75</w:t>
            </w:r>
          </w:p>
        </w:tc>
      </w:tr>
      <w:tr w:rsidR="00573FA1" w14:paraId="3AB4BD8D" w14:textId="77777777" w:rsidTr="00573FA1">
        <w:tc>
          <w:tcPr>
            <w:tcW w:w="4675" w:type="dxa"/>
          </w:tcPr>
          <w:p w14:paraId="2AA0BE9C" w14:textId="42D8A88F" w:rsidR="00573FA1" w:rsidRDefault="00573FA1" w:rsidP="00573FA1">
            <w:pPr>
              <w:widowControl w:val="0"/>
              <w:rPr>
                <w:i/>
                <w:iCs/>
              </w:rPr>
            </w:pPr>
            <w:r>
              <w:t xml:space="preserve">Willms &amp; Shier Environmental Lawyers LLP, </w:t>
            </w:r>
            <w:r>
              <w:rPr>
                <w:i/>
                <w:iCs/>
              </w:rPr>
              <w:t xml:space="preserve">Willms &amp; Shier Environmental Law Moot Official Competition Rules 2026 </w:t>
            </w:r>
            <w:r>
              <w:t>(Toronto: ELM, 2026)</w:t>
            </w:r>
          </w:p>
        </w:tc>
        <w:tc>
          <w:tcPr>
            <w:tcW w:w="4675" w:type="dxa"/>
          </w:tcPr>
          <w:p w14:paraId="73BD2802" w14:textId="0CC743BA" w:rsidR="00573FA1" w:rsidRDefault="00573FA1" w:rsidP="00573FA1">
            <w:r>
              <w:t>38</w:t>
            </w:r>
          </w:p>
        </w:tc>
      </w:tr>
    </w:tbl>
    <w:p w14:paraId="1B810E16" w14:textId="77777777" w:rsidR="00E52FC6" w:rsidRPr="00E52FC6" w:rsidRDefault="00E52FC6" w:rsidP="00E52FC6"/>
    <w:p w14:paraId="41061FBC" w14:textId="77777777" w:rsidR="00E52FC6" w:rsidRPr="00E52FC6" w:rsidRDefault="00E52FC6" w:rsidP="00E52FC6"/>
    <w:p w14:paraId="22FC3C8D" w14:textId="73C1B0C7" w:rsidR="00471DA0" w:rsidRDefault="00471DA0" w:rsidP="00471DA0">
      <w:pPr>
        <w:pStyle w:val="Heading1"/>
        <w:tabs>
          <w:tab w:val="num" w:pos="720"/>
        </w:tabs>
        <w:spacing w:before="0" w:after="0" w:line="360" w:lineRule="auto"/>
        <w:ind w:left="720" w:hanging="720"/>
        <w:rPr>
          <w:rFonts w:ascii="Times New Roman" w:hAnsi="Times New Roman"/>
          <w:sz w:val="24"/>
          <w:szCs w:val="24"/>
        </w:rPr>
      </w:pPr>
      <w:bookmarkStart w:id="44" w:name="_Toc220075843"/>
      <w:r>
        <w:rPr>
          <w:rFonts w:ascii="Times New Roman" w:hAnsi="Times New Roman"/>
          <w:sz w:val="24"/>
          <w:szCs w:val="24"/>
        </w:rPr>
        <w:t>LEGISLATION AT ISSUE</w:t>
      </w:r>
      <w:bookmarkEnd w:id="44"/>
    </w:p>
    <w:p w14:paraId="41ABAB1D" w14:textId="77777777" w:rsidR="00137CEA" w:rsidRDefault="00137CEA" w:rsidP="00137CEA">
      <w:pPr>
        <w:pStyle w:val="NormalWeb"/>
        <w:spacing w:before="0" w:beforeAutospacing="0" w:after="0" w:afterAutospacing="0"/>
      </w:pPr>
      <w:r>
        <w:rPr>
          <w:b/>
          <w:bCs/>
          <w:color w:val="000000"/>
        </w:rPr>
        <w:t>Bill 5,</w:t>
      </w:r>
      <w:r>
        <w:rPr>
          <w:b/>
          <w:bCs/>
          <w:i/>
          <w:iCs/>
          <w:color w:val="000000"/>
        </w:rPr>
        <w:t xml:space="preserve"> An Act to enact the Special Economic Zones Act, 2025, to amend the Endangered Species Act, 2007 and to replace it with the Species Conservation Act, 2025, and to amend various Acts and revoke various regulations in relation to development and to procurement</w:t>
      </w:r>
      <w:r>
        <w:rPr>
          <w:b/>
          <w:bCs/>
          <w:color w:val="000000"/>
        </w:rPr>
        <w:t>, 2025, 1st Sess, 44th Leg, Ontario, 2025 (assented to June 5, 2025)</w:t>
      </w:r>
    </w:p>
    <w:p w14:paraId="71D052B8" w14:textId="77777777" w:rsidR="00137CEA" w:rsidRDefault="00137CEA" w:rsidP="00137CEA">
      <w:pPr>
        <w:pStyle w:val="NormalWeb"/>
        <w:shd w:val="clear" w:color="auto" w:fill="FFFFFF"/>
        <w:spacing w:before="0" w:beforeAutospacing="0" w:after="0" w:afterAutospacing="0"/>
        <w:jc w:val="center"/>
      </w:pPr>
    </w:p>
    <w:p w14:paraId="60025F38" w14:textId="77777777" w:rsidR="00137CEA" w:rsidRDefault="00137CEA" w:rsidP="00137CEA">
      <w:pPr>
        <w:pStyle w:val="NormalWeb"/>
        <w:shd w:val="clear" w:color="auto" w:fill="FFFFFF"/>
        <w:spacing w:before="0" w:beforeAutospacing="0" w:after="0" w:afterAutospacing="0"/>
        <w:jc w:val="center"/>
      </w:pPr>
      <w:r>
        <w:rPr>
          <w:color w:val="000000"/>
        </w:rPr>
        <w:t>SCHEDULE 2 ENDANGERED SPECIES ACT, 2007 </w:t>
      </w:r>
    </w:p>
    <w:p w14:paraId="560BC348" w14:textId="77777777" w:rsidR="00137CEA" w:rsidRDefault="00137CEA" w:rsidP="00137CEA">
      <w:pPr>
        <w:pStyle w:val="NormalWeb"/>
        <w:shd w:val="clear" w:color="auto" w:fill="FFFFFF"/>
        <w:spacing w:before="0" w:beforeAutospacing="0" w:after="0" w:afterAutospacing="0"/>
      </w:pPr>
      <w:r>
        <w:rPr>
          <w:color w:val="000000"/>
        </w:rPr>
        <w:t>1 (2)  Paragraphs 2 and 3 of section 1 of the Act are repealed and the following substituted: </w:t>
      </w:r>
    </w:p>
    <w:p w14:paraId="1C4F7621" w14:textId="77777777" w:rsidR="00137CEA" w:rsidRDefault="00137CEA" w:rsidP="00137CEA">
      <w:pPr>
        <w:pStyle w:val="NormalWeb"/>
        <w:shd w:val="clear" w:color="auto" w:fill="FFFFFF"/>
        <w:spacing w:before="120" w:beforeAutospacing="0" w:after="0" w:afterAutospacing="0"/>
        <w:ind w:left="720"/>
      </w:pPr>
      <w:r>
        <w:rPr>
          <w:color w:val="000000"/>
        </w:rPr>
        <w:t>2. To provide for the protection and conservation of species at risk while taking into account social and economic considerations including the need for sustainable economic growth in Ontario</w:t>
      </w:r>
    </w:p>
    <w:p w14:paraId="2F7382B7" w14:textId="77777777" w:rsidR="00137CEA" w:rsidRDefault="00137CEA" w:rsidP="00137CEA">
      <w:pPr>
        <w:pStyle w:val="NormalWeb"/>
        <w:shd w:val="clear" w:color="auto" w:fill="FFFFFF"/>
        <w:spacing w:before="120" w:beforeAutospacing="0" w:after="0" w:afterAutospacing="0"/>
      </w:pPr>
      <w:r>
        <w:rPr>
          <w:color w:val="000000"/>
        </w:rPr>
        <w:t>2 (3)  The definition of “habitat” in subsection 2 (1) of the Act is repealed and the following substituted: “habitat” means, subject to subsection (3), </w:t>
      </w:r>
    </w:p>
    <w:p w14:paraId="7D6A7F31" w14:textId="77777777" w:rsidR="00137CEA" w:rsidRDefault="00137CEA" w:rsidP="00137CEA">
      <w:pPr>
        <w:pStyle w:val="NormalWeb"/>
        <w:shd w:val="clear" w:color="auto" w:fill="FFFFFF"/>
        <w:spacing w:before="0" w:beforeAutospacing="0" w:after="0" w:afterAutospacing="0"/>
        <w:ind w:firstLine="720"/>
      </w:pPr>
      <w:r>
        <w:rPr>
          <w:color w:val="000000"/>
        </w:rPr>
        <w:t>(a) in respect of an animal species, </w:t>
      </w:r>
    </w:p>
    <w:p w14:paraId="799E7D66" w14:textId="77777777" w:rsidR="00137CEA" w:rsidRDefault="00137CEA" w:rsidP="00137CEA">
      <w:pPr>
        <w:pStyle w:val="NormalWeb"/>
        <w:shd w:val="clear" w:color="auto" w:fill="FFFFFF"/>
        <w:spacing w:before="120" w:beforeAutospacing="0" w:after="0" w:afterAutospacing="0"/>
        <w:ind w:left="1440"/>
      </w:pPr>
      <w:r>
        <w:rPr>
          <w:color w:val="000000"/>
        </w:rPr>
        <w:lastRenderedPageBreak/>
        <w:t>(i) a dwelling-place, such as a den, nest or other similar place, that is occupied or habitually occupied by one or more members of a species for the purposes of breeding, rearing, staging, wintering or hibernating, and </w:t>
      </w:r>
    </w:p>
    <w:p w14:paraId="503DA2F9" w14:textId="77777777" w:rsidR="00137CEA" w:rsidRDefault="00137CEA" w:rsidP="00137CEA">
      <w:pPr>
        <w:pStyle w:val="NormalWeb"/>
        <w:shd w:val="clear" w:color="auto" w:fill="FFFFFF"/>
        <w:spacing w:before="0" w:beforeAutospacing="0" w:after="0" w:afterAutospacing="0"/>
        <w:ind w:left="1440"/>
      </w:pPr>
      <w:r>
        <w:rPr>
          <w:color w:val="000000"/>
        </w:rPr>
        <w:t>(ii) the area immediately around a dwelling place described in subclause (i) that is essential for the purposes set out in that subclause. </w:t>
      </w:r>
    </w:p>
    <w:p w14:paraId="67A1FA1B" w14:textId="77777777" w:rsidR="00137CEA" w:rsidRDefault="00137CEA" w:rsidP="00137CEA">
      <w:pPr>
        <w:pStyle w:val="NormalWeb"/>
        <w:shd w:val="clear" w:color="auto" w:fill="FFFFFF"/>
        <w:spacing w:before="120" w:beforeAutospacing="0" w:after="0" w:afterAutospacing="0"/>
      </w:pPr>
    </w:p>
    <w:p w14:paraId="4C04BADE" w14:textId="77777777" w:rsidR="00137CEA" w:rsidRDefault="00137CEA" w:rsidP="00137CEA">
      <w:pPr>
        <w:pStyle w:val="NormalWeb"/>
        <w:spacing w:before="0" w:beforeAutospacing="0" w:after="0" w:afterAutospacing="0"/>
      </w:pPr>
      <w:r>
        <w:rPr>
          <w:b/>
          <w:bCs/>
          <w:i/>
          <w:iCs/>
          <w:color w:val="000000"/>
        </w:rPr>
        <w:t>Criminal Code</w:t>
      </w:r>
      <w:r>
        <w:rPr>
          <w:b/>
          <w:bCs/>
          <w:color w:val="000000"/>
        </w:rPr>
        <w:t>, RSC 1985, c C 46</w:t>
      </w:r>
    </w:p>
    <w:p w14:paraId="6C81C76A" w14:textId="77777777" w:rsidR="00137CEA" w:rsidRDefault="00137CEA" w:rsidP="00137CEA">
      <w:pPr>
        <w:pStyle w:val="NormalWeb"/>
        <w:shd w:val="clear" w:color="auto" w:fill="FFFFFF"/>
        <w:spacing w:before="0" w:beforeAutospacing="0" w:after="0" w:afterAutospacing="0"/>
      </w:pPr>
    </w:p>
    <w:p w14:paraId="49CC1582" w14:textId="77777777" w:rsidR="00137CEA" w:rsidRDefault="00137CEA" w:rsidP="00137CEA">
      <w:pPr>
        <w:pStyle w:val="NormalWeb"/>
        <w:shd w:val="clear" w:color="auto" w:fill="FFFFFF"/>
        <w:spacing w:before="0" w:beforeAutospacing="0" w:after="160" w:afterAutospacing="0"/>
      </w:pPr>
      <w:r>
        <w:rPr>
          <w:b/>
          <w:bCs/>
          <w:color w:val="000000"/>
        </w:rPr>
        <w:t>686</w:t>
      </w:r>
      <w:r>
        <w:rPr>
          <w:color w:val="333333"/>
        </w:rPr>
        <w:t xml:space="preserve"> </w:t>
      </w:r>
      <w:r>
        <w:rPr>
          <w:b/>
          <w:bCs/>
          <w:color w:val="000000"/>
        </w:rPr>
        <w:t>(1)</w:t>
      </w:r>
      <w:r>
        <w:rPr>
          <w:color w:val="333333"/>
        </w:rPr>
        <w:t xml:space="preserve"> On the hearing of an appeal against a conviction or against a verdict that the appellant is unfit to stand trial or not criminally responsible on account of mental disorder, the court of appeal</w:t>
      </w:r>
    </w:p>
    <w:p w14:paraId="3561FA90" w14:textId="77777777" w:rsidR="00137CEA" w:rsidRDefault="00137CEA" w:rsidP="00137CEA">
      <w:pPr>
        <w:pStyle w:val="NormalWeb"/>
        <w:numPr>
          <w:ilvl w:val="0"/>
          <w:numId w:val="9"/>
        </w:numPr>
        <w:shd w:val="clear" w:color="auto" w:fill="FFFFFF"/>
        <w:spacing w:before="0" w:beforeAutospacing="0" w:after="0" w:afterAutospacing="0"/>
        <w:textAlignment w:val="baseline"/>
        <w:rPr>
          <w:rFonts w:ascii="Arial" w:hAnsi="Arial" w:cs="Arial"/>
          <w:color w:val="333333"/>
        </w:rPr>
      </w:pPr>
      <w:r>
        <w:rPr>
          <w:b/>
          <w:bCs/>
          <w:color w:val="000000"/>
        </w:rPr>
        <w:t>(a)</w:t>
      </w:r>
      <w:r>
        <w:rPr>
          <w:color w:val="333333"/>
        </w:rPr>
        <w:t xml:space="preserve"> may allow the appeal where it is of the opinion that</w:t>
      </w:r>
    </w:p>
    <w:p w14:paraId="0AD63417" w14:textId="77777777" w:rsidR="00137CEA" w:rsidRDefault="00137CEA" w:rsidP="00137CEA">
      <w:pPr>
        <w:pStyle w:val="NormalWeb"/>
        <w:numPr>
          <w:ilvl w:val="1"/>
          <w:numId w:val="9"/>
        </w:numPr>
        <w:spacing w:before="0" w:beforeAutospacing="0" w:after="0" w:afterAutospacing="0"/>
        <w:textAlignment w:val="baseline"/>
        <w:rPr>
          <w:rFonts w:ascii="Arial" w:hAnsi="Arial" w:cs="Arial"/>
          <w:color w:val="333333"/>
        </w:rPr>
      </w:pPr>
      <w:r>
        <w:rPr>
          <w:b/>
          <w:bCs/>
          <w:color w:val="000000"/>
        </w:rPr>
        <w:t>(i)</w:t>
      </w:r>
      <w:r>
        <w:rPr>
          <w:color w:val="333333"/>
        </w:rPr>
        <w:t xml:space="preserve"> the verdict should be set aside on the ground that it is unreasonable or cannot be supported by the evidence</w:t>
      </w:r>
    </w:p>
    <w:p w14:paraId="56991EA9" w14:textId="77777777" w:rsidR="00137CEA" w:rsidRDefault="00137CEA" w:rsidP="00137CEA">
      <w:pPr>
        <w:numPr>
          <w:ilvl w:val="1"/>
          <w:numId w:val="9"/>
        </w:numPr>
        <w:spacing w:before="100" w:beforeAutospacing="1" w:after="100" w:afterAutospacing="1"/>
        <w:textAlignment w:val="baseline"/>
        <w:rPr>
          <w:color w:val="333333"/>
        </w:rPr>
      </w:pPr>
    </w:p>
    <w:p w14:paraId="4B3A1E19" w14:textId="77777777" w:rsidR="00137CEA" w:rsidRDefault="00137CEA" w:rsidP="00137CEA"/>
    <w:p w14:paraId="0FA183B8" w14:textId="77777777" w:rsidR="00137CEA" w:rsidRDefault="00137CEA" w:rsidP="00137CEA">
      <w:pPr>
        <w:pStyle w:val="NormalWeb"/>
        <w:spacing w:before="0" w:beforeAutospacing="0" w:after="0" w:afterAutospacing="0"/>
      </w:pPr>
      <w:r>
        <w:rPr>
          <w:b/>
          <w:bCs/>
          <w:i/>
          <w:iCs/>
          <w:color w:val="000000"/>
        </w:rPr>
        <w:t>Conservation Authorities Act</w:t>
      </w:r>
      <w:r>
        <w:rPr>
          <w:b/>
          <w:bCs/>
          <w:color w:val="000000"/>
        </w:rPr>
        <w:t>, RSO 1990, c C 27</w:t>
      </w:r>
    </w:p>
    <w:p w14:paraId="4246ED21" w14:textId="77777777" w:rsidR="00137CEA" w:rsidRDefault="00137CEA" w:rsidP="00137CEA">
      <w:pPr>
        <w:pStyle w:val="NormalWeb"/>
        <w:spacing w:before="0" w:beforeAutospacing="0" w:after="0" w:afterAutospacing="0"/>
      </w:pPr>
      <w:r>
        <w:rPr>
          <w:b/>
          <w:bCs/>
          <w:color w:val="222222"/>
        </w:rPr>
        <w:t>Permits</w:t>
      </w:r>
    </w:p>
    <w:p w14:paraId="3603E92D" w14:textId="77777777" w:rsidR="00137CEA" w:rsidRDefault="00137CEA" w:rsidP="00137CEA">
      <w:pPr>
        <w:pStyle w:val="NormalWeb"/>
        <w:shd w:val="clear" w:color="auto" w:fill="FFFFFF"/>
        <w:spacing w:before="0" w:beforeAutospacing="0" w:after="0" w:afterAutospacing="0"/>
        <w:jc w:val="both"/>
      </w:pPr>
    </w:p>
    <w:p w14:paraId="4F152330" w14:textId="77777777" w:rsidR="00137CEA" w:rsidRDefault="00137CEA" w:rsidP="00137CEA">
      <w:pPr>
        <w:pStyle w:val="NormalWeb"/>
        <w:shd w:val="clear" w:color="auto" w:fill="FFFFFF"/>
        <w:spacing w:before="0" w:beforeAutospacing="0" w:after="0" w:afterAutospacing="0"/>
        <w:jc w:val="both"/>
      </w:pPr>
      <w:r>
        <w:rPr>
          <w:b/>
          <w:bCs/>
          <w:color w:val="1A1A1A"/>
        </w:rPr>
        <w:t xml:space="preserve">28.1 </w:t>
      </w:r>
      <w:r>
        <w:rPr>
          <w:color w:val="1A1A1A"/>
        </w:rPr>
        <w:t>(1) An authority may issue a permit to a person to engage in an activity specified in the permit that would otherwise be prohibited by section 28, if, in the opinion of the authority,</w:t>
      </w:r>
    </w:p>
    <w:p w14:paraId="78F3B8FB" w14:textId="77777777" w:rsidR="00137CEA" w:rsidRDefault="00137CEA" w:rsidP="00137CEA">
      <w:pPr>
        <w:pStyle w:val="NormalWeb"/>
        <w:shd w:val="clear" w:color="auto" w:fill="FFFFFF"/>
        <w:spacing w:before="120" w:beforeAutospacing="0" w:after="0" w:afterAutospacing="0"/>
        <w:ind w:left="540"/>
        <w:jc w:val="both"/>
      </w:pPr>
      <w:r>
        <w:rPr>
          <w:color w:val="1A1A1A"/>
        </w:rPr>
        <w:t>(a) the activity is not likely to affect the control of flooding, erosion, dynamic beaches or unstable soil or bedrock;</w:t>
      </w:r>
    </w:p>
    <w:p w14:paraId="390C7F81" w14:textId="77777777" w:rsidR="00137CEA" w:rsidRDefault="00137CEA" w:rsidP="00137CEA">
      <w:pPr>
        <w:pStyle w:val="NormalWeb"/>
        <w:shd w:val="clear" w:color="auto" w:fill="FFFFFF"/>
        <w:spacing w:before="0" w:beforeAutospacing="0" w:after="0" w:afterAutospacing="0"/>
        <w:ind w:left="540"/>
        <w:jc w:val="both"/>
      </w:pPr>
      <w:r>
        <w:rPr>
          <w:color w:val="1A1A1A"/>
        </w:rPr>
        <w:t>(b) the activity is not likely to create conditions or circumstances that, in the event of a natural hazard, might jeopardize the health or safety of persons or result in the damage or destruction of property; and</w:t>
      </w:r>
    </w:p>
    <w:p w14:paraId="2F843754" w14:textId="77777777" w:rsidR="00137CEA" w:rsidRDefault="00137CEA" w:rsidP="00137CEA">
      <w:pPr>
        <w:pStyle w:val="NormalWeb"/>
        <w:shd w:val="clear" w:color="auto" w:fill="FFFFFF"/>
        <w:spacing w:before="0" w:beforeAutospacing="0" w:after="0" w:afterAutospacing="0"/>
        <w:ind w:left="540"/>
        <w:jc w:val="both"/>
      </w:pPr>
      <w:r>
        <w:rPr>
          <w:color w:val="1A1A1A"/>
        </w:rPr>
        <w:t xml:space="preserve">(c) any other requirements that may be prescribed by the regulations are met. </w:t>
      </w:r>
      <w:r>
        <w:rPr>
          <w:color w:val="666666"/>
        </w:rPr>
        <w:t>2017, c. 23, Sched. 4, s. 25</w:t>
      </w:r>
      <w:r>
        <w:rPr>
          <w:color w:val="1A1A1A"/>
        </w:rPr>
        <w:t xml:space="preserve">; </w:t>
      </w:r>
      <w:r>
        <w:rPr>
          <w:color w:val="666666"/>
        </w:rPr>
        <w:t>2022, c. 21, Sched. 2, s. 9 (1).</w:t>
      </w:r>
    </w:p>
    <w:p w14:paraId="7E4B6595" w14:textId="77777777" w:rsidR="00137CEA" w:rsidRDefault="00137CEA" w:rsidP="00137CEA">
      <w:pPr>
        <w:spacing w:after="240"/>
      </w:pPr>
    </w:p>
    <w:p w14:paraId="2D84FDB1" w14:textId="77777777" w:rsidR="00137CEA" w:rsidRDefault="00137CEA" w:rsidP="00137CEA">
      <w:pPr>
        <w:pStyle w:val="NormalWeb"/>
        <w:spacing w:before="0" w:beforeAutospacing="0" w:after="0" w:afterAutospacing="0"/>
      </w:pPr>
      <w:r>
        <w:rPr>
          <w:b/>
          <w:bCs/>
          <w:i/>
          <w:iCs/>
          <w:color w:val="000000"/>
        </w:rPr>
        <w:t xml:space="preserve">Endangered Species Act, </w:t>
      </w:r>
      <w:r>
        <w:rPr>
          <w:b/>
          <w:bCs/>
          <w:color w:val="000000"/>
        </w:rPr>
        <w:t>2007, S.O. 2007, c 6 as it appeared in August 2018</w:t>
      </w:r>
    </w:p>
    <w:p w14:paraId="62052CD1" w14:textId="77777777" w:rsidR="00137CEA" w:rsidRDefault="00137CEA" w:rsidP="00137CEA">
      <w:pPr>
        <w:pStyle w:val="NormalWeb"/>
        <w:shd w:val="clear" w:color="auto" w:fill="FFFFFF"/>
        <w:spacing w:before="0" w:beforeAutospacing="0" w:after="0" w:afterAutospacing="0"/>
      </w:pPr>
    </w:p>
    <w:p w14:paraId="7B952CA2" w14:textId="77777777" w:rsidR="00137CEA" w:rsidRDefault="00137CEA" w:rsidP="00137CEA">
      <w:pPr>
        <w:pStyle w:val="NormalWeb"/>
        <w:shd w:val="clear" w:color="auto" w:fill="FFFFFF"/>
        <w:spacing w:before="0" w:beforeAutospacing="0" w:after="0" w:afterAutospacing="0"/>
      </w:pPr>
      <w:r>
        <w:rPr>
          <w:b/>
          <w:bCs/>
          <w:color w:val="1A1A1A"/>
        </w:rPr>
        <w:t>Purposes</w:t>
      </w:r>
    </w:p>
    <w:p w14:paraId="24DE3379" w14:textId="77777777" w:rsidR="00137CEA" w:rsidRDefault="00137CEA" w:rsidP="00137CEA">
      <w:pPr>
        <w:pStyle w:val="NormalWeb"/>
        <w:shd w:val="clear" w:color="auto" w:fill="FFFFFF"/>
        <w:spacing w:before="0" w:beforeAutospacing="0" w:after="0" w:afterAutospacing="0"/>
        <w:jc w:val="both"/>
      </w:pPr>
      <w:r>
        <w:rPr>
          <w:b/>
          <w:bCs/>
          <w:color w:val="1A1A1A"/>
        </w:rPr>
        <w:t>1.</w:t>
      </w:r>
      <w:r>
        <w:rPr>
          <w:color w:val="1A1A1A"/>
        </w:rPr>
        <w:t xml:space="preserve"> The purposes of this Act are:</w:t>
      </w:r>
    </w:p>
    <w:p w14:paraId="7B695CBB" w14:textId="77777777" w:rsidR="00137CEA" w:rsidRDefault="00137CEA" w:rsidP="00137CEA">
      <w:pPr>
        <w:pStyle w:val="NormalWeb"/>
        <w:shd w:val="clear" w:color="auto" w:fill="FFFFFF"/>
        <w:spacing w:before="120" w:beforeAutospacing="0" w:after="0" w:afterAutospacing="0"/>
        <w:ind w:left="540"/>
        <w:jc w:val="both"/>
      </w:pPr>
      <w:r>
        <w:rPr>
          <w:color w:val="1A1A1A"/>
        </w:rPr>
        <w:t>1. To identify species at risk based on the best available scientific information, including information obtained from community knowledge and aboriginal traditional knowledge.</w:t>
      </w:r>
    </w:p>
    <w:p w14:paraId="14175F7B" w14:textId="77777777" w:rsidR="00137CEA" w:rsidRDefault="00137CEA" w:rsidP="00137CEA">
      <w:pPr>
        <w:pStyle w:val="NormalWeb"/>
        <w:shd w:val="clear" w:color="auto" w:fill="FFFFFF"/>
        <w:spacing w:before="0" w:beforeAutospacing="0" w:after="0" w:afterAutospacing="0"/>
        <w:ind w:left="540"/>
        <w:jc w:val="both"/>
      </w:pPr>
      <w:r>
        <w:rPr>
          <w:color w:val="1A1A1A"/>
        </w:rPr>
        <w:t>2. To protect species that are at risk and their habitats, and to promote the recovery of species that are at risk.</w:t>
      </w:r>
    </w:p>
    <w:p w14:paraId="5FB6BABD" w14:textId="77777777" w:rsidR="00137CEA" w:rsidRDefault="00137CEA" w:rsidP="00137CEA">
      <w:pPr>
        <w:pStyle w:val="NormalWeb"/>
        <w:shd w:val="clear" w:color="auto" w:fill="FFFFFF"/>
        <w:spacing w:before="0" w:beforeAutospacing="0" w:after="0" w:afterAutospacing="0"/>
        <w:ind w:left="540"/>
        <w:jc w:val="both"/>
      </w:pPr>
      <w:r>
        <w:rPr>
          <w:color w:val="1A1A1A"/>
        </w:rPr>
        <w:t xml:space="preserve">3. To promote stewardship activities to assist in the protection and recovery of species that are at risk.  </w:t>
      </w:r>
      <w:r>
        <w:rPr>
          <w:color w:val="666666"/>
        </w:rPr>
        <w:t>2007, c. 6, s. 1.</w:t>
      </w:r>
    </w:p>
    <w:p w14:paraId="0026C253" w14:textId="77777777" w:rsidR="00137CEA" w:rsidRDefault="00137CEA" w:rsidP="00137CEA">
      <w:pPr>
        <w:pStyle w:val="NormalWeb"/>
        <w:shd w:val="clear" w:color="auto" w:fill="FFFFFF"/>
        <w:spacing w:before="120" w:beforeAutospacing="0" w:after="0" w:afterAutospacing="0"/>
      </w:pPr>
    </w:p>
    <w:p w14:paraId="69F99F93" w14:textId="77777777" w:rsidR="00137CEA" w:rsidRDefault="00137CEA" w:rsidP="00137CEA">
      <w:pPr>
        <w:pStyle w:val="NormalWeb"/>
        <w:shd w:val="clear" w:color="auto" w:fill="FFFFFF"/>
        <w:spacing w:before="0" w:beforeAutospacing="0" w:after="0" w:afterAutospacing="0"/>
      </w:pPr>
      <w:r>
        <w:rPr>
          <w:b/>
          <w:bCs/>
          <w:color w:val="1A1A1A"/>
        </w:rPr>
        <w:t>Definitions</w:t>
      </w:r>
    </w:p>
    <w:p w14:paraId="286BB7CD" w14:textId="77777777" w:rsidR="00137CEA" w:rsidRDefault="00137CEA" w:rsidP="00137CEA">
      <w:pPr>
        <w:pStyle w:val="NormalWeb"/>
        <w:shd w:val="clear" w:color="auto" w:fill="FFFFFF"/>
        <w:spacing w:before="0" w:beforeAutospacing="0" w:after="0" w:afterAutospacing="0"/>
        <w:jc w:val="both"/>
      </w:pPr>
      <w:r>
        <w:rPr>
          <w:b/>
          <w:bCs/>
          <w:color w:val="1A1A1A"/>
        </w:rPr>
        <w:t xml:space="preserve">2. </w:t>
      </w:r>
      <w:r>
        <w:rPr>
          <w:color w:val="1A1A1A"/>
        </w:rPr>
        <w:t xml:space="preserve"> (1) </w:t>
      </w:r>
      <w:r>
        <w:rPr>
          <w:b/>
          <w:bCs/>
          <w:color w:val="1A1A1A"/>
        </w:rPr>
        <w:t> </w:t>
      </w:r>
      <w:r>
        <w:rPr>
          <w:color w:val="1A1A1A"/>
        </w:rPr>
        <w:t>In this Act,</w:t>
      </w:r>
    </w:p>
    <w:p w14:paraId="4776FCD4" w14:textId="77777777" w:rsidR="00137CEA" w:rsidRDefault="00137CEA" w:rsidP="00137CEA">
      <w:pPr>
        <w:pStyle w:val="NormalWeb"/>
        <w:shd w:val="clear" w:color="auto" w:fill="FFFFFF"/>
        <w:spacing w:before="120" w:beforeAutospacing="0" w:after="0" w:afterAutospacing="0"/>
        <w:ind w:left="180"/>
        <w:jc w:val="both"/>
      </w:pPr>
      <w:r>
        <w:rPr>
          <w:color w:val="1A1A1A"/>
        </w:rPr>
        <w:lastRenderedPageBreak/>
        <w:t>“habitat” means,</w:t>
      </w:r>
    </w:p>
    <w:p w14:paraId="3ACE2430" w14:textId="77777777" w:rsidR="00137CEA" w:rsidRDefault="00137CEA" w:rsidP="00137CEA">
      <w:pPr>
        <w:pStyle w:val="NormalWeb"/>
        <w:shd w:val="clear" w:color="auto" w:fill="FFFFFF"/>
        <w:spacing w:before="120" w:beforeAutospacing="0" w:after="0" w:afterAutospacing="0"/>
        <w:ind w:left="540" w:hanging="360"/>
        <w:jc w:val="both"/>
      </w:pPr>
      <w:r>
        <w:rPr>
          <w:color w:val="1A1A1A"/>
        </w:rPr>
        <w:t>(a) with respect to a species of animal, plant or other organism for which a regulation made under clause 55 (1) (a) is in force, the area prescribed by that regulation as the habitat of the species, or</w:t>
      </w:r>
    </w:p>
    <w:p w14:paraId="114F10BE" w14:textId="77777777" w:rsidR="00137CEA" w:rsidRDefault="00137CEA" w:rsidP="00137CEA">
      <w:pPr>
        <w:pStyle w:val="NormalWeb"/>
        <w:shd w:val="clear" w:color="auto" w:fill="FFFFFF"/>
        <w:spacing w:before="0" w:beforeAutospacing="0" w:after="0" w:afterAutospacing="0"/>
        <w:ind w:left="540" w:hanging="360"/>
        <w:jc w:val="both"/>
      </w:pPr>
      <w:r>
        <w:rPr>
          <w:color w:val="1A1A1A"/>
        </w:rPr>
        <w:t>(b) with respect to any other species of animal, plant or other organism, an area on which the species depends, directly or indirectly, to carry on its life processes, including life processes such as reproduction, rearing, hibernation, migration or feeding</w:t>
      </w:r>
    </w:p>
    <w:p w14:paraId="2142118E" w14:textId="77777777" w:rsidR="00137CEA" w:rsidRDefault="00137CEA" w:rsidP="00137CEA">
      <w:pPr>
        <w:pStyle w:val="NormalWeb"/>
        <w:shd w:val="clear" w:color="auto" w:fill="FFFFFF"/>
        <w:spacing w:before="120" w:beforeAutospacing="0" w:after="0" w:afterAutospacing="0"/>
        <w:jc w:val="both"/>
      </w:pPr>
    </w:p>
    <w:p w14:paraId="7EA847D4" w14:textId="77777777" w:rsidR="00137CEA" w:rsidRDefault="00137CEA" w:rsidP="00137CEA">
      <w:pPr>
        <w:pStyle w:val="NormalWeb"/>
        <w:shd w:val="clear" w:color="auto" w:fill="FFFFFF"/>
        <w:spacing w:before="0" w:beforeAutospacing="0" w:after="0" w:afterAutospacing="0"/>
        <w:jc w:val="both"/>
      </w:pPr>
      <w:r>
        <w:rPr>
          <w:b/>
          <w:bCs/>
          <w:color w:val="1A1A1A"/>
        </w:rPr>
        <w:t>Definition of “habitat”, cl. (b)</w:t>
      </w:r>
    </w:p>
    <w:p w14:paraId="18D888A7" w14:textId="77777777" w:rsidR="00137CEA" w:rsidRDefault="00137CEA" w:rsidP="00137CEA">
      <w:pPr>
        <w:pStyle w:val="NormalWeb"/>
        <w:shd w:val="clear" w:color="auto" w:fill="FFFFFF"/>
        <w:spacing w:before="0" w:beforeAutospacing="0" w:after="0" w:afterAutospacing="0"/>
        <w:jc w:val="both"/>
      </w:pPr>
      <w:r>
        <w:rPr>
          <w:color w:val="1A1A1A"/>
        </w:rPr>
        <w:t xml:space="preserve">(2) For greater certainty, clause (b) of the definition of “habitat” in subsection (1) does not include an area where the species formerly occurred or has the potential to be reintroduced unless existing members of the species depend on that area to carry on their life processes.  </w:t>
      </w:r>
      <w:r>
        <w:rPr>
          <w:color w:val="666666"/>
        </w:rPr>
        <w:t>2007, c. 6, s. 2 (2).</w:t>
      </w:r>
    </w:p>
    <w:p w14:paraId="45FF333A" w14:textId="77777777" w:rsidR="00137CEA" w:rsidRDefault="00137CEA" w:rsidP="00137CEA">
      <w:pPr>
        <w:pStyle w:val="NormalWeb"/>
        <w:shd w:val="clear" w:color="auto" w:fill="FFFFFF"/>
        <w:spacing w:before="0" w:beforeAutospacing="0" w:after="0" w:afterAutospacing="0"/>
        <w:jc w:val="both"/>
      </w:pPr>
    </w:p>
    <w:p w14:paraId="6A5D19A0" w14:textId="77777777" w:rsidR="00137CEA" w:rsidRDefault="00137CEA" w:rsidP="00137CEA">
      <w:pPr>
        <w:pStyle w:val="NormalWeb"/>
        <w:shd w:val="clear" w:color="auto" w:fill="FFFFFF"/>
        <w:spacing w:before="0" w:beforeAutospacing="0" w:after="0" w:afterAutospacing="0"/>
        <w:jc w:val="both"/>
      </w:pPr>
      <w:r>
        <w:rPr>
          <w:b/>
          <w:bCs/>
          <w:color w:val="1A1A1A"/>
        </w:rPr>
        <w:t>Prohibition on damage to habitat, etc.</w:t>
      </w:r>
    </w:p>
    <w:p w14:paraId="10ACFC00" w14:textId="77777777" w:rsidR="00137CEA" w:rsidRDefault="00137CEA" w:rsidP="00137CEA">
      <w:pPr>
        <w:pStyle w:val="NormalWeb"/>
        <w:shd w:val="clear" w:color="auto" w:fill="FFFFFF"/>
        <w:spacing w:before="0" w:beforeAutospacing="0" w:after="0" w:afterAutospacing="0"/>
        <w:jc w:val="both"/>
      </w:pPr>
      <w:r>
        <w:rPr>
          <w:b/>
          <w:bCs/>
          <w:color w:val="1A1A1A"/>
        </w:rPr>
        <w:t>10.</w:t>
      </w:r>
      <w:r>
        <w:rPr>
          <w:color w:val="1A1A1A"/>
        </w:rPr>
        <w:t xml:space="preserve"> (1) No person shall damage or destroy the habitat of,</w:t>
      </w:r>
    </w:p>
    <w:p w14:paraId="574C3C8D" w14:textId="77777777" w:rsidR="00137CEA" w:rsidRDefault="00137CEA" w:rsidP="00137CEA">
      <w:pPr>
        <w:pStyle w:val="NormalWeb"/>
        <w:shd w:val="clear" w:color="auto" w:fill="FFFFFF"/>
        <w:spacing w:before="120" w:beforeAutospacing="0" w:after="0" w:afterAutospacing="0"/>
        <w:ind w:left="540"/>
        <w:jc w:val="both"/>
      </w:pPr>
      <w:r>
        <w:rPr>
          <w:color w:val="1A1A1A"/>
        </w:rPr>
        <w:t>(a) a species that is listed on the Species at Risk in Ontario List as an endangered or threatened species; or</w:t>
      </w:r>
    </w:p>
    <w:p w14:paraId="22BBE20A" w14:textId="77777777" w:rsidR="00137CEA" w:rsidRDefault="00137CEA" w:rsidP="00137CEA">
      <w:pPr>
        <w:pStyle w:val="NormalWeb"/>
        <w:shd w:val="clear" w:color="auto" w:fill="FFFFFF"/>
        <w:spacing w:before="0" w:beforeAutospacing="0" w:after="0" w:afterAutospacing="0"/>
        <w:ind w:left="540"/>
        <w:jc w:val="both"/>
      </w:pPr>
      <w:r>
        <w:rPr>
          <w:color w:val="000000"/>
        </w:rPr>
        <w:t>(b) a species that is listed on the Species at Risk in Ontario List as an extirpated species, if the species is prescribed by the regulations for the purpose of this clause.  2007, c. 6, s. 10 (1).</w:t>
      </w:r>
    </w:p>
    <w:p w14:paraId="1CDB53EE" w14:textId="77777777" w:rsidR="00137CEA" w:rsidRDefault="00137CEA" w:rsidP="00137CEA">
      <w:pPr>
        <w:pStyle w:val="NormalWeb"/>
        <w:shd w:val="clear" w:color="auto" w:fill="FFFFFF"/>
        <w:spacing w:before="120" w:beforeAutospacing="0" w:after="0" w:afterAutospacing="0"/>
        <w:jc w:val="both"/>
      </w:pPr>
      <w:r>
        <w:rPr>
          <w:b/>
          <w:bCs/>
          <w:color w:val="1A1A1A"/>
        </w:rPr>
        <w:t>Habitat regulations</w:t>
      </w:r>
    </w:p>
    <w:p w14:paraId="252F9114" w14:textId="77777777" w:rsidR="00137CEA" w:rsidRDefault="00137CEA" w:rsidP="00137CEA">
      <w:pPr>
        <w:pStyle w:val="NormalWeb"/>
        <w:shd w:val="clear" w:color="auto" w:fill="FFFFFF"/>
        <w:spacing w:before="0" w:beforeAutospacing="0" w:after="0" w:afterAutospacing="0"/>
        <w:jc w:val="both"/>
      </w:pPr>
      <w:r>
        <w:rPr>
          <w:b/>
          <w:bCs/>
          <w:color w:val="1A1A1A"/>
        </w:rPr>
        <w:t>56.</w:t>
      </w:r>
      <w:r>
        <w:rPr>
          <w:color w:val="1A1A1A"/>
        </w:rPr>
        <w:t xml:space="preserve"> (1) If a species is listed on the Species at Risk in Ontario List as an endangered or threatened species, the Minister shall, not later than the date described in subsection (2),</w:t>
      </w:r>
    </w:p>
    <w:p w14:paraId="2CDD67E9" w14:textId="77777777" w:rsidR="00137CEA" w:rsidRDefault="00137CEA" w:rsidP="00137CEA">
      <w:pPr>
        <w:pStyle w:val="NormalWeb"/>
        <w:shd w:val="clear" w:color="auto" w:fill="FFFFFF"/>
        <w:spacing w:before="120" w:beforeAutospacing="0" w:after="0" w:afterAutospacing="0"/>
        <w:ind w:left="540"/>
        <w:jc w:val="both"/>
      </w:pPr>
      <w:r>
        <w:rPr>
          <w:color w:val="1A1A1A"/>
        </w:rPr>
        <w:t xml:space="preserve">(a) give notice to the public under section 16 of the </w:t>
      </w:r>
      <w:r>
        <w:rPr>
          <w:i/>
          <w:iCs/>
          <w:color w:val="1A1A1A"/>
        </w:rPr>
        <w:t>Environmental Bill of Rights, 1993</w:t>
      </w:r>
      <w:r>
        <w:rPr>
          <w:color w:val="1A1A1A"/>
        </w:rPr>
        <w:t xml:space="preserve"> of a proposal to make a regulation under clause 55 (1) (a) that would prescribe an area as the habitat of the species</w:t>
      </w:r>
    </w:p>
    <w:p w14:paraId="44E81F99" w14:textId="77777777" w:rsidR="00137CEA" w:rsidRDefault="00137CEA" w:rsidP="00137CEA">
      <w:pPr>
        <w:pStyle w:val="NormalWeb"/>
        <w:shd w:val="clear" w:color="auto" w:fill="FFFFFF"/>
        <w:spacing w:before="120" w:beforeAutospacing="0" w:after="0" w:afterAutospacing="0"/>
        <w:jc w:val="both"/>
      </w:pPr>
    </w:p>
    <w:p w14:paraId="18111523" w14:textId="77777777" w:rsidR="00137CEA" w:rsidRDefault="00137CEA" w:rsidP="00137CEA">
      <w:pPr>
        <w:pStyle w:val="NormalWeb"/>
        <w:spacing w:before="0" w:beforeAutospacing="0" w:after="0" w:afterAutospacing="0"/>
      </w:pPr>
      <w:r>
        <w:rPr>
          <w:b/>
          <w:bCs/>
          <w:i/>
          <w:iCs/>
          <w:color w:val="000000"/>
        </w:rPr>
        <w:t>Environmental Protection Act</w:t>
      </w:r>
      <w:r>
        <w:rPr>
          <w:b/>
          <w:bCs/>
          <w:color w:val="000000"/>
        </w:rPr>
        <w:t>, RSO 1990, c E 19</w:t>
      </w:r>
    </w:p>
    <w:p w14:paraId="6264B069" w14:textId="77777777" w:rsidR="00137CEA" w:rsidRDefault="00137CEA" w:rsidP="00137CEA">
      <w:pPr>
        <w:pStyle w:val="NormalWeb"/>
        <w:shd w:val="clear" w:color="auto" w:fill="FFFFFF"/>
        <w:spacing w:before="0" w:beforeAutospacing="0" w:after="0" w:afterAutospacing="0"/>
      </w:pPr>
    </w:p>
    <w:p w14:paraId="4BD09E09" w14:textId="77777777" w:rsidR="00137CEA" w:rsidRDefault="00137CEA" w:rsidP="00137CEA">
      <w:pPr>
        <w:pStyle w:val="NormalWeb"/>
        <w:shd w:val="clear" w:color="auto" w:fill="FFFFFF"/>
        <w:spacing w:before="0" w:beforeAutospacing="0" w:after="0" w:afterAutospacing="0"/>
      </w:pPr>
      <w:r>
        <w:rPr>
          <w:b/>
          <w:bCs/>
          <w:color w:val="222222"/>
        </w:rPr>
        <w:t>Purpose of Act</w:t>
      </w:r>
    </w:p>
    <w:p w14:paraId="1D4B9CB5" w14:textId="77777777" w:rsidR="00137CEA" w:rsidRDefault="00137CEA" w:rsidP="00137CEA">
      <w:pPr>
        <w:pStyle w:val="NormalWeb"/>
        <w:shd w:val="clear" w:color="auto" w:fill="FFFFFF"/>
        <w:spacing w:before="0" w:beforeAutospacing="0" w:after="0" w:afterAutospacing="0"/>
        <w:jc w:val="both"/>
      </w:pPr>
      <w:r>
        <w:rPr>
          <w:b/>
          <w:bCs/>
          <w:color w:val="1A1A1A"/>
        </w:rPr>
        <w:t xml:space="preserve">3 </w:t>
      </w:r>
      <w:r>
        <w:rPr>
          <w:color w:val="1A1A1A"/>
        </w:rPr>
        <w:t xml:space="preserve">(1) The purpose of this Act is to provide for the protection and conservation of the natural environment.  </w:t>
      </w:r>
      <w:r>
        <w:rPr>
          <w:color w:val="666666"/>
        </w:rPr>
        <w:t>R.S.O. 1990, c. E.19, s. 3.</w:t>
      </w:r>
    </w:p>
    <w:p w14:paraId="78C792A2" w14:textId="77777777" w:rsidR="00137CEA" w:rsidRDefault="00137CEA" w:rsidP="00137CEA">
      <w:pPr>
        <w:pStyle w:val="NormalWeb"/>
        <w:shd w:val="clear" w:color="auto" w:fill="FFFFFF"/>
        <w:spacing w:before="0" w:beforeAutospacing="0" w:after="0" w:afterAutospacing="0"/>
        <w:jc w:val="both"/>
      </w:pPr>
    </w:p>
    <w:p w14:paraId="1B514A9D" w14:textId="77777777" w:rsidR="00137CEA" w:rsidRDefault="00137CEA" w:rsidP="00137CEA">
      <w:pPr>
        <w:pStyle w:val="NormalWeb"/>
        <w:spacing w:before="0" w:beforeAutospacing="0" w:after="0" w:afterAutospacing="0"/>
      </w:pPr>
      <w:r>
        <w:rPr>
          <w:b/>
          <w:bCs/>
          <w:i/>
          <w:iCs/>
          <w:color w:val="000000"/>
        </w:rPr>
        <w:t>Fisheries Act</w:t>
      </w:r>
      <w:r>
        <w:rPr>
          <w:b/>
          <w:bCs/>
          <w:color w:val="000000"/>
        </w:rPr>
        <w:t>, RSC, 1985, c F 14</w:t>
      </w:r>
    </w:p>
    <w:p w14:paraId="18A822F5" w14:textId="77777777" w:rsidR="00137CEA" w:rsidRDefault="00137CEA" w:rsidP="00137CEA">
      <w:pPr>
        <w:pStyle w:val="NormalWeb"/>
        <w:shd w:val="clear" w:color="auto" w:fill="FFFFFF"/>
        <w:spacing w:before="0" w:beforeAutospacing="0" w:after="0" w:afterAutospacing="0"/>
      </w:pPr>
    </w:p>
    <w:p w14:paraId="0551D425" w14:textId="77777777" w:rsidR="00137CEA" w:rsidRDefault="00137CEA" w:rsidP="00137CEA">
      <w:pPr>
        <w:pStyle w:val="NormalWeb"/>
        <w:shd w:val="clear" w:color="auto" w:fill="FFFFFF"/>
        <w:spacing w:before="0" w:beforeAutospacing="0" w:after="0" w:afterAutospacing="0"/>
      </w:pPr>
      <w:r>
        <w:rPr>
          <w:b/>
          <w:bCs/>
          <w:color w:val="333333"/>
          <w:shd w:val="clear" w:color="auto" w:fill="FFFFFF"/>
        </w:rPr>
        <w:t>Definitions</w:t>
      </w:r>
    </w:p>
    <w:p w14:paraId="2F443954" w14:textId="77777777" w:rsidR="00137CEA" w:rsidRDefault="00137CEA" w:rsidP="00137CEA">
      <w:pPr>
        <w:pStyle w:val="NormalWeb"/>
        <w:shd w:val="clear" w:color="auto" w:fill="FFFFFF"/>
        <w:spacing w:before="0" w:beforeAutospacing="0" w:after="0" w:afterAutospacing="0"/>
      </w:pPr>
      <w:r>
        <w:rPr>
          <w:b/>
          <w:bCs/>
          <w:i/>
          <w:iCs/>
          <w:color w:val="000000"/>
          <w:shd w:val="clear" w:color="auto" w:fill="FFFFFF"/>
        </w:rPr>
        <w:t>2</w:t>
      </w:r>
      <w:r>
        <w:rPr>
          <w:i/>
          <w:iCs/>
          <w:color w:val="333333"/>
          <w:shd w:val="clear" w:color="auto" w:fill="FFFFFF"/>
        </w:rPr>
        <w:t xml:space="preserve"> </w:t>
      </w:r>
      <w:r>
        <w:rPr>
          <w:b/>
          <w:bCs/>
          <w:i/>
          <w:iCs/>
          <w:color w:val="000000"/>
          <w:shd w:val="clear" w:color="auto" w:fill="FFFFFF"/>
        </w:rPr>
        <w:t>(1)</w:t>
      </w:r>
      <w:r>
        <w:rPr>
          <w:i/>
          <w:iCs/>
          <w:color w:val="333333"/>
          <w:shd w:val="clear" w:color="auto" w:fill="FFFFFF"/>
        </w:rPr>
        <w:t xml:space="preserve"> In this Act,</w:t>
      </w:r>
    </w:p>
    <w:p w14:paraId="67581398" w14:textId="77777777" w:rsidR="00137CEA" w:rsidRDefault="00137CEA" w:rsidP="00137CEA">
      <w:pPr>
        <w:pStyle w:val="NormalWeb"/>
        <w:shd w:val="clear" w:color="auto" w:fill="FFFFFF"/>
        <w:spacing w:before="260" w:beforeAutospacing="0" w:after="160" w:afterAutospacing="0"/>
        <w:ind w:left="720"/>
      </w:pPr>
      <w:r>
        <w:rPr>
          <w:i/>
          <w:iCs/>
          <w:color w:val="333333"/>
          <w:shd w:val="clear" w:color="auto" w:fill="FFFFFF"/>
        </w:rPr>
        <w:t>fish habitat</w:t>
      </w:r>
      <w:r>
        <w:rPr>
          <w:color w:val="333333"/>
          <w:shd w:val="clear" w:color="auto" w:fill="FFFFFF"/>
        </w:rPr>
        <w:t> </w:t>
      </w:r>
      <w:r>
        <w:rPr>
          <w:color w:val="333333"/>
          <w:shd w:val="clear" w:color="auto" w:fill="FFFFFF"/>
        </w:rPr>
        <w:t>means water frequented by fish and any other areas on which fish depend directly or indirectly to carry out their life processes, including spawning grounds and nursery, rearing, food supply and migration areas;</w:t>
      </w:r>
      <w:r>
        <w:rPr>
          <w:color w:val="333333"/>
          <w:shd w:val="clear" w:color="auto" w:fill="FFFFFF"/>
        </w:rPr>
        <w:t> </w:t>
      </w:r>
      <w:r>
        <w:rPr>
          <w:color w:val="333333"/>
          <w:shd w:val="clear" w:color="auto" w:fill="FFFFFF"/>
        </w:rPr>
        <w:t>(</w:t>
      </w:r>
      <w:r>
        <w:rPr>
          <w:i/>
          <w:iCs/>
          <w:color w:val="333333"/>
          <w:shd w:val="clear" w:color="auto" w:fill="FFFFFF"/>
        </w:rPr>
        <w:t>habitat</w:t>
      </w:r>
      <w:r>
        <w:rPr>
          <w:color w:val="333333"/>
          <w:shd w:val="clear" w:color="auto" w:fill="FFFFFF"/>
        </w:rPr>
        <w:t>)</w:t>
      </w:r>
    </w:p>
    <w:p w14:paraId="38F4A462" w14:textId="77777777" w:rsidR="00137CEA" w:rsidRDefault="00137CEA" w:rsidP="00137CEA">
      <w:pPr>
        <w:pStyle w:val="NormalWeb"/>
        <w:shd w:val="clear" w:color="auto" w:fill="FFFFFF"/>
        <w:spacing w:before="260" w:beforeAutospacing="0" w:after="0" w:afterAutospacing="0"/>
      </w:pPr>
    </w:p>
    <w:p w14:paraId="1C53083D" w14:textId="77777777" w:rsidR="00137CEA" w:rsidRDefault="00137CEA" w:rsidP="00137CEA">
      <w:pPr>
        <w:pStyle w:val="NormalWeb"/>
        <w:spacing w:before="200" w:beforeAutospacing="0" w:after="0" w:afterAutospacing="0"/>
        <w:jc w:val="both"/>
      </w:pPr>
      <w:r>
        <w:rPr>
          <w:b/>
          <w:bCs/>
          <w:i/>
          <w:iCs/>
          <w:color w:val="000000"/>
        </w:rPr>
        <w:lastRenderedPageBreak/>
        <w:t>Provincial Offences Act</w:t>
      </w:r>
      <w:r>
        <w:rPr>
          <w:b/>
          <w:bCs/>
          <w:color w:val="000000"/>
        </w:rPr>
        <w:t>, RSO 1990, c P 33</w:t>
      </w:r>
    </w:p>
    <w:p w14:paraId="386FCE53" w14:textId="77777777" w:rsidR="00137CEA" w:rsidRDefault="00137CEA" w:rsidP="00137CEA">
      <w:pPr>
        <w:pStyle w:val="NormalWeb"/>
        <w:shd w:val="clear" w:color="auto" w:fill="FFFFFF"/>
        <w:spacing w:before="0" w:beforeAutospacing="0" w:after="0" w:afterAutospacing="0"/>
        <w:jc w:val="both"/>
      </w:pPr>
    </w:p>
    <w:p w14:paraId="344B088A" w14:textId="77777777" w:rsidR="00137CEA" w:rsidRDefault="00137CEA" w:rsidP="00137CEA">
      <w:pPr>
        <w:pStyle w:val="NormalWeb"/>
        <w:shd w:val="clear" w:color="auto" w:fill="FFFFFF"/>
        <w:spacing w:before="0" w:beforeAutospacing="0" w:after="0" w:afterAutospacing="0"/>
        <w:jc w:val="both"/>
      </w:pPr>
      <w:r>
        <w:rPr>
          <w:b/>
          <w:bCs/>
          <w:color w:val="222222"/>
        </w:rPr>
        <w:t>Orders on appeal against conviction, etc.</w:t>
      </w:r>
    </w:p>
    <w:p w14:paraId="3D936D6D" w14:textId="77777777" w:rsidR="00137CEA" w:rsidRDefault="00137CEA" w:rsidP="00137CEA">
      <w:pPr>
        <w:pStyle w:val="NormalWeb"/>
        <w:shd w:val="clear" w:color="auto" w:fill="FFFFFF"/>
        <w:spacing w:before="0" w:beforeAutospacing="0" w:after="0" w:afterAutospacing="0"/>
        <w:jc w:val="both"/>
      </w:pPr>
      <w:r>
        <w:rPr>
          <w:b/>
          <w:bCs/>
          <w:color w:val="1A1A1A"/>
        </w:rPr>
        <w:t xml:space="preserve">120 </w:t>
      </w:r>
      <w:r>
        <w:rPr>
          <w:color w:val="1A1A1A"/>
        </w:rPr>
        <w:t>(1) On the hearing of an appeal against a conviction or against a finding as to the ability, because of mental disorder, to conduct a defence, the court by order,</w:t>
      </w:r>
    </w:p>
    <w:p w14:paraId="5BD9B986" w14:textId="77777777" w:rsidR="00137CEA" w:rsidRDefault="00137CEA" w:rsidP="00137CEA">
      <w:pPr>
        <w:pStyle w:val="NormalWeb"/>
        <w:shd w:val="clear" w:color="auto" w:fill="FFFFFF"/>
        <w:spacing w:before="120" w:beforeAutospacing="0" w:after="0" w:afterAutospacing="0"/>
        <w:ind w:left="540"/>
        <w:jc w:val="both"/>
      </w:pPr>
      <w:r>
        <w:rPr>
          <w:color w:val="1A1A1A"/>
        </w:rPr>
        <w:t>(a) may allow the appeal where it is of the opinion that,</w:t>
      </w:r>
    </w:p>
    <w:p w14:paraId="4AAF3C18" w14:textId="77777777" w:rsidR="00137CEA" w:rsidRDefault="00137CEA" w:rsidP="00137CEA">
      <w:pPr>
        <w:pStyle w:val="NormalWeb"/>
        <w:shd w:val="clear" w:color="auto" w:fill="FFFFFF"/>
        <w:spacing w:before="120" w:beforeAutospacing="0" w:after="0" w:afterAutospacing="0"/>
        <w:ind w:left="960"/>
        <w:jc w:val="both"/>
      </w:pPr>
      <w:r>
        <w:rPr>
          <w:color w:val="1A1A1A"/>
        </w:rPr>
        <w:t>(i) the finding should be set aside on the ground that it is unreasonable or cannot be supported by the evidence,</w:t>
      </w:r>
    </w:p>
    <w:p w14:paraId="3FA14C92" w14:textId="77777777" w:rsidR="00137CEA" w:rsidRDefault="00137CEA" w:rsidP="00137CEA">
      <w:pPr>
        <w:pStyle w:val="NormalWeb"/>
        <w:shd w:val="clear" w:color="auto" w:fill="FFFFFF"/>
        <w:spacing w:before="280" w:beforeAutospacing="0" w:after="0" w:afterAutospacing="0"/>
        <w:jc w:val="both"/>
      </w:pPr>
      <w:r>
        <w:rPr>
          <w:b/>
          <w:bCs/>
          <w:color w:val="222222"/>
        </w:rPr>
        <w:t>Appeal to Court of Appeal</w:t>
      </w:r>
    </w:p>
    <w:p w14:paraId="2A034D70" w14:textId="77777777" w:rsidR="00137CEA" w:rsidRDefault="00137CEA" w:rsidP="00137CEA">
      <w:pPr>
        <w:pStyle w:val="NormalWeb"/>
        <w:shd w:val="clear" w:color="auto" w:fill="FFFFFF"/>
        <w:spacing w:before="0" w:beforeAutospacing="0" w:after="0" w:afterAutospacing="0"/>
        <w:jc w:val="both"/>
      </w:pPr>
      <w:r>
        <w:rPr>
          <w:b/>
          <w:bCs/>
          <w:color w:val="1A1A1A"/>
        </w:rPr>
        <w:t xml:space="preserve">131 </w:t>
      </w:r>
      <w:r>
        <w:rPr>
          <w:color w:val="1A1A1A"/>
        </w:rPr>
        <w:t>(1) A defendant or the prosecutor or the Attorney General by way of intervention may appeal from the judgment of the court to the Court of Appeal, with leave of a judge of the Court of Appeal on special grounds, upon any question of law alone or as to sentence.</w:t>
      </w:r>
    </w:p>
    <w:p w14:paraId="5BBE97B4" w14:textId="77777777" w:rsidR="00137CEA" w:rsidRDefault="00137CEA" w:rsidP="00137CEA">
      <w:pPr>
        <w:pStyle w:val="NormalWeb"/>
        <w:shd w:val="clear" w:color="auto" w:fill="FFFFFF"/>
        <w:spacing w:before="0" w:beforeAutospacing="0" w:after="0" w:afterAutospacing="0"/>
        <w:jc w:val="both"/>
      </w:pPr>
      <w:r>
        <w:rPr>
          <w:b/>
          <w:bCs/>
          <w:color w:val="222222"/>
        </w:rPr>
        <w:t>Grounds for leave</w:t>
      </w:r>
    </w:p>
    <w:p w14:paraId="39CEC250" w14:textId="77777777" w:rsidR="00137CEA" w:rsidRDefault="00137CEA" w:rsidP="00137CEA">
      <w:pPr>
        <w:pStyle w:val="NormalWeb"/>
        <w:shd w:val="clear" w:color="auto" w:fill="FFFFFF"/>
        <w:spacing w:before="0" w:beforeAutospacing="0" w:after="0" w:afterAutospacing="0"/>
        <w:jc w:val="both"/>
      </w:pPr>
      <w:r>
        <w:rPr>
          <w:color w:val="1A1A1A"/>
        </w:rPr>
        <w:t>(2) No leave to appeal shall be granted under subsection (1) unless the judge of the Court of Appeal considers that in the particular circumstances of the case it is essential in the public interest or for the due administration of justice that leave be granted.</w:t>
      </w:r>
    </w:p>
    <w:p w14:paraId="4C013C72" w14:textId="77777777" w:rsidR="00137CEA" w:rsidRDefault="00137CEA" w:rsidP="00137CEA"/>
    <w:p w14:paraId="6678C2E5" w14:textId="77777777" w:rsidR="00471DA0" w:rsidRPr="00471DA0" w:rsidRDefault="00471DA0" w:rsidP="00471DA0"/>
    <w:p w14:paraId="41D9B118" w14:textId="77777777" w:rsidR="00A85602" w:rsidRDefault="00A85602" w:rsidP="008D22C7"/>
    <w:p w14:paraId="576BC0C1" w14:textId="77777777" w:rsidR="000623D3" w:rsidRDefault="000623D3" w:rsidP="008D22C7">
      <w:pPr>
        <w:sectPr w:rsidR="000623D3" w:rsidSect="00E91273">
          <w:pgSz w:w="12240" w:h="15840" w:code="1"/>
          <w:pgMar w:top="1440" w:right="1440" w:bottom="1440" w:left="1440" w:header="720" w:footer="720" w:gutter="0"/>
          <w:pgNumType w:start="1"/>
          <w:cols w:space="720"/>
          <w:docGrid w:linePitch="360"/>
        </w:sectPr>
      </w:pPr>
    </w:p>
    <w:tbl>
      <w:tblPr>
        <w:tblW w:w="5000" w:type="pct"/>
        <w:tblLayout w:type="fixed"/>
        <w:tblCellMar>
          <w:left w:w="0" w:type="dxa"/>
          <w:right w:w="0" w:type="dxa"/>
        </w:tblCellMar>
        <w:tblLook w:val="0000" w:firstRow="0" w:lastRow="0" w:firstColumn="0" w:lastColumn="0" w:noHBand="0" w:noVBand="0"/>
      </w:tblPr>
      <w:tblGrid>
        <w:gridCol w:w="5941"/>
        <w:gridCol w:w="1105"/>
        <w:gridCol w:w="5914"/>
      </w:tblGrid>
      <w:tr w:rsidR="00663B7A" w14:paraId="64CBB159" w14:textId="77777777" w:rsidTr="00663B7A">
        <w:tc>
          <w:tcPr>
            <w:tcW w:w="5941" w:type="dxa"/>
            <w:tcBorders>
              <w:top w:val="nil"/>
              <w:left w:val="nil"/>
              <w:bottom w:val="nil"/>
              <w:right w:val="nil"/>
            </w:tcBorders>
          </w:tcPr>
          <w:p w14:paraId="5BCEA08D" w14:textId="77777777" w:rsidR="002F3DDD" w:rsidRPr="003F436A" w:rsidRDefault="00E91273" w:rsidP="00C573D9">
            <w:pPr>
              <w:spacing w:line="1" w:lineRule="atLeast"/>
              <w:rPr>
                <w:rStyle w:val="Bold"/>
              </w:rPr>
            </w:pPr>
            <w:r>
              <w:rPr>
                <w:rStyle w:val="Bold"/>
              </w:rPr>
              <w:lastRenderedPageBreak/>
              <w:t>HIS MAJESTY THE KING</w:t>
            </w:r>
          </w:p>
        </w:tc>
        <w:tc>
          <w:tcPr>
            <w:tcW w:w="1105" w:type="dxa"/>
            <w:tcBorders>
              <w:top w:val="nil"/>
              <w:left w:val="nil"/>
              <w:bottom w:val="nil"/>
              <w:right w:val="nil"/>
            </w:tcBorders>
          </w:tcPr>
          <w:p w14:paraId="20F22567" w14:textId="77777777" w:rsidR="00663B7A" w:rsidRDefault="00663B7A" w:rsidP="00663B7A">
            <w:pPr>
              <w:spacing w:line="1" w:lineRule="atLeast"/>
              <w:ind w:left="-479"/>
              <w:jc w:val="center"/>
              <w:rPr>
                <w:b/>
                <w:color w:val="000000"/>
              </w:rPr>
            </w:pPr>
            <w:r>
              <w:rPr>
                <w:b/>
                <w:color w:val="000000"/>
              </w:rPr>
              <w:t>-and-</w:t>
            </w:r>
          </w:p>
        </w:tc>
        <w:tc>
          <w:tcPr>
            <w:tcW w:w="5914" w:type="dxa"/>
            <w:tcBorders>
              <w:top w:val="nil"/>
              <w:left w:val="nil"/>
              <w:bottom w:val="nil"/>
              <w:right w:val="nil"/>
            </w:tcBorders>
          </w:tcPr>
          <w:p w14:paraId="0491B4A4" w14:textId="77777777" w:rsidR="00663B7A" w:rsidRDefault="00E91273" w:rsidP="00216A01">
            <w:pPr>
              <w:spacing w:line="1" w:lineRule="atLeast"/>
              <w:jc w:val="right"/>
              <w:rPr>
                <w:b/>
                <w:color w:val="000000"/>
              </w:rPr>
            </w:pPr>
            <w:r>
              <w:rPr>
                <w:b/>
                <w:color w:val="000000"/>
              </w:rPr>
              <w:t>CONSOLIDATED HOMES</w:t>
            </w:r>
            <w:r w:rsidR="00E052B6" w:rsidRPr="00B30077">
              <w:rPr>
                <w:b/>
                <w:color w:val="000000"/>
              </w:rPr>
              <w:t xml:space="preserve"> LTD.</w:t>
            </w:r>
          </w:p>
        </w:tc>
      </w:tr>
      <w:tr w:rsidR="00663B7A" w14:paraId="41F72212" w14:textId="77777777" w:rsidTr="00663B7A">
        <w:tc>
          <w:tcPr>
            <w:tcW w:w="5941" w:type="dxa"/>
            <w:tcBorders>
              <w:top w:val="nil"/>
              <w:left w:val="nil"/>
              <w:bottom w:val="nil"/>
              <w:right w:val="nil"/>
            </w:tcBorders>
          </w:tcPr>
          <w:p w14:paraId="755F7EE4" w14:textId="77777777" w:rsidR="00663B7A" w:rsidRDefault="00663B7A" w:rsidP="00CE6DCA">
            <w:pPr>
              <w:spacing w:line="1" w:lineRule="atLeast"/>
              <w:rPr>
                <w:color w:val="000000"/>
              </w:rPr>
            </w:pPr>
            <w:r>
              <w:rPr>
                <w:color w:val="000000"/>
              </w:rPr>
              <w:t>APPELLANT</w:t>
            </w:r>
            <w:r>
              <w:rPr>
                <w:color w:val="000000"/>
              </w:rPr>
              <w:br/>
            </w:r>
          </w:p>
        </w:tc>
        <w:tc>
          <w:tcPr>
            <w:tcW w:w="1105" w:type="dxa"/>
            <w:tcBorders>
              <w:top w:val="nil"/>
              <w:left w:val="nil"/>
              <w:bottom w:val="nil"/>
              <w:right w:val="nil"/>
            </w:tcBorders>
          </w:tcPr>
          <w:p w14:paraId="6B93EFAE" w14:textId="77777777" w:rsidR="00663B7A" w:rsidRDefault="00663B7A" w:rsidP="001339D1">
            <w:pPr>
              <w:spacing w:line="1" w:lineRule="atLeast"/>
              <w:jc w:val="center"/>
              <w:rPr>
                <w:color w:val="000000"/>
              </w:rPr>
            </w:pPr>
          </w:p>
        </w:tc>
        <w:tc>
          <w:tcPr>
            <w:tcW w:w="5914" w:type="dxa"/>
            <w:tcBorders>
              <w:top w:val="nil"/>
              <w:left w:val="nil"/>
              <w:bottom w:val="nil"/>
              <w:right w:val="nil"/>
            </w:tcBorders>
          </w:tcPr>
          <w:p w14:paraId="255ED3FC" w14:textId="77777777" w:rsidR="00663B7A" w:rsidRDefault="00CE6DCA" w:rsidP="00CE6DCA">
            <w:pPr>
              <w:spacing w:line="1" w:lineRule="atLeast"/>
              <w:jc w:val="right"/>
              <w:rPr>
                <w:color w:val="000000"/>
              </w:rPr>
            </w:pPr>
            <w:r>
              <w:rPr>
                <w:color w:val="000000"/>
              </w:rPr>
              <w:t>RESPONDENT</w:t>
            </w:r>
            <w:r>
              <w:rPr>
                <w:color w:val="000000"/>
              </w:rPr>
              <w:br/>
            </w:r>
          </w:p>
        </w:tc>
      </w:tr>
    </w:tbl>
    <w:p w14:paraId="40E2D6DE" w14:textId="77777777" w:rsidR="00663B7A" w:rsidRDefault="00C606E4" w:rsidP="00663B7A">
      <w:pPr>
        <w:spacing w:before="240"/>
        <w:jc w:val="right"/>
        <w:rPr>
          <w:noProof/>
        </w:rPr>
      </w:pPr>
      <w:r>
        <w:t>S.</w:t>
      </w:r>
      <w:r w:rsidR="00896769">
        <w:t>E.M.C.C. File Number: 0</w:t>
      </w:r>
      <w:r w:rsidR="00E052B6">
        <w:t>2</w:t>
      </w:r>
      <w:r w:rsidR="00896769">
        <w:t>-</w:t>
      </w:r>
      <w:r w:rsidR="00E91273">
        <w:t>14</w:t>
      </w:r>
      <w:r w:rsidR="00896769">
        <w:t>-</w:t>
      </w:r>
      <w:r w:rsidR="00915A04">
        <w:t>202</w:t>
      </w:r>
      <w:r w:rsidR="00E91273">
        <w:t>6</w:t>
      </w:r>
    </w:p>
    <w:tbl>
      <w:tblPr>
        <w:tblW w:w="13230" w:type="dxa"/>
        <w:tblInd w:w="-72" w:type="dxa"/>
        <w:tblLayout w:type="fixed"/>
        <w:tblLook w:val="0000" w:firstRow="0" w:lastRow="0" w:firstColumn="0" w:lastColumn="0" w:noHBand="0" w:noVBand="0"/>
      </w:tblPr>
      <w:tblGrid>
        <w:gridCol w:w="8729"/>
        <w:gridCol w:w="4501"/>
      </w:tblGrid>
      <w:tr w:rsidR="00663B7A" w14:paraId="3CD85F2C" w14:textId="77777777" w:rsidTr="00EF7E0B">
        <w:trPr>
          <w:cantSplit/>
          <w:trHeight w:val="1065"/>
        </w:trPr>
        <w:tc>
          <w:tcPr>
            <w:tcW w:w="8729" w:type="dxa"/>
            <w:vMerge w:val="restart"/>
            <w:tcBorders>
              <w:top w:val="single" w:sz="6" w:space="0" w:color="auto"/>
              <w:left w:val="nil"/>
              <w:bottom w:val="nil"/>
              <w:right w:val="nil"/>
            </w:tcBorders>
          </w:tcPr>
          <w:p w14:paraId="5959E3AE" w14:textId="77777777" w:rsidR="00663B7A" w:rsidRDefault="00663B7A" w:rsidP="001339D1">
            <w:pPr>
              <w:rPr>
                <w:noProof/>
              </w:rPr>
            </w:pPr>
          </w:p>
          <w:p w14:paraId="68806CAA" w14:textId="77777777" w:rsidR="00663B7A" w:rsidRDefault="00663B7A" w:rsidP="001339D1">
            <w:pPr>
              <w:rPr>
                <w:noProof/>
              </w:rPr>
            </w:pPr>
          </w:p>
        </w:tc>
        <w:tc>
          <w:tcPr>
            <w:tcW w:w="4501" w:type="dxa"/>
            <w:tcBorders>
              <w:top w:val="single" w:sz="6" w:space="0" w:color="auto"/>
              <w:left w:val="single" w:sz="6" w:space="0" w:color="auto"/>
              <w:bottom w:val="double" w:sz="4" w:space="0" w:color="auto"/>
              <w:right w:val="nil"/>
            </w:tcBorders>
          </w:tcPr>
          <w:p w14:paraId="21D5A986" w14:textId="77777777" w:rsidR="00663B7A" w:rsidRPr="00287298" w:rsidRDefault="00663B7A" w:rsidP="00031F01">
            <w:pPr>
              <w:jc w:val="center"/>
              <w:rPr>
                <w:noProof/>
              </w:rPr>
            </w:pPr>
          </w:p>
          <w:p w14:paraId="1CD54582" w14:textId="77777777" w:rsidR="00663B7A" w:rsidRPr="00287298" w:rsidRDefault="00663B7A" w:rsidP="00031F01">
            <w:pPr>
              <w:pStyle w:val="TitleBold"/>
              <w:rPr>
                <w:b w:val="0"/>
                <w:sz w:val="24"/>
              </w:rPr>
            </w:pPr>
            <w:r w:rsidRPr="00287298">
              <w:rPr>
                <w:b w:val="0"/>
                <w:sz w:val="24"/>
              </w:rPr>
              <w:t>SUPREME ENVIRONMENTAL MOOT COURT OF CANADA</w:t>
            </w:r>
            <w:r w:rsidRPr="00287298">
              <w:rPr>
                <w:noProof/>
                <w:sz w:val="24"/>
              </w:rPr>
              <w:br/>
            </w:r>
          </w:p>
        </w:tc>
      </w:tr>
      <w:tr w:rsidR="00663B7A" w14:paraId="4742C1B2" w14:textId="77777777" w:rsidTr="00EF6D27">
        <w:trPr>
          <w:cantSplit/>
          <w:trHeight w:val="1221"/>
        </w:trPr>
        <w:tc>
          <w:tcPr>
            <w:tcW w:w="8729" w:type="dxa"/>
            <w:vMerge/>
            <w:tcBorders>
              <w:top w:val="nil"/>
              <w:left w:val="nil"/>
              <w:bottom w:val="nil"/>
              <w:right w:val="nil"/>
            </w:tcBorders>
          </w:tcPr>
          <w:p w14:paraId="53C7F7BF" w14:textId="77777777" w:rsidR="00663B7A" w:rsidRDefault="00663B7A" w:rsidP="001339D1">
            <w:pPr>
              <w:rPr>
                <w:noProof/>
              </w:rPr>
            </w:pPr>
          </w:p>
        </w:tc>
        <w:tc>
          <w:tcPr>
            <w:tcW w:w="4501" w:type="dxa"/>
            <w:tcBorders>
              <w:top w:val="double" w:sz="4" w:space="0" w:color="auto"/>
              <w:left w:val="single" w:sz="6" w:space="0" w:color="auto"/>
              <w:bottom w:val="double" w:sz="4" w:space="0" w:color="auto"/>
              <w:right w:val="nil"/>
            </w:tcBorders>
          </w:tcPr>
          <w:p w14:paraId="39782F48" w14:textId="77777777" w:rsidR="00663B7A" w:rsidRPr="00287298" w:rsidRDefault="00663B7A" w:rsidP="00031F01">
            <w:pPr>
              <w:jc w:val="center"/>
              <w:rPr>
                <w:b/>
                <w:bCs/>
                <w:noProof/>
              </w:rPr>
            </w:pPr>
          </w:p>
          <w:p w14:paraId="52BAAF47" w14:textId="77777777" w:rsidR="00663B7A" w:rsidRPr="00287298" w:rsidRDefault="00663B7A" w:rsidP="00031F01">
            <w:pPr>
              <w:jc w:val="center"/>
              <w:rPr>
                <w:b/>
                <w:bCs/>
                <w:noProof/>
              </w:rPr>
            </w:pPr>
            <w:r w:rsidRPr="00287298">
              <w:rPr>
                <w:b/>
                <w:bCs/>
                <w:noProof/>
              </w:rPr>
              <w:t xml:space="preserve">FACTUM OF THE </w:t>
            </w:r>
            <w:r w:rsidR="00EE2290" w:rsidRPr="00287298">
              <w:rPr>
                <w:b/>
                <w:bCs/>
                <w:noProof/>
              </w:rPr>
              <w:t>RESPONDENT</w:t>
            </w:r>
          </w:p>
          <w:p w14:paraId="5EE313A1" w14:textId="77777777" w:rsidR="00C300C4" w:rsidRDefault="00E91273" w:rsidP="001655FD">
            <w:pPr>
              <w:jc w:val="center"/>
              <w:rPr>
                <w:b/>
                <w:bCs/>
                <w:noProof/>
              </w:rPr>
            </w:pPr>
            <w:r>
              <w:rPr>
                <w:b/>
                <w:color w:val="000000"/>
              </w:rPr>
              <w:t>CONSOLIDATED HOMES</w:t>
            </w:r>
            <w:r w:rsidR="00E052B6" w:rsidRPr="00E052B6">
              <w:rPr>
                <w:b/>
                <w:color w:val="000000"/>
              </w:rPr>
              <w:t xml:space="preserve"> LTD.</w:t>
            </w:r>
          </w:p>
          <w:p w14:paraId="4874E35A" w14:textId="77777777" w:rsidR="00890B0B" w:rsidRPr="005902D1" w:rsidRDefault="00890B0B" w:rsidP="001655FD">
            <w:pPr>
              <w:jc w:val="center"/>
              <w:rPr>
                <w:b/>
                <w:bCs/>
                <w:noProof/>
              </w:rPr>
            </w:pPr>
          </w:p>
        </w:tc>
      </w:tr>
      <w:tr w:rsidR="00663B7A" w14:paraId="430D7319" w14:textId="77777777" w:rsidTr="00EE2290">
        <w:trPr>
          <w:trHeight w:val="4155"/>
        </w:trPr>
        <w:tc>
          <w:tcPr>
            <w:tcW w:w="8729" w:type="dxa"/>
            <w:vMerge/>
            <w:tcBorders>
              <w:top w:val="nil"/>
              <w:left w:val="nil"/>
              <w:bottom w:val="nil"/>
              <w:right w:val="nil"/>
            </w:tcBorders>
          </w:tcPr>
          <w:p w14:paraId="670DA6DF" w14:textId="77777777" w:rsidR="00663B7A" w:rsidRDefault="00663B7A" w:rsidP="001339D1">
            <w:pPr>
              <w:rPr>
                <w:noProof/>
              </w:rPr>
            </w:pPr>
          </w:p>
        </w:tc>
        <w:tc>
          <w:tcPr>
            <w:tcW w:w="4501" w:type="dxa"/>
            <w:tcBorders>
              <w:top w:val="double" w:sz="4" w:space="0" w:color="auto"/>
              <w:left w:val="single" w:sz="6" w:space="0" w:color="auto"/>
              <w:bottom w:val="nil"/>
              <w:right w:val="nil"/>
            </w:tcBorders>
          </w:tcPr>
          <w:p w14:paraId="11C7B7B8" w14:textId="77777777" w:rsidR="00663B7A" w:rsidRPr="00287298" w:rsidRDefault="00663B7A" w:rsidP="00031F01">
            <w:pPr>
              <w:pStyle w:val="BodyText"/>
              <w:jc w:val="center"/>
              <w:rPr>
                <w:noProof/>
              </w:rPr>
            </w:pPr>
          </w:p>
          <w:p w14:paraId="35DFC73D" w14:textId="77777777" w:rsidR="00663B7A" w:rsidRPr="00287298" w:rsidRDefault="00663B7A" w:rsidP="00031F01">
            <w:pPr>
              <w:widowControl w:val="0"/>
              <w:ind w:left="96"/>
              <w:jc w:val="center"/>
              <w:rPr>
                <w:b/>
                <w:bCs/>
              </w:rPr>
            </w:pPr>
            <w:r w:rsidRPr="00287298">
              <w:rPr>
                <w:b/>
                <w:bCs/>
              </w:rPr>
              <w:t>TEAM #</w:t>
            </w:r>
            <w:r w:rsidR="005B6694">
              <w:rPr>
                <w:b/>
                <w:bCs/>
              </w:rPr>
              <w:t>06</w:t>
            </w:r>
          </w:p>
          <w:p w14:paraId="64EB4E3E" w14:textId="77777777" w:rsidR="00287298" w:rsidRPr="00287298" w:rsidRDefault="00287298" w:rsidP="00031F01">
            <w:pPr>
              <w:widowControl w:val="0"/>
              <w:ind w:left="96"/>
              <w:jc w:val="center"/>
              <w:rPr>
                <w:b/>
                <w:bCs/>
              </w:rPr>
            </w:pPr>
          </w:p>
          <w:p w14:paraId="32258D9F" w14:textId="1373797E" w:rsidR="00287298" w:rsidRPr="00287298" w:rsidRDefault="009F5FF0" w:rsidP="00287298">
            <w:pPr>
              <w:widowControl w:val="0"/>
              <w:ind w:left="96"/>
              <w:jc w:val="center"/>
              <w:rPr>
                <w:b/>
                <w:bCs/>
              </w:rPr>
            </w:pPr>
            <w:r w:rsidRPr="00287298">
              <w:rPr>
                <w:b/>
                <w:bCs/>
              </w:rPr>
              <w:fldChar w:fldCharType="begin">
                <w:ffData>
                  <w:name w:val="Text5"/>
                  <w:enabled/>
                  <w:calcOnExit w:val="0"/>
                  <w:textInput/>
                </w:ffData>
              </w:fldChar>
            </w:r>
            <w:bookmarkStart w:id="45" w:name="Text5"/>
            <w:r w:rsidR="00287298" w:rsidRPr="00287298">
              <w:rPr>
                <w:b/>
                <w:bCs/>
              </w:rPr>
              <w:instrText xml:space="preserve"> FORMTEXT </w:instrText>
            </w:r>
            <w:r w:rsidRPr="00287298">
              <w:rPr>
                <w:b/>
                <w:bCs/>
              </w:rPr>
            </w:r>
            <w:r w:rsidRPr="00287298">
              <w:rPr>
                <w:b/>
                <w:bCs/>
              </w:rPr>
              <w:fldChar w:fldCharType="separate"/>
            </w:r>
            <w:r w:rsidR="00D60DF6">
              <w:rPr>
                <w:b/>
                <w:bCs/>
                <w:noProof/>
              </w:rPr>
              <w:t> </w:t>
            </w:r>
            <w:r w:rsidR="00D60DF6">
              <w:rPr>
                <w:b/>
                <w:bCs/>
                <w:noProof/>
              </w:rPr>
              <w:t> </w:t>
            </w:r>
            <w:r w:rsidR="00D60DF6">
              <w:rPr>
                <w:b/>
                <w:bCs/>
                <w:noProof/>
              </w:rPr>
              <w:t> </w:t>
            </w:r>
            <w:r w:rsidR="00D60DF6">
              <w:rPr>
                <w:b/>
                <w:bCs/>
                <w:noProof/>
              </w:rPr>
              <w:t> </w:t>
            </w:r>
            <w:r w:rsidR="00D60DF6">
              <w:rPr>
                <w:b/>
                <w:bCs/>
                <w:noProof/>
              </w:rPr>
              <w:t> </w:t>
            </w:r>
            <w:r w:rsidRPr="00287298">
              <w:rPr>
                <w:b/>
                <w:bCs/>
              </w:rPr>
              <w:fldChar w:fldCharType="end"/>
            </w:r>
            <w:bookmarkEnd w:id="45"/>
          </w:p>
          <w:p w14:paraId="65B6D238" w14:textId="488FE757" w:rsidR="00287298" w:rsidRPr="00287298" w:rsidRDefault="009F5FF0" w:rsidP="00287298">
            <w:pPr>
              <w:widowControl w:val="0"/>
              <w:ind w:left="96"/>
              <w:jc w:val="center"/>
              <w:rPr>
                <w:b/>
                <w:bCs/>
              </w:rPr>
            </w:pPr>
            <w:r w:rsidRPr="00287298">
              <w:rPr>
                <w:b/>
                <w:bCs/>
              </w:rPr>
              <w:fldChar w:fldCharType="begin">
                <w:ffData>
                  <w:name w:val="Text5"/>
                  <w:enabled/>
                  <w:calcOnExit w:val="0"/>
                  <w:textInput/>
                </w:ffData>
              </w:fldChar>
            </w:r>
            <w:r w:rsidR="00287298" w:rsidRPr="00287298">
              <w:rPr>
                <w:b/>
                <w:bCs/>
              </w:rPr>
              <w:instrText xml:space="preserve"> FORMTEXT </w:instrText>
            </w:r>
            <w:r w:rsidRPr="00287298">
              <w:rPr>
                <w:b/>
                <w:bCs/>
              </w:rPr>
            </w:r>
            <w:r w:rsidRPr="00287298">
              <w:rPr>
                <w:b/>
                <w:bCs/>
              </w:rPr>
              <w:fldChar w:fldCharType="separate"/>
            </w:r>
            <w:r w:rsidR="00D60DF6">
              <w:rPr>
                <w:b/>
                <w:bCs/>
                <w:noProof/>
              </w:rPr>
              <w:t> </w:t>
            </w:r>
            <w:r w:rsidR="00D60DF6">
              <w:rPr>
                <w:b/>
                <w:bCs/>
                <w:noProof/>
              </w:rPr>
              <w:t> </w:t>
            </w:r>
            <w:r w:rsidR="00D60DF6">
              <w:rPr>
                <w:b/>
                <w:bCs/>
                <w:noProof/>
              </w:rPr>
              <w:t> </w:t>
            </w:r>
            <w:r w:rsidR="00D60DF6">
              <w:rPr>
                <w:b/>
                <w:bCs/>
                <w:noProof/>
              </w:rPr>
              <w:t> </w:t>
            </w:r>
            <w:r w:rsidR="00D60DF6">
              <w:rPr>
                <w:b/>
                <w:bCs/>
                <w:noProof/>
              </w:rPr>
              <w:t> </w:t>
            </w:r>
            <w:r w:rsidRPr="00287298">
              <w:rPr>
                <w:b/>
                <w:bCs/>
              </w:rPr>
              <w:fldChar w:fldCharType="end"/>
            </w:r>
          </w:p>
          <w:p w14:paraId="31AB96CC" w14:textId="5D3440C3" w:rsidR="00287298" w:rsidRPr="00287298" w:rsidRDefault="009F5FF0" w:rsidP="00287298">
            <w:pPr>
              <w:widowControl w:val="0"/>
              <w:ind w:left="96"/>
              <w:jc w:val="center"/>
              <w:rPr>
                <w:bCs/>
              </w:rPr>
            </w:pPr>
            <w:r w:rsidRPr="00287298">
              <w:rPr>
                <w:b/>
                <w:bCs/>
              </w:rPr>
              <w:fldChar w:fldCharType="begin">
                <w:ffData>
                  <w:name w:val="Text5"/>
                  <w:enabled/>
                  <w:calcOnExit w:val="0"/>
                  <w:textInput/>
                </w:ffData>
              </w:fldChar>
            </w:r>
            <w:r w:rsidR="00287298" w:rsidRPr="00287298">
              <w:rPr>
                <w:b/>
                <w:bCs/>
              </w:rPr>
              <w:instrText xml:space="preserve"> FORMTEXT </w:instrText>
            </w:r>
            <w:r w:rsidRPr="00287298">
              <w:rPr>
                <w:b/>
                <w:bCs/>
              </w:rPr>
            </w:r>
            <w:r w:rsidRPr="00287298">
              <w:rPr>
                <w:b/>
                <w:bCs/>
              </w:rPr>
              <w:fldChar w:fldCharType="separate"/>
            </w:r>
            <w:r w:rsidR="00D60DF6">
              <w:rPr>
                <w:b/>
                <w:bCs/>
                <w:noProof/>
              </w:rPr>
              <w:t> </w:t>
            </w:r>
            <w:r w:rsidR="00D60DF6">
              <w:rPr>
                <w:b/>
                <w:bCs/>
                <w:noProof/>
              </w:rPr>
              <w:t> </w:t>
            </w:r>
            <w:r w:rsidR="00D60DF6">
              <w:rPr>
                <w:b/>
                <w:bCs/>
                <w:noProof/>
              </w:rPr>
              <w:t> </w:t>
            </w:r>
            <w:r w:rsidR="00D60DF6">
              <w:rPr>
                <w:b/>
                <w:bCs/>
                <w:noProof/>
              </w:rPr>
              <w:t> </w:t>
            </w:r>
            <w:r w:rsidR="00D60DF6">
              <w:rPr>
                <w:b/>
                <w:bCs/>
                <w:noProof/>
              </w:rPr>
              <w:t> </w:t>
            </w:r>
            <w:r w:rsidRPr="00287298">
              <w:rPr>
                <w:b/>
                <w:bCs/>
              </w:rPr>
              <w:fldChar w:fldCharType="end"/>
            </w:r>
          </w:p>
          <w:p w14:paraId="1EC4CB88" w14:textId="77777777" w:rsidR="00287298" w:rsidRPr="00287298" w:rsidRDefault="00287298" w:rsidP="00287298">
            <w:pPr>
              <w:widowControl w:val="0"/>
              <w:ind w:left="96"/>
              <w:jc w:val="center"/>
              <w:rPr>
                <w:bCs/>
              </w:rPr>
            </w:pPr>
          </w:p>
          <w:p w14:paraId="7EC0D574" w14:textId="77777777" w:rsidR="00287298" w:rsidRPr="00287298" w:rsidRDefault="000B51BA" w:rsidP="00287298">
            <w:pPr>
              <w:widowControl w:val="0"/>
              <w:ind w:left="96"/>
              <w:jc w:val="center"/>
              <w:rPr>
                <w:bCs/>
              </w:rPr>
            </w:pPr>
            <w:r>
              <w:rPr>
                <w:bCs/>
              </w:rPr>
              <w:t>Counsel</w:t>
            </w:r>
            <w:r w:rsidR="00287298" w:rsidRPr="00287298">
              <w:rPr>
                <w:bCs/>
              </w:rPr>
              <w:t xml:space="preserve"> for the Respondent,</w:t>
            </w:r>
          </w:p>
          <w:p w14:paraId="46C9B40F" w14:textId="77777777" w:rsidR="00287298" w:rsidRPr="00287298" w:rsidRDefault="00E91273" w:rsidP="00EF6D27">
            <w:pPr>
              <w:jc w:val="center"/>
              <w:rPr>
                <w:color w:val="000000"/>
              </w:rPr>
            </w:pPr>
            <w:r>
              <w:t>Consolidated Homes</w:t>
            </w:r>
            <w:r w:rsidR="00594299">
              <w:t xml:space="preserve"> Ltd.</w:t>
            </w:r>
          </w:p>
        </w:tc>
      </w:tr>
    </w:tbl>
    <w:p w14:paraId="76056324" w14:textId="3C0AF03C" w:rsidR="00501E7F" w:rsidRPr="00687CFB" w:rsidRDefault="00B30F48" w:rsidP="00EF6D27">
      <w:pPr>
        <w:pStyle w:val="DocsID"/>
        <w:rPr>
          <w:rFonts w:ascii="Arial" w:hAnsi="Arial" w:cs="Arial"/>
        </w:rPr>
      </w:pPr>
      <w:bookmarkStart w:id="46" w:name="docsstamplast"/>
      <w:r w:rsidRPr="00687CFB">
        <w:rPr>
          <w:rFonts w:ascii="Arial" w:hAnsi="Arial" w:cs="Arial"/>
        </w:rPr>
        <w:t>Document #:</w:t>
      </w:r>
      <w:bookmarkEnd w:id="46"/>
      <w:r w:rsidR="00501E7F" w:rsidRPr="00687CFB">
        <w:rPr>
          <w:rFonts w:ascii="Arial" w:hAnsi="Arial" w:cs="Arial"/>
        </w:rPr>
        <w:fldChar w:fldCharType="begin"/>
      </w:r>
      <w:r w:rsidR="00501E7F" w:rsidRPr="00687CFB">
        <w:rPr>
          <w:rFonts w:ascii="Arial" w:hAnsi="Arial" w:cs="Arial"/>
        </w:rPr>
        <w:instrText xml:space="preserve"> DOCVARIABLE ndGeneratedStamp \* MERGEFORMAT </w:instrText>
      </w:r>
      <w:r w:rsidR="00501E7F" w:rsidRPr="00687CFB">
        <w:rPr>
          <w:rFonts w:ascii="Arial" w:hAnsi="Arial" w:cs="Arial"/>
        </w:rPr>
        <w:fldChar w:fldCharType="separate"/>
      </w:r>
      <w:r w:rsidR="00D60DF6">
        <w:rPr>
          <w:rFonts w:ascii="Arial" w:hAnsi="Arial" w:cs="Arial"/>
        </w:rPr>
        <w:t>1377-2084-1499, v. 1</w:t>
      </w:r>
      <w:r w:rsidR="00501E7F" w:rsidRPr="00687CFB">
        <w:rPr>
          <w:rFonts w:ascii="Arial" w:hAnsi="Arial" w:cs="Arial"/>
        </w:rPr>
        <w:fldChar w:fldCharType="end"/>
      </w:r>
    </w:p>
    <w:sectPr w:rsidR="00501E7F" w:rsidRPr="00687CFB" w:rsidSect="000623D3">
      <w:pgSz w:w="15840" w:h="12240" w:orient="landscape" w:code="1"/>
      <w:pgMar w:top="1440" w:right="1440" w:bottom="1440" w:left="144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AC0A" w14:textId="77777777" w:rsidR="003F7459" w:rsidRDefault="003F7459" w:rsidP="00FC1F68">
      <w:r>
        <w:separator/>
      </w:r>
    </w:p>
  </w:endnote>
  <w:endnote w:type="continuationSeparator" w:id="0">
    <w:p w14:paraId="729A8981" w14:textId="77777777" w:rsidR="003F7459" w:rsidRDefault="003F7459" w:rsidP="00FC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F386" w14:textId="77777777" w:rsidR="007C43C1" w:rsidRDefault="007C43C1" w:rsidP="007C43C1">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A620" w14:textId="77777777" w:rsidR="003F7459" w:rsidRDefault="003F7459" w:rsidP="00FC1F68">
      <w:r>
        <w:separator/>
      </w:r>
    </w:p>
  </w:footnote>
  <w:footnote w:type="continuationSeparator" w:id="0">
    <w:p w14:paraId="20169F29" w14:textId="77777777" w:rsidR="003F7459" w:rsidRDefault="003F7459" w:rsidP="00FC1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2613"/>
    <w:multiLevelType w:val="multilevel"/>
    <w:tmpl w:val="64022610"/>
    <w:lvl w:ilvl="0">
      <w:start w:val="1"/>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ascii="Times New Roman" w:hAnsi="Times New Roman" w:hint="default"/>
        <w:b/>
        <w:i w:val="0"/>
        <w:sz w:val="24"/>
      </w:rPr>
    </w:lvl>
    <w:lvl w:ilvl="2">
      <w:start w:val="1"/>
      <w:numFmt w:val="decimal"/>
      <w:lvlText w:val="%3."/>
      <w:lvlJc w:val="left"/>
      <w:pPr>
        <w:ind w:left="1440" w:firstLine="0"/>
      </w:pPr>
      <w:rPr>
        <w:rFonts w:ascii="Times New Roman" w:hAnsi="Times New Roman" w:hint="default"/>
        <w:b/>
        <w:i w:val="0"/>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401F19A1"/>
    <w:multiLevelType w:val="multilevel"/>
    <w:tmpl w:val="934C3EE6"/>
    <w:lvl w:ilvl="0">
      <w:start w:val="1"/>
      <w:numFmt w:val="decimal"/>
      <w:lvlText w:val="%1"/>
      <w:lvlJc w:val="left"/>
      <w:pPr>
        <w:tabs>
          <w:tab w:val="num" w:pos="720"/>
        </w:tabs>
        <w:ind w:left="0" w:firstLine="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0603C9"/>
    <w:multiLevelType w:val="multilevel"/>
    <w:tmpl w:val="CF7AF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B3D79"/>
    <w:multiLevelType w:val="multilevel"/>
    <w:tmpl w:val="F7AC10B6"/>
    <w:lvl w:ilvl="0">
      <w:start w:val="1"/>
      <w:numFmt w:val="decimal"/>
      <w:pStyle w:val="WSFourthLevelParaNum"/>
      <w:lvlText w:val="%1."/>
      <w:lvlJc w:val="left"/>
      <w:pPr>
        <w:tabs>
          <w:tab w:val="num" w:pos="2880"/>
        </w:tabs>
        <w:ind w:left="28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54A04EA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DBC4942"/>
    <w:multiLevelType w:val="multilevel"/>
    <w:tmpl w:val="934C3EE6"/>
    <w:lvl w:ilvl="0">
      <w:start w:val="1"/>
      <w:numFmt w:val="decimal"/>
      <w:lvlText w:val="%1"/>
      <w:lvlJc w:val="left"/>
      <w:pPr>
        <w:tabs>
          <w:tab w:val="num" w:pos="720"/>
        </w:tabs>
        <w:ind w:left="0" w:firstLine="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EE63D9E"/>
    <w:multiLevelType w:val="hybridMultilevel"/>
    <w:tmpl w:val="7FF20DBC"/>
    <w:lvl w:ilvl="0" w:tplc="F860FF0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E35B8D"/>
    <w:multiLevelType w:val="multilevel"/>
    <w:tmpl w:val="E3FCBD22"/>
    <w:lvl w:ilvl="0">
      <w:start w:val="1"/>
      <w:numFmt w:val="decimal"/>
      <w:pStyle w:val="WSParaNum"/>
      <w:lvlText w:val="%1"/>
      <w:lvlJc w:val="left"/>
      <w:pPr>
        <w:tabs>
          <w:tab w:val="num" w:pos="72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DEA3F27"/>
    <w:multiLevelType w:val="multilevel"/>
    <w:tmpl w:val="D680A0B8"/>
    <w:lvl w:ilvl="0">
      <w:start w:val="1"/>
      <w:numFmt w:val="upperRoman"/>
      <w:pStyle w:val="Heading1"/>
      <w:suff w:val="nothing"/>
      <w:lvlText w:val="PART %1 -- "/>
      <w:lvlJc w:val="left"/>
      <w:pPr>
        <w:ind w:left="0" w:firstLine="0"/>
      </w:pPr>
      <w:rPr>
        <w:rFonts w:ascii="Times New Roman" w:hAnsi="Times New Roman" w:hint="default"/>
        <w:b/>
        <w:i w:val="0"/>
        <w:sz w:val="24"/>
      </w:rPr>
    </w:lvl>
    <w:lvl w:ilvl="1">
      <w:start w:val="1"/>
      <w:numFmt w:val="upperLetter"/>
      <w:pStyle w:val="Heading2"/>
      <w:lvlText w:val="%2."/>
      <w:lvlJc w:val="left"/>
      <w:pPr>
        <w:ind w:left="720" w:hanging="720"/>
      </w:pPr>
      <w:rPr>
        <w:rFonts w:ascii="Times New Roman" w:hAnsi="Times New Roman" w:hint="default"/>
        <w:b/>
        <w:i w:val="0"/>
        <w:sz w:val="24"/>
      </w:rPr>
    </w:lvl>
    <w:lvl w:ilvl="2">
      <w:start w:val="1"/>
      <w:numFmt w:val="lowerRoman"/>
      <w:pStyle w:val="Heading3"/>
      <w:lvlText w:val="(%3)"/>
      <w:lvlJc w:val="left"/>
      <w:pPr>
        <w:ind w:left="720" w:hanging="720"/>
      </w:pPr>
      <w:rPr>
        <w:rFonts w:ascii="Times New Roman" w:hAnsi="Times New Roman" w:hint="default"/>
        <w:b w:val="0"/>
        <w:i w:val="0"/>
        <w:sz w:val="24"/>
      </w:rPr>
    </w:lvl>
    <w:lvl w:ilvl="3">
      <w:start w:val="1"/>
      <w:numFmt w:val="lowerLetter"/>
      <w:pStyle w:val="Heading4"/>
      <w:lvlText w:val="(%4)"/>
      <w:lvlJc w:val="left"/>
      <w:pPr>
        <w:ind w:left="720" w:hanging="720"/>
      </w:pPr>
      <w:rPr>
        <w:rFonts w:ascii="Times New Roman" w:hAnsi="Times New Roman" w:hint="default"/>
        <w:b w:val="0"/>
        <w:i/>
        <w:sz w:val="24"/>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630987846">
    <w:abstractNumId w:val="8"/>
  </w:num>
  <w:num w:numId="2" w16cid:durableId="748692426">
    <w:abstractNumId w:val="4"/>
  </w:num>
  <w:num w:numId="3" w16cid:durableId="775254267">
    <w:abstractNumId w:val="3"/>
  </w:num>
  <w:num w:numId="4" w16cid:durableId="2099864798">
    <w:abstractNumId w:val="7"/>
  </w:num>
  <w:num w:numId="5" w16cid:durableId="210194528">
    <w:abstractNumId w:val="0"/>
  </w:num>
  <w:num w:numId="6" w16cid:durableId="1846553340">
    <w:abstractNumId w:val="1"/>
  </w:num>
  <w:num w:numId="7" w16cid:durableId="1924876989">
    <w:abstractNumId w:val="6"/>
  </w:num>
  <w:num w:numId="8" w16cid:durableId="1644044508">
    <w:abstractNumId w:val="5"/>
  </w:num>
  <w:num w:numId="9" w16cid:durableId="673145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77-2084-1499, v. 1"/>
    <w:docVar w:name="ndGeneratedStampLocation" w:val="LastPage"/>
  </w:docVars>
  <w:rsids>
    <w:rsidRoot w:val="00982941"/>
    <w:rsid w:val="00014496"/>
    <w:rsid w:val="00031F01"/>
    <w:rsid w:val="00032B48"/>
    <w:rsid w:val="0003757F"/>
    <w:rsid w:val="00037BFB"/>
    <w:rsid w:val="000548C6"/>
    <w:rsid w:val="000623D3"/>
    <w:rsid w:val="0007098C"/>
    <w:rsid w:val="00073C2E"/>
    <w:rsid w:val="00094363"/>
    <w:rsid w:val="000B51BA"/>
    <w:rsid w:val="000C0550"/>
    <w:rsid w:val="000C1D94"/>
    <w:rsid w:val="000E4220"/>
    <w:rsid w:val="000F036A"/>
    <w:rsid w:val="000F4F93"/>
    <w:rsid w:val="000F5AE4"/>
    <w:rsid w:val="000F7478"/>
    <w:rsid w:val="0011797A"/>
    <w:rsid w:val="00137CEA"/>
    <w:rsid w:val="001655FD"/>
    <w:rsid w:val="00194038"/>
    <w:rsid w:val="001B7635"/>
    <w:rsid w:val="001E2C95"/>
    <w:rsid w:val="00215879"/>
    <w:rsid w:val="00216A01"/>
    <w:rsid w:val="0024187B"/>
    <w:rsid w:val="00250D32"/>
    <w:rsid w:val="00255B92"/>
    <w:rsid w:val="002620F2"/>
    <w:rsid w:val="00277F5D"/>
    <w:rsid w:val="0028382F"/>
    <w:rsid w:val="00287298"/>
    <w:rsid w:val="00292738"/>
    <w:rsid w:val="002B0606"/>
    <w:rsid w:val="002B611C"/>
    <w:rsid w:val="002D0A80"/>
    <w:rsid w:val="002F2981"/>
    <w:rsid w:val="002F3DDD"/>
    <w:rsid w:val="002F5737"/>
    <w:rsid w:val="00334F22"/>
    <w:rsid w:val="003606E4"/>
    <w:rsid w:val="00365D5F"/>
    <w:rsid w:val="003822BD"/>
    <w:rsid w:val="003A1794"/>
    <w:rsid w:val="003B61F7"/>
    <w:rsid w:val="003F7459"/>
    <w:rsid w:val="0044118E"/>
    <w:rsid w:val="00450EC1"/>
    <w:rsid w:val="0047065C"/>
    <w:rsid w:val="00471DA0"/>
    <w:rsid w:val="004A2301"/>
    <w:rsid w:val="00501E7F"/>
    <w:rsid w:val="00541069"/>
    <w:rsid w:val="005527E1"/>
    <w:rsid w:val="00555F8D"/>
    <w:rsid w:val="00573FA1"/>
    <w:rsid w:val="005777BB"/>
    <w:rsid w:val="005902D1"/>
    <w:rsid w:val="00594299"/>
    <w:rsid w:val="00594726"/>
    <w:rsid w:val="005A2005"/>
    <w:rsid w:val="005A7DA6"/>
    <w:rsid w:val="005B1EAF"/>
    <w:rsid w:val="005B6103"/>
    <w:rsid w:val="005B6694"/>
    <w:rsid w:val="006012D8"/>
    <w:rsid w:val="00605BFF"/>
    <w:rsid w:val="0065653A"/>
    <w:rsid w:val="00663B7A"/>
    <w:rsid w:val="00665D50"/>
    <w:rsid w:val="00673995"/>
    <w:rsid w:val="00687CFB"/>
    <w:rsid w:val="006A10CD"/>
    <w:rsid w:val="006A26F3"/>
    <w:rsid w:val="006C3E1D"/>
    <w:rsid w:val="00704A57"/>
    <w:rsid w:val="00712A5A"/>
    <w:rsid w:val="00713CDA"/>
    <w:rsid w:val="00735CEC"/>
    <w:rsid w:val="0074227A"/>
    <w:rsid w:val="007541A0"/>
    <w:rsid w:val="007579FA"/>
    <w:rsid w:val="00763DB5"/>
    <w:rsid w:val="007A3DD2"/>
    <w:rsid w:val="007C01F5"/>
    <w:rsid w:val="007C43C1"/>
    <w:rsid w:val="007C562C"/>
    <w:rsid w:val="007E4C81"/>
    <w:rsid w:val="007E7ED8"/>
    <w:rsid w:val="007F40E0"/>
    <w:rsid w:val="00803711"/>
    <w:rsid w:val="00812A9C"/>
    <w:rsid w:val="00827499"/>
    <w:rsid w:val="00847C80"/>
    <w:rsid w:val="00873575"/>
    <w:rsid w:val="00890B0B"/>
    <w:rsid w:val="00890D19"/>
    <w:rsid w:val="00896769"/>
    <w:rsid w:val="008C00C1"/>
    <w:rsid w:val="008C63D1"/>
    <w:rsid w:val="008D22C7"/>
    <w:rsid w:val="00915A04"/>
    <w:rsid w:val="00922833"/>
    <w:rsid w:val="00946BE7"/>
    <w:rsid w:val="00954B13"/>
    <w:rsid w:val="00975553"/>
    <w:rsid w:val="00982941"/>
    <w:rsid w:val="009C7F6B"/>
    <w:rsid w:val="009D2F81"/>
    <w:rsid w:val="009E3160"/>
    <w:rsid w:val="009E3766"/>
    <w:rsid w:val="009F2C77"/>
    <w:rsid w:val="009F5FF0"/>
    <w:rsid w:val="009F693C"/>
    <w:rsid w:val="00A41BA9"/>
    <w:rsid w:val="00A50678"/>
    <w:rsid w:val="00A65E6B"/>
    <w:rsid w:val="00A82073"/>
    <w:rsid w:val="00A85602"/>
    <w:rsid w:val="00AC4CE5"/>
    <w:rsid w:val="00AC7FFC"/>
    <w:rsid w:val="00AE0B19"/>
    <w:rsid w:val="00AE7A84"/>
    <w:rsid w:val="00B30F48"/>
    <w:rsid w:val="00B56666"/>
    <w:rsid w:val="00B572BA"/>
    <w:rsid w:val="00B607AD"/>
    <w:rsid w:val="00B60A5D"/>
    <w:rsid w:val="00B72782"/>
    <w:rsid w:val="00B77C90"/>
    <w:rsid w:val="00B959CF"/>
    <w:rsid w:val="00BE472A"/>
    <w:rsid w:val="00C300C4"/>
    <w:rsid w:val="00C30230"/>
    <w:rsid w:val="00C460A4"/>
    <w:rsid w:val="00C573D9"/>
    <w:rsid w:val="00C606E4"/>
    <w:rsid w:val="00C63495"/>
    <w:rsid w:val="00C672F4"/>
    <w:rsid w:val="00C6765E"/>
    <w:rsid w:val="00CB1754"/>
    <w:rsid w:val="00CD02D7"/>
    <w:rsid w:val="00CD72AB"/>
    <w:rsid w:val="00CE4218"/>
    <w:rsid w:val="00CE6DCA"/>
    <w:rsid w:val="00CE71A9"/>
    <w:rsid w:val="00D00E65"/>
    <w:rsid w:val="00D60DF6"/>
    <w:rsid w:val="00D678D8"/>
    <w:rsid w:val="00D84AFF"/>
    <w:rsid w:val="00D921E9"/>
    <w:rsid w:val="00D95B28"/>
    <w:rsid w:val="00DB21A8"/>
    <w:rsid w:val="00DD6309"/>
    <w:rsid w:val="00DD6E8C"/>
    <w:rsid w:val="00E052B6"/>
    <w:rsid w:val="00E52FC6"/>
    <w:rsid w:val="00E75969"/>
    <w:rsid w:val="00E91273"/>
    <w:rsid w:val="00EC0A3B"/>
    <w:rsid w:val="00ED199A"/>
    <w:rsid w:val="00EE2290"/>
    <w:rsid w:val="00EE63CE"/>
    <w:rsid w:val="00EF38C0"/>
    <w:rsid w:val="00EF450C"/>
    <w:rsid w:val="00EF6D27"/>
    <w:rsid w:val="00EF7E0B"/>
    <w:rsid w:val="00F045DC"/>
    <w:rsid w:val="00F412BE"/>
    <w:rsid w:val="00F5037F"/>
    <w:rsid w:val="00FA7884"/>
    <w:rsid w:val="00FC1F68"/>
    <w:rsid w:val="00FC4847"/>
    <w:rsid w:val="00FD0F84"/>
    <w:rsid w:val="00FF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74821"/>
  <w15:docId w15:val="{D40198B6-1B3C-4883-9D46-5140377D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90"/>
    <w:rPr>
      <w:sz w:val="24"/>
      <w:szCs w:val="24"/>
    </w:rPr>
  </w:style>
  <w:style w:type="paragraph" w:styleId="Heading1">
    <w:name w:val="heading 1"/>
    <w:basedOn w:val="Normal"/>
    <w:next w:val="Normal"/>
    <w:link w:val="Heading1Char"/>
    <w:uiPriority w:val="9"/>
    <w:qFormat/>
    <w:rsid w:val="00A85602"/>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85602"/>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85602"/>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85602"/>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85602"/>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85602"/>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85602"/>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A85602"/>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85602"/>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F68"/>
    <w:pPr>
      <w:tabs>
        <w:tab w:val="center" w:pos="4513"/>
        <w:tab w:val="right" w:pos="9026"/>
      </w:tabs>
    </w:pPr>
  </w:style>
  <w:style w:type="paragraph" w:styleId="TOC1">
    <w:name w:val="toc 1"/>
    <w:basedOn w:val="Normal"/>
    <w:next w:val="Normal"/>
    <w:autoRedefine/>
    <w:uiPriority w:val="39"/>
    <w:unhideWhenUsed/>
    <w:rsid w:val="005B6103"/>
    <w:pPr>
      <w:tabs>
        <w:tab w:val="right" w:leader="dot" w:pos="9350"/>
      </w:tabs>
    </w:pPr>
  </w:style>
  <w:style w:type="character" w:customStyle="1" w:styleId="HeaderChar">
    <w:name w:val="Header Char"/>
    <w:link w:val="Header"/>
    <w:uiPriority w:val="99"/>
    <w:rsid w:val="00FC1F68"/>
    <w:rPr>
      <w:sz w:val="24"/>
      <w:szCs w:val="24"/>
      <w:lang w:val="en-US" w:eastAsia="en-US"/>
    </w:rPr>
  </w:style>
  <w:style w:type="paragraph" w:styleId="Footer">
    <w:name w:val="footer"/>
    <w:basedOn w:val="Normal"/>
    <w:link w:val="FooterChar"/>
    <w:uiPriority w:val="99"/>
    <w:unhideWhenUsed/>
    <w:rsid w:val="00FC1F68"/>
    <w:pPr>
      <w:tabs>
        <w:tab w:val="center" w:pos="4513"/>
        <w:tab w:val="right" w:pos="9026"/>
      </w:tabs>
    </w:pPr>
  </w:style>
  <w:style w:type="character" w:customStyle="1" w:styleId="FooterChar">
    <w:name w:val="Footer Char"/>
    <w:link w:val="Footer"/>
    <w:uiPriority w:val="99"/>
    <w:rsid w:val="00FC1F68"/>
    <w:rPr>
      <w:sz w:val="24"/>
      <w:szCs w:val="24"/>
      <w:lang w:val="en-US" w:eastAsia="en-US"/>
    </w:rPr>
  </w:style>
  <w:style w:type="character" w:customStyle="1" w:styleId="Heading1Char">
    <w:name w:val="Heading 1 Char"/>
    <w:link w:val="Heading1"/>
    <w:uiPriority w:val="9"/>
    <w:rsid w:val="00A85602"/>
    <w:rPr>
      <w:rFonts w:ascii="Cambria" w:hAnsi="Cambria"/>
      <w:b/>
      <w:bCs/>
      <w:kern w:val="32"/>
      <w:sz w:val="32"/>
      <w:szCs w:val="32"/>
      <w:lang w:val="en-US" w:eastAsia="en-US"/>
    </w:rPr>
  </w:style>
  <w:style w:type="character" w:customStyle="1" w:styleId="Heading2Char">
    <w:name w:val="Heading 2 Char"/>
    <w:link w:val="Heading2"/>
    <w:uiPriority w:val="9"/>
    <w:rsid w:val="00A85602"/>
    <w:rPr>
      <w:rFonts w:ascii="Cambria" w:hAnsi="Cambria"/>
      <w:b/>
      <w:bCs/>
      <w:i/>
      <w:iCs/>
      <w:sz w:val="28"/>
      <w:szCs w:val="28"/>
      <w:lang w:val="en-US" w:eastAsia="en-US"/>
    </w:rPr>
  </w:style>
  <w:style w:type="character" w:customStyle="1" w:styleId="Heading3Char">
    <w:name w:val="Heading 3 Char"/>
    <w:link w:val="Heading3"/>
    <w:uiPriority w:val="9"/>
    <w:rsid w:val="00A85602"/>
    <w:rPr>
      <w:rFonts w:ascii="Cambria" w:hAnsi="Cambria"/>
      <w:b/>
      <w:bCs/>
      <w:sz w:val="26"/>
      <w:szCs w:val="26"/>
      <w:lang w:val="en-US" w:eastAsia="en-US"/>
    </w:rPr>
  </w:style>
  <w:style w:type="character" w:customStyle="1" w:styleId="Heading4Char">
    <w:name w:val="Heading 4 Char"/>
    <w:link w:val="Heading4"/>
    <w:uiPriority w:val="9"/>
    <w:semiHidden/>
    <w:rsid w:val="00A85602"/>
    <w:rPr>
      <w:rFonts w:ascii="Calibri" w:hAnsi="Calibri"/>
      <w:b/>
      <w:bCs/>
      <w:sz w:val="28"/>
      <w:szCs w:val="28"/>
      <w:lang w:val="en-US" w:eastAsia="en-US"/>
    </w:rPr>
  </w:style>
  <w:style w:type="character" w:customStyle="1" w:styleId="Heading5Char">
    <w:name w:val="Heading 5 Char"/>
    <w:link w:val="Heading5"/>
    <w:uiPriority w:val="9"/>
    <w:semiHidden/>
    <w:rsid w:val="00A85602"/>
    <w:rPr>
      <w:rFonts w:ascii="Calibri" w:hAnsi="Calibri"/>
      <w:b/>
      <w:bCs/>
      <w:i/>
      <w:iCs/>
      <w:sz w:val="26"/>
      <w:szCs w:val="26"/>
      <w:lang w:val="en-US" w:eastAsia="en-US"/>
    </w:rPr>
  </w:style>
  <w:style w:type="character" w:customStyle="1" w:styleId="Heading6Char">
    <w:name w:val="Heading 6 Char"/>
    <w:link w:val="Heading6"/>
    <w:uiPriority w:val="9"/>
    <w:semiHidden/>
    <w:rsid w:val="00A85602"/>
    <w:rPr>
      <w:rFonts w:ascii="Calibri" w:hAnsi="Calibri"/>
      <w:b/>
      <w:bCs/>
      <w:sz w:val="22"/>
      <w:szCs w:val="22"/>
      <w:lang w:val="en-US" w:eastAsia="en-US"/>
    </w:rPr>
  </w:style>
  <w:style w:type="character" w:customStyle="1" w:styleId="Heading7Char">
    <w:name w:val="Heading 7 Char"/>
    <w:link w:val="Heading7"/>
    <w:uiPriority w:val="9"/>
    <w:semiHidden/>
    <w:rsid w:val="00A85602"/>
    <w:rPr>
      <w:rFonts w:ascii="Calibri" w:hAnsi="Calibri"/>
      <w:sz w:val="24"/>
      <w:szCs w:val="24"/>
      <w:lang w:val="en-US" w:eastAsia="en-US"/>
    </w:rPr>
  </w:style>
  <w:style w:type="character" w:customStyle="1" w:styleId="Heading8Char">
    <w:name w:val="Heading 8 Char"/>
    <w:link w:val="Heading8"/>
    <w:uiPriority w:val="9"/>
    <w:semiHidden/>
    <w:rsid w:val="00A85602"/>
    <w:rPr>
      <w:rFonts w:ascii="Calibri" w:hAnsi="Calibri"/>
      <w:i/>
      <w:iCs/>
      <w:sz w:val="24"/>
      <w:szCs w:val="24"/>
      <w:lang w:val="en-US" w:eastAsia="en-US"/>
    </w:rPr>
  </w:style>
  <w:style w:type="character" w:customStyle="1" w:styleId="Heading9Char">
    <w:name w:val="Heading 9 Char"/>
    <w:link w:val="Heading9"/>
    <w:uiPriority w:val="9"/>
    <w:semiHidden/>
    <w:rsid w:val="00A85602"/>
    <w:rPr>
      <w:rFonts w:ascii="Cambria" w:hAnsi="Cambria"/>
      <w:sz w:val="22"/>
      <w:szCs w:val="22"/>
      <w:lang w:val="en-US" w:eastAsia="en-US"/>
    </w:rPr>
  </w:style>
  <w:style w:type="paragraph" w:styleId="BodyText">
    <w:name w:val="Body Text"/>
    <w:basedOn w:val="Normal"/>
    <w:link w:val="BodyTextChar"/>
    <w:rsid w:val="00DD6E8C"/>
    <w:pPr>
      <w:spacing w:before="120" w:after="120" w:line="360" w:lineRule="auto"/>
    </w:pPr>
    <w:rPr>
      <w:lang w:val="en-CA"/>
    </w:rPr>
  </w:style>
  <w:style w:type="character" w:customStyle="1" w:styleId="BodyTextChar">
    <w:name w:val="Body Text Char"/>
    <w:link w:val="BodyText"/>
    <w:rsid w:val="00DD6E8C"/>
    <w:rPr>
      <w:sz w:val="24"/>
      <w:szCs w:val="24"/>
      <w:lang w:val="en-CA" w:eastAsia="en-US"/>
    </w:rPr>
  </w:style>
  <w:style w:type="paragraph" w:customStyle="1" w:styleId="WSFourthLevelParaNum">
    <w:name w:val="WS Fourth Level Para Num"/>
    <w:basedOn w:val="BodyText"/>
    <w:rsid w:val="00DD6E8C"/>
    <w:pPr>
      <w:numPr>
        <w:numId w:val="3"/>
      </w:numPr>
      <w:spacing w:line="480" w:lineRule="auto"/>
    </w:pPr>
  </w:style>
  <w:style w:type="character" w:customStyle="1" w:styleId="Italic">
    <w:name w:val="Italic"/>
    <w:rsid w:val="00DD6E8C"/>
    <w:rPr>
      <w:i/>
    </w:rPr>
  </w:style>
  <w:style w:type="paragraph" w:customStyle="1" w:styleId="WSParaNum">
    <w:name w:val="WS ParaNum"/>
    <w:basedOn w:val="BodyText"/>
    <w:rsid w:val="00DD6E8C"/>
    <w:pPr>
      <w:numPr>
        <w:numId w:val="4"/>
      </w:numPr>
    </w:pPr>
  </w:style>
  <w:style w:type="paragraph" w:styleId="TOC2">
    <w:name w:val="toc 2"/>
    <w:basedOn w:val="Normal"/>
    <w:next w:val="Normal"/>
    <w:autoRedefine/>
    <w:uiPriority w:val="39"/>
    <w:unhideWhenUsed/>
    <w:rsid w:val="00F045DC"/>
    <w:pPr>
      <w:ind w:left="240"/>
    </w:pPr>
  </w:style>
  <w:style w:type="paragraph" w:styleId="TOC3">
    <w:name w:val="toc 3"/>
    <w:basedOn w:val="Normal"/>
    <w:next w:val="Normal"/>
    <w:autoRedefine/>
    <w:uiPriority w:val="39"/>
    <w:unhideWhenUsed/>
    <w:rsid w:val="00F045DC"/>
    <w:pPr>
      <w:ind w:left="480"/>
    </w:pPr>
  </w:style>
  <w:style w:type="character" w:customStyle="1" w:styleId="Bold">
    <w:name w:val="Bold"/>
    <w:rsid w:val="00663B7A"/>
    <w:rPr>
      <w:b/>
    </w:rPr>
  </w:style>
  <w:style w:type="paragraph" w:customStyle="1" w:styleId="TitleBold">
    <w:name w:val="Title Bold"/>
    <w:basedOn w:val="Normal"/>
    <w:next w:val="BodyText"/>
    <w:rsid w:val="00663B7A"/>
    <w:pPr>
      <w:jc w:val="center"/>
    </w:pPr>
    <w:rPr>
      <w:b/>
      <w:sz w:val="28"/>
      <w:lang w:val="en-CA"/>
    </w:rPr>
  </w:style>
  <w:style w:type="paragraph" w:customStyle="1" w:styleId="DocsID">
    <w:name w:val="DocsID"/>
    <w:basedOn w:val="Normal"/>
    <w:rsid w:val="00B30F48"/>
    <w:pPr>
      <w:spacing w:before="20"/>
    </w:pPr>
    <w:rPr>
      <w:sz w:val="16"/>
      <w:szCs w:val="20"/>
      <w:lang w:val="en-CA"/>
    </w:rPr>
  </w:style>
  <w:style w:type="paragraph" w:styleId="Revision">
    <w:name w:val="Revision"/>
    <w:hidden/>
    <w:uiPriority w:val="99"/>
    <w:semiHidden/>
    <w:rsid w:val="00915A04"/>
    <w:rPr>
      <w:sz w:val="24"/>
      <w:szCs w:val="24"/>
    </w:rPr>
  </w:style>
  <w:style w:type="paragraph" w:styleId="ListParagraph">
    <w:name w:val="List Paragraph"/>
    <w:basedOn w:val="Normal"/>
    <w:uiPriority w:val="34"/>
    <w:qFormat/>
    <w:rsid w:val="005A2005"/>
    <w:pPr>
      <w:ind w:left="720"/>
      <w:contextualSpacing/>
    </w:pPr>
  </w:style>
  <w:style w:type="paragraph" w:styleId="NormalWeb">
    <w:name w:val="Normal (Web)"/>
    <w:basedOn w:val="Normal"/>
    <w:uiPriority w:val="99"/>
    <w:semiHidden/>
    <w:unhideWhenUsed/>
    <w:rsid w:val="00137CEA"/>
    <w:pPr>
      <w:spacing w:before="100" w:beforeAutospacing="1" w:after="100" w:afterAutospacing="1"/>
    </w:pPr>
    <w:rPr>
      <w:lang w:val="en-CA"/>
    </w:rPr>
  </w:style>
  <w:style w:type="table" w:styleId="TableGrid">
    <w:name w:val="Table Grid"/>
    <w:basedOn w:val="TableNormal"/>
    <w:uiPriority w:val="59"/>
    <w:rsid w:val="0057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8ED27-748E-42DF-ADBB-191DA5E3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8683</Words>
  <Characters>49495</Characters>
  <Application>Microsoft Office Word</Application>
  <DocSecurity>4</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58062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dc:creator>
  <cp:keywords/>
  <dc:description/>
  <cp:lastModifiedBy>Vijai Dasrat</cp:lastModifiedBy>
  <cp:revision>2</cp:revision>
  <cp:lastPrinted>2025-09-16T14:26:00Z</cp:lastPrinted>
  <dcterms:created xsi:type="dcterms:W3CDTF">2026-01-23T21:10:00Z</dcterms:created>
  <dcterms:modified xsi:type="dcterms:W3CDTF">2026-01-23T21:10:00Z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AutoUpdate">
    <vt:lpwstr>LAST</vt:lpwstr>
  </op:property>
  <op:property fmtid="{D5CDD505-2E9C-101B-9397-08002B2CF9AE}" pid="3" name="DocsID">
    <vt:lpwstr>2016903</vt:lpwstr>
  </op:property>
  <op:property fmtid="{D5CDD505-2E9C-101B-9397-08002B2CF9AE}" pid="4" name="ndDocumentId">
    <vt:lpwstr>1377-2084-1499</vt:lpwstr>
  </op:property>
</op:Properties>
</file>