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ACA1" w14:textId="06A03720" w:rsidR="007C01F5" w:rsidRPr="003E027B" w:rsidRDefault="007C01F5" w:rsidP="007C01F5">
      <w:pPr>
        <w:jc w:val="center"/>
      </w:pPr>
      <w:r w:rsidRPr="003E027B">
        <w:t>WILLMS &amp; SHIER ENVIRONMENTAL LAW MOOT COURT COMPETITION</w:t>
      </w:r>
      <w:r w:rsidR="00803711">
        <w:t xml:space="preserve"> </w:t>
      </w:r>
      <w:r w:rsidR="00915A04">
        <w:t>202</w:t>
      </w:r>
      <w:r w:rsidR="00B72782">
        <w:t>6</w:t>
      </w:r>
    </w:p>
    <w:p w14:paraId="73FC59A0" w14:textId="77777777" w:rsidR="007C01F5" w:rsidRDefault="007C01F5" w:rsidP="007C01F5"/>
    <w:p w14:paraId="330757B8" w14:textId="77777777" w:rsidR="007C01F5" w:rsidRPr="003E027B" w:rsidRDefault="007C01F5" w:rsidP="007C01F5"/>
    <w:p w14:paraId="3BBD0CC7" w14:textId="2C2F5A5E" w:rsidR="007C01F5" w:rsidRPr="003E027B" w:rsidRDefault="007C01F5" w:rsidP="007C01F5">
      <w:pPr>
        <w:jc w:val="right"/>
      </w:pPr>
      <w:r w:rsidRPr="003E027B">
        <w:t>S.</w:t>
      </w:r>
      <w:r w:rsidR="00FC1F68">
        <w:t>E.</w:t>
      </w:r>
      <w:r w:rsidRPr="003E027B">
        <w:t>M.C.C. File Number</w:t>
      </w:r>
      <w:r w:rsidR="00292738">
        <w:t>:</w:t>
      </w:r>
      <w:r w:rsidR="00803711">
        <w:t xml:space="preserve"> 0</w:t>
      </w:r>
      <w:r w:rsidR="00915A04">
        <w:t>2</w:t>
      </w:r>
      <w:r w:rsidR="00803711">
        <w:t>-</w:t>
      </w:r>
      <w:r w:rsidR="007541A0">
        <w:t>14</w:t>
      </w:r>
      <w:r w:rsidR="00803711">
        <w:t>-</w:t>
      </w:r>
      <w:r w:rsidR="00915A04">
        <w:t>202</w:t>
      </w:r>
      <w:r w:rsidR="007541A0">
        <w:t>6</w:t>
      </w:r>
    </w:p>
    <w:p w14:paraId="5EA00D73" w14:textId="77777777" w:rsidR="007C01F5" w:rsidRPr="003E027B" w:rsidRDefault="007C01F5" w:rsidP="007C01F5"/>
    <w:p w14:paraId="3D30E8D7"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186167CF" w14:textId="77777777" w:rsidR="007C01F5" w:rsidRPr="003E027B" w:rsidRDefault="007C01F5" w:rsidP="007C01F5">
      <w:pPr>
        <w:jc w:val="center"/>
      </w:pPr>
    </w:p>
    <w:p w14:paraId="6BD832A9" w14:textId="5A4B33D9" w:rsidR="007C01F5" w:rsidRPr="00665D50" w:rsidRDefault="007C01F5" w:rsidP="007C01F5">
      <w:pPr>
        <w:jc w:val="center"/>
        <w:rPr>
          <w:b/>
        </w:rPr>
      </w:pPr>
      <w:r w:rsidRPr="00665D50">
        <w:rPr>
          <w:b/>
        </w:rPr>
        <w:t>(</w:t>
      </w:r>
      <w:r w:rsidR="00915A04" w:rsidRPr="00665D50">
        <w:rPr>
          <w:b/>
        </w:rPr>
        <w:t xml:space="preserve">ON APPEAL FROM THE </w:t>
      </w:r>
      <w:r w:rsidR="007541A0">
        <w:rPr>
          <w:b/>
        </w:rPr>
        <w:t>ONTARIO</w:t>
      </w:r>
      <w:r w:rsidR="00915A04">
        <w:rPr>
          <w:b/>
        </w:rPr>
        <w:t xml:space="preserve"> COURT OF </w:t>
      </w:r>
      <w:r w:rsidR="00B72782">
        <w:rPr>
          <w:b/>
        </w:rPr>
        <w:t>JUSTICE</w:t>
      </w:r>
      <w:r w:rsidRPr="00665D50">
        <w:rPr>
          <w:b/>
        </w:rPr>
        <w:t>)</w:t>
      </w:r>
    </w:p>
    <w:p w14:paraId="601C5BA7" w14:textId="77777777" w:rsidR="007C01F5" w:rsidRPr="003E027B" w:rsidRDefault="007C01F5" w:rsidP="007C01F5"/>
    <w:p w14:paraId="3AF502FD" w14:textId="77777777" w:rsidR="007C01F5" w:rsidRPr="003E027B" w:rsidRDefault="007C01F5" w:rsidP="007C01F5">
      <w:r w:rsidRPr="003E027B">
        <w:t>B E T W E E N:</w:t>
      </w:r>
    </w:p>
    <w:p w14:paraId="64807E46" w14:textId="77777777" w:rsidR="007C01F5" w:rsidRPr="003E027B" w:rsidRDefault="007C01F5" w:rsidP="007C01F5"/>
    <w:p w14:paraId="7EF550F7" w14:textId="51D5AB01" w:rsidR="00DB21A8" w:rsidRPr="003E027B" w:rsidRDefault="00E91273" w:rsidP="00DB21A8">
      <w:pPr>
        <w:jc w:val="center"/>
        <w:rPr>
          <w:b/>
        </w:rPr>
      </w:pPr>
      <w:r>
        <w:rPr>
          <w:b/>
        </w:rPr>
        <w:t>HIS MAJESTY THE KING</w:t>
      </w:r>
    </w:p>
    <w:p w14:paraId="31BAEDDC" w14:textId="77777777" w:rsidR="007C01F5" w:rsidRDefault="007C01F5" w:rsidP="00EF6D27">
      <w:pPr>
        <w:jc w:val="center"/>
      </w:pPr>
    </w:p>
    <w:p w14:paraId="6B43E1C4" w14:textId="3F8537BD" w:rsidR="007C01F5" w:rsidRPr="003E027B" w:rsidRDefault="007C01F5" w:rsidP="007C01F5">
      <w:pPr>
        <w:jc w:val="right"/>
      </w:pPr>
      <w:r w:rsidRPr="003E027B">
        <w:t>APPELLANT</w:t>
      </w:r>
    </w:p>
    <w:p w14:paraId="77F5343F" w14:textId="77777777" w:rsidR="007C01F5" w:rsidRPr="003E027B" w:rsidRDefault="007C01F5" w:rsidP="007C01F5">
      <w:pPr>
        <w:jc w:val="right"/>
      </w:pPr>
    </w:p>
    <w:p w14:paraId="14E250D2" w14:textId="77777777" w:rsidR="007C01F5" w:rsidRPr="003E027B" w:rsidRDefault="007C01F5" w:rsidP="007C01F5">
      <w:pPr>
        <w:jc w:val="center"/>
      </w:pPr>
      <w:r w:rsidRPr="003E027B">
        <w:t>- and -</w:t>
      </w:r>
    </w:p>
    <w:p w14:paraId="49434C8C" w14:textId="77777777" w:rsidR="007C01F5" w:rsidRPr="003E027B" w:rsidRDefault="007C01F5" w:rsidP="007C01F5"/>
    <w:p w14:paraId="35DC82E8" w14:textId="77777777" w:rsidR="007C01F5" w:rsidRPr="003E027B" w:rsidRDefault="007C01F5" w:rsidP="007C01F5"/>
    <w:p w14:paraId="551DAC6D" w14:textId="74F372C9" w:rsidR="00555F8D" w:rsidRPr="00E91273" w:rsidRDefault="008C00C1" w:rsidP="009F693C">
      <w:pPr>
        <w:jc w:val="center"/>
        <w:rPr>
          <w:b/>
          <w:caps/>
        </w:rPr>
      </w:pPr>
      <w:r w:rsidRPr="00E91273">
        <w:rPr>
          <w:b/>
          <w:caps/>
        </w:rPr>
        <w:t>Consolidated Homes Ltd.</w:t>
      </w:r>
    </w:p>
    <w:p w14:paraId="7BA28D25" w14:textId="77777777" w:rsidR="008C00C1" w:rsidRDefault="008C00C1" w:rsidP="00216A01">
      <w:pPr>
        <w:jc w:val="right"/>
      </w:pPr>
    </w:p>
    <w:p w14:paraId="2080B3DA" w14:textId="72E4F87C" w:rsidR="00216A01" w:rsidRPr="00D7293C" w:rsidRDefault="00216A01" w:rsidP="00216A01">
      <w:pPr>
        <w:jc w:val="right"/>
      </w:pPr>
      <w:r w:rsidRPr="00D7293C">
        <w:t>RESPONDENT</w:t>
      </w:r>
    </w:p>
    <w:p w14:paraId="62EF40FC" w14:textId="77777777" w:rsidR="007C01F5" w:rsidRPr="003E027B" w:rsidRDefault="007C01F5" w:rsidP="007C01F5"/>
    <w:p w14:paraId="0F9CDF43" w14:textId="77777777" w:rsidR="007C01F5" w:rsidRDefault="007C01F5" w:rsidP="007C01F5"/>
    <w:p w14:paraId="102DCD68" w14:textId="77777777" w:rsidR="007C01F5" w:rsidRPr="003E027B" w:rsidRDefault="00E24BC6" w:rsidP="007C01F5">
      <w:r>
        <w:rPr>
          <w:noProof/>
          <w:lang w:eastAsia="it-IT"/>
        </w:rPr>
        <mc:AlternateContent>
          <mc:Choice Requires="wps">
            <w:drawing>
              <wp:anchor distT="0" distB="0" distL="114300" distR="114300" simplePos="0" relativeHeight="251657216" behindDoc="0" locked="0" layoutInCell="1" allowOverlap="1" wp14:anchorId="656C4B46" wp14:editId="5CC26441">
                <wp:simplePos x="0" y="0"/>
                <wp:positionH relativeFrom="margin">
                  <wp:align>left</wp:align>
                </wp:positionH>
                <wp:positionV relativeFrom="line">
                  <wp:align>bottom</wp:align>
                </wp:positionV>
                <wp:extent cx="5943600" cy="0"/>
                <wp:effectExtent l="0" t="12700" r="0" b="0"/>
                <wp:wrapNone/>
                <wp:docPr id="185874925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shapetype w14:anchorId="24347488" id="_x0000_t32" coordsize="21600,21600" o:spt="32" o:oned="t" path="m,l21600,21600e" filled="f">
                <v:path arrowok="t" fillok="f" o:connecttype="none"/>
                <o:lock v:ext="edit" shapetype="t"/>
              </v:shapetype>
              <v:shape id="AutoShape 9" o:spid="_x0000_s1026" type="#_x0000_t32" style="position:absolute;margin-left:0;margin-top:0;width:468pt;height:0;z-index:251657216;visibility:visible;mso-wrap-style:square;mso-width-percent:1000;mso-height-percent:0;mso-wrap-distance-left:9pt;mso-wrap-distance-top:0;mso-wrap-distance-right:9pt;mso-wrap-distance-bottom:0;mso-position-horizontal:left;mso-position-horizontal-relative:margin;mso-position-vertical:bottom;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" strokeweight="2.25pt">
                <o:lock v:ext="edit" shapetype="f"/>
                <w10:wrap anchorx="margin" anchory="line"/>
              </v:shape>
            </w:pict>
          </mc:Fallback>
        </mc:AlternateContent>
      </w:r>
    </w:p>
    <w:p w14:paraId="482DCDDF" w14:textId="77777777" w:rsidR="007C01F5" w:rsidRDefault="007C01F5" w:rsidP="007C01F5">
      <w:pPr>
        <w:jc w:val="center"/>
        <w:rPr>
          <w:b/>
        </w:rPr>
      </w:pPr>
      <w:r w:rsidRPr="007C01F5">
        <w:rPr>
          <w:b/>
        </w:rPr>
        <w:t xml:space="preserve">FACTUM OF THE </w:t>
      </w:r>
      <w:r w:rsidR="00EE2290">
        <w:rPr>
          <w:b/>
        </w:rPr>
        <w:t>RESPONDENT</w:t>
      </w:r>
    </w:p>
    <w:p w14:paraId="480CE9BF" w14:textId="0A7C88A3" w:rsidR="00FC4847" w:rsidRDefault="00E91273" w:rsidP="007C01F5">
      <w:pPr>
        <w:jc w:val="center"/>
      </w:pPr>
      <w:r w:rsidRPr="00E91273">
        <w:rPr>
          <w:b/>
          <w:caps/>
        </w:rPr>
        <w:t>Consolidated Homes</w:t>
      </w:r>
      <w:r w:rsidRPr="00E91273">
        <w:rPr>
          <w:b/>
        </w:rPr>
        <w:t xml:space="preserve"> </w:t>
      </w:r>
      <w:r w:rsidR="00DB21A8" w:rsidRPr="00DB21A8">
        <w:rPr>
          <w:b/>
        </w:rPr>
        <w:t>LTD.</w:t>
      </w:r>
    </w:p>
    <w:p w14:paraId="32702652" w14:textId="77777777" w:rsidR="007C01F5" w:rsidRPr="003E027B" w:rsidRDefault="007C01F5" w:rsidP="007C01F5">
      <w:pPr>
        <w:jc w:val="center"/>
      </w:pPr>
      <w:r w:rsidRPr="003E027B">
        <w:t>Pursuant to Rule 12 of the</w:t>
      </w:r>
    </w:p>
    <w:p w14:paraId="137ADAC7" w14:textId="1CA48ABF" w:rsidR="007C01F5" w:rsidRDefault="007C01F5" w:rsidP="007C01F5">
      <w:pPr>
        <w:jc w:val="center"/>
      </w:pPr>
      <w:r w:rsidRPr="003E027B">
        <w:t>Willms &amp; Shier Environmental Law Moot Official</w:t>
      </w:r>
      <w:r w:rsidR="00803711">
        <w:t xml:space="preserve"> Competition Rules </w:t>
      </w:r>
      <w:r w:rsidR="00915A04">
        <w:t>202</w:t>
      </w:r>
      <w:r w:rsidR="00FF7162">
        <w:t>6</w:t>
      </w:r>
    </w:p>
    <w:p w14:paraId="6B27C69A" w14:textId="77777777" w:rsidR="007C01F5" w:rsidRPr="003E027B" w:rsidRDefault="007C01F5" w:rsidP="007C01F5">
      <w:pPr>
        <w:jc w:val="center"/>
      </w:pPr>
    </w:p>
    <w:p w14:paraId="6FFAF8A1" w14:textId="77777777" w:rsidR="007C01F5" w:rsidRPr="003E027B" w:rsidRDefault="00E24BC6" w:rsidP="007C01F5">
      <w:r>
        <w:rPr>
          <w:noProof/>
          <w:lang w:eastAsia="it-IT"/>
        </w:rPr>
        <mc:AlternateContent>
          <mc:Choice Requires="wps">
            <w:drawing>
              <wp:anchor distT="0" distB="0" distL="114300" distR="114300" simplePos="0" relativeHeight="251658240" behindDoc="0" locked="0" layoutInCell="1" allowOverlap="1" wp14:anchorId="01C453A8" wp14:editId="01DA6593">
                <wp:simplePos x="0" y="0"/>
                <wp:positionH relativeFrom="margin">
                  <wp:align>left</wp:align>
                </wp:positionH>
                <wp:positionV relativeFrom="line">
                  <wp:align>top</wp:align>
                </wp:positionV>
                <wp:extent cx="5943600" cy="0"/>
                <wp:effectExtent l="0" t="12700" r="0" b="0"/>
                <wp:wrapNone/>
                <wp:docPr id="59812787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shape w14:anchorId="20D8C962" id="AutoShape 8" o:spid="_x0000_s1026" type="#_x0000_t32" style="position:absolute;margin-left:0;margin-top:0;width:468pt;height:0;z-index:251658240;visibility:visible;mso-wrap-style:square;mso-width-percent:1000;mso-height-percent:0;mso-wrap-distance-left:9pt;mso-wrap-distance-top:0;mso-wrap-distance-right:9pt;mso-wrap-distance-bottom:0;mso-position-horizontal:left;mso-position-horizontal-relative:margin;mso-position-vertical:top;mso-position-vertical-relative:line;mso-width-percent:100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" strokeweight="2.25pt">
                <o:lock v:ext="edit" shapetype="f"/>
                <w10:wrap anchorx="margin" anchory="line"/>
              </v:shape>
            </w:pict>
          </mc:Fallback>
        </mc:AlternateContent>
      </w:r>
    </w:p>
    <w:p w14:paraId="0A212DE8" w14:textId="77777777" w:rsidR="007C01F5" w:rsidRPr="003E027B" w:rsidRDefault="007C01F5" w:rsidP="007C01F5"/>
    <w:p w14:paraId="35EAC2AC" w14:textId="0B3A3A49" w:rsidR="00665D50" w:rsidRDefault="007C01F5" w:rsidP="00665D50">
      <w:pPr>
        <w:jc w:val="right"/>
      </w:pPr>
      <w:r w:rsidRPr="00790A7B">
        <w:t>T</w:t>
      </w:r>
      <w:r w:rsidR="00812A9C">
        <w:t>EAM #</w:t>
      </w:r>
      <w:r w:rsidR="00427162">
        <w:t>2026-10</w:t>
      </w:r>
    </w:p>
    <w:p w14:paraId="0A3B0C77" w14:textId="77777777" w:rsidR="000E4220" w:rsidRDefault="000E4220" w:rsidP="00665D50">
      <w:pPr>
        <w:ind w:left="1440" w:hanging="1440"/>
        <w:rPr>
          <w:b/>
        </w:rPr>
        <w:sectPr w:rsidR="000E4220" w:rsidSect="00194038">
          <w:footerReference w:type="default" r:id="rId9"/>
          <w:pgSz w:w="12240" w:h="15840" w:code="1"/>
          <w:pgMar w:top="1440" w:right="1440" w:bottom="1440" w:left="1440" w:header="720" w:footer="720" w:gutter="0"/>
          <w:cols w:space="720"/>
          <w:titlePg/>
          <w:docGrid w:linePitch="360"/>
        </w:sectPr>
      </w:pPr>
    </w:p>
    <w:p w14:paraId="1659EBC1"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0B51BA">
        <w:rPr>
          <w:b/>
        </w:rPr>
        <w:br/>
      </w:r>
      <w:r w:rsidRPr="00665D50">
        <w:rPr>
          <w:b/>
        </w:rPr>
        <w:t>SUPREME ENVIRONMENTAL MOOT COURT OF CANADA</w:t>
      </w:r>
    </w:p>
    <w:p w14:paraId="12B5F946" w14:textId="77777777" w:rsidR="00665D50" w:rsidRPr="00665D50" w:rsidRDefault="00665D50" w:rsidP="00665D50">
      <w:pPr>
        <w:ind w:left="1440" w:hanging="1440"/>
        <w:rPr>
          <w:b/>
        </w:rPr>
      </w:pPr>
    </w:p>
    <w:p w14:paraId="6A28A1B5" w14:textId="77777777" w:rsidR="00665D50" w:rsidRDefault="00665D50" w:rsidP="00665D50">
      <w:pPr>
        <w:ind w:left="1440" w:hanging="1440"/>
        <w:rPr>
          <w:b/>
        </w:rPr>
      </w:pPr>
      <w:r w:rsidRPr="00665D50">
        <w:rPr>
          <w:b/>
        </w:rPr>
        <w:t xml:space="preserve">AND TO: </w:t>
      </w:r>
      <w:r>
        <w:rPr>
          <w:b/>
        </w:rPr>
        <w:tab/>
      </w:r>
      <w:r w:rsidRPr="00665D50">
        <w:rPr>
          <w:b/>
        </w:rPr>
        <w:t>ALL REGISTERED TEAMS</w:t>
      </w:r>
    </w:p>
    <w:p w14:paraId="33D08E32" w14:textId="77777777" w:rsidR="00896769" w:rsidRDefault="00896769" w:rsidP="00896769">
      <w:pPr>
        <w:sectPr w:rsidR="00896769" w:rsidSect="00194038">
          <w:pgSz w:w="12240" w:h="15840" w:code="1"/>
          <w:pgMar w:top="1440" w:right="1440" w:bottom="1440" w:left="1440" w:header="720" w:footer="720" w:gutter="0"/>
          <w:cols w:space="720"/>
          <w:titlePg/>
          <w:docGrid w:linePitch="360"/>
        </w:sectPr>
      </w:pPr>
    </w:p>
    <w:p w14:paraId="62EBEE27" w14:textId="77777777" w:rsidR="00A85602" w:rsidRDefault="00037BFB" w:rsidP="00DD6E8C">
      <w:pPr>
        <w:spacing w:line="360" w:lineRule="auto"/>
        <w:jc w:val="center"/>
        <w:rPr>
          <w:b/>
        </w:rPr>
      </w:pPr>
      <w:r w:rsidRPr="00037BFB">
        <w:rPr>
          <w:b/>
        </w:rPr>
        <w:lastRenderedPageBreak/>
        <w:t>TABLE OF CONTENTS</w:t>
      </w:r>
    </w:p>
    <w:p w14:paraId="101C2DC8" w14:textId="77777777" w:rsidR="00665D50" w:rsidRDefault="00665D50" w:rsidP="00CE4218">
      <w:pPr>
        <w:spacing w:line="360" w:lineRule="auto"/>
        <w:jc w:val="right"/>
      </w:pPr>
      <w:r>
        <w:rPr>
          <w:b/>
        </w:rPr>
        <w:t>Page No.</w:t>
      </w:r>
    </w:p>
    <w:p w14:paraId="6F99132C" w14:textId="0ED7CCFB" w:rsidR="003215A1" w:rsidRDefault="00FE3380">
      <w:pPr>
        <w:pStyle w:val="TOC1"/>
        <w:tabs>
          <w:tab w:val="right" w:leader="dot" w:pos="9350"/>
        </w:tabs>
        <w:rPr>
          <w:rFonts w:ascii="Calibri" w:hAnsi="Calibri"/>
          <w:noProof/>
          <w:kern w:val="2"/>
          <w:lang w:val="en-CA"/>
        </w:rPr>
      </w:pPr>
      <w:r>
        <w:fldChar w:fldCharType="begin"/>
      </w:r>
      <w:r>
        <w:instrText xml:space="preserve"> TOC \o "1-4" \h \z \u </w:instrText>
      </w:r>
      <w:r>
        <w:fldChar w:fldCharType="separate"/>
      </w:r>
      <w:hyperlink w:anchor="_Toc220019273" w:history="1">
        <w:r w:rsidR="003215A1" w:rsidRPr="00E379AC">
          <w:rPr>
            <w:rStyle w:val="Hyperlink"/>
            <w:noProof/>
          </w:rPr>
          <w:t>PART I -- OVERVIEW AND STATEMENT OF FACTS</w:t>
        </w:r>
        <w:r w:rsidR="003215A1">
          <w:rPr>
            <w:noProof/>
            <w:webHidden/>
          </w:rPr>
          <w:tab/>
        </w:r>
        <w:r w:rsidR="003215A1">
          <w:rPr>
            <w:noProof/>
            <w:webHidden/>
          </w:rPr>
          <w:fldChar w:fldCharType="begin"/>
        </w:r>
        <w:r w:rsidR="003215A1">
          <w:rPr>
            <w:noProof/>
            <w:webHidden/>
          </w:rPr>
          <w:instrText xml:space="preserve"> PAGEREF _Toc220019273 \h </w:instrText>
        </w:r>
        <w:r w:rsidR="003215A1">
          <w:rPr>
            <w:noProof/>
            <w:webHidden/>
          </w:rPr>
        </w:r>
        <w:r w:rsidR="003215A1">
          <w:rPr>
            <w:noProof/>
            <w:webHidden/>
          </w:rPr>
          <w:fldChar w:fldCharType="separate"/>
        </w:r>
        <w:r w:rsidR="001B2155">
          <w:rPr>
            <w:noProof/>
            <w:webHidden/>
          </w:rPr>
          <w:t>1</w:t>
        </w:r>
        <w:r w:rsidR="003215A1">
          <w:rPr>
            <w:noProof/>
            <w:webHidden/>
          </w:rPr>
          <w:fldChar w:fldCharType="end"/>
        </w:r>
      </w:hyperlink>
    </w:p>
    <w:p w14:paraId="5E817CB6" w14:textId="4D07D78C" w:rsidR="003215A1" w:rsidRDefault="003215A1">
      <w:pPr>
        <w:pStyle w:val="TOC2"/>
        <w:tabs>
          <w:tab w:val="left" w:pos="720"/>
          <w:tab w:val="right" w:leader="dot" w:pos="9350"/>
        </w:tabs>
        <w:rPr>
          <w:rFonts w:ascii="Calibri" w:hAnsi="Calibri"/>
          <w:noProof/>
          <w:kern w:val="2"/>
          <w:lang w:val="en-CA"/>
        </w:rPr>
      </w:pPr>
      <w:hyperlink w:anchor="_Toc220019274" w:history="1">
        <w:r w:rsidRPr="00E379AC">
          <w:rPr>
            <w:rStyle w:val="Hyperlink"/>
            <w:noProof/>
          </w:rPr>
          <w:t>A.</w:t>
        </w:r>
        <w:r>
          <w:rPr>
            <w:rFonts w:ascii="Calibri" w:hAnsi="Calibri"/>
            <w:noProof/>
            <w:kern w:val="2"/>
            <w:lang w:val="en-CA"/>
          </w:rPr>
          <w:tab/>
        </w:r>
        <w:r w:rsidRPr="00E379AC">
          <w:rPr>
            <w:rStyle w:val="Hyperlink"/>
            <w:noProof/>
          </w:rPr>
          <w:t>Overview of the Respondent’s Position</w:t>
        </w:r>
        <w:r>
          <w:rPr>
            <w:noProof/>
            <w:webHidden/>
          </w:rPr>
          <w:tab/>
        </w:r>
        <w:r>
          <w:rPr>
            <w:noProof/>
            <w:webHidden/>
          </w:rPr>
          <w:fldChar w:fldCharType="begin"/>
        </w:r>
        <w:r>
          <w:rPr>
            <w:noProof/>
            <w:webHidden/>
          </w:rPr>
          <w:instrText xml:space="preserve"> PAGEREF _Toc220019274 \h </w:instrText>
        </w:r>
        <w:r>
          <w:rPr>
            <w:noProof/>
            <w:webHidden/>
          </w:rPr>
        </w:r>
        <w:r>
          <w:rPr>
            <w:noProof/>
            <w:webHidden/>
          </w:rPr>
          <w:fldChar w:fldCharType="separate"/>
        </w:r>
        <w:r w:rsidR="001B2155">
          <w:rPr>
            <w:noProof/>
            <w:webHidden/>
          </w:rPr>
          <w:t>1</w:t>
        </w:r>
        <w:r>
          <w:rPr>
            <w:noProof/>
            <w:webHidden/>
          </w:rPr>
          <w:fldChar w:fldCharType="end"/>
        </w:r>
      </w:hyperlink>
    </w:p>
    <w:p w14:paraId="289A4A61" w14:textId="6BDE6A93" w:rsidR="003215A1" w:rsidRDefault="003215A1">
      <w:pPr>
        <w:pStyle w:val="TOC2"/>
        <w:tabs>
          <w:tab w:val="left" w:pos="720"/>
          <w:tab w:val="right" w:leader="dot" w:pos="9350"/>
        </w:tabs>
        <w:rPr>
          <w:rFonts w:ascii="Calibri" w:hAnsi="Calibri"/>
          <w:noProof/>
          <w:kern w:val="2"/>
          <w:lang w:val="en-CA"/>
        </w:rPr>
      </w:pPr>
      <w:hyperlink w:anchor="_Toc220019275" w:history="1">
        <w:r w:rsidRPr="00E379AC">
          <w:rPr>
            <w:rStyle w:val="Hyperlink"/>
            <w:noProof/>
          </w:rPr>
          <w:t>B.</w:t>
        </w:r>
        <w:r>
          <w:rPr>
            <w:rFonts w:ascii="Calibri" w:hAnsi="Calibri"/>
            <w:noProof/>
            <w:kern w:val="2"/>
            <w:lang w:val="en-CA"/>
          </w:rPr>
          <w:tab/>
        </w:r>
        <w:r w:rsidRPr="00E379AC">
          <w:rPr>
            <w:rStyle w:val="Hyperlink"/>
            <w:noProof/>
          </w:rPr>
          <w:t>Respondent’s Position with Respect to the Appellants’ Statement of the Facts</w:t>
        </w:r>
        <w:r>
          <w:rPr>
            <w:noProof/>
            <w:webHidden/>
          </w:rPr>
          <w:tab/>
        </w:r>
        <w:r>
          <w:rPr>
            <w:noProof/>
            <w:webHidden/>
          </w:rPr>
          <w:fldChar w:fldCharType="begin"/>
        </w:r>
        <w:r>
          <w:rPr>
            <w:noProof/>
            <w:webHidden/>
          </w:rPr>
          <w:instrText xml:space="preserve"> PAGEREF _Toc220019275 \h </w:instrText>
        </w:r>
        <w:r>
          <w:rPr>
            <w:noProof/>
            <w:webHidden/>
          </w:rPr>
        </w:r>
        <w:r>
          <w:rPr>
            <w:noProof/>
            <w:webHidden/>
          </w:rPr>
          <w:fldChar w:fldCharType="separate"/>
        </w:r>
        <w:r w:rsidR="001B2155">
          <w:rPr>
            <w:noProof/>
            <w:webHidden/>
          </w:rPr>
          <w:t>2</w:t>
        </w:r>
        <w:r>
          <w:rPr>
            <w:noProof/>
            <w:webHidden/>
          </w:rPr>
          <w:fldChar w:fldCharType="end"/>
        </w:r>
      </w:hyperlink>
    </w:p>
    <w:p w14:paraId="4224332B" w14:textId="425C22E6" w:rsidR="003215A1" w:rsidRDefault="003215A1">
      <w:pPr>
        <w:pStyle w:val="TOC1"/>
        <w:tabs>
          <w:tab w:val="right" w:leader="dot" w:pos="9350"/>
        </w:tabs>
        <w:rPr>
          <w:rFonts w:ascii="Calibri" w:hAnsi="Calibri"/>
          <w:noProof/>
          <w:kern w:val="2"/>
          <w:lang w:val="en-CA"/>
        </w:rPr>
      </w:pPr>
      <w:hyperlink w:anchor="_Toc220019276" w:history="1">
        <w:r w:rsidRPr="00E379AC">
          <w:rPr>
            <w:rStyle w:val="Hyperlink"/>
            <w:noProof/>
          </w:rPr>
          <w:t>PART II -- THE RESPONDENT’S POSITION WITH RESPECT TO THE APPELLANTS’ QUESTIONS IN ISSUE</w:t>
        </w:r>
        <w:r>
          <w:rPr>
            <w:noProof/>
            <w:webHidden/>
          </w:rPr>
          <w:tab/>
        </w:r>
        <w:r>
          <w:rPr>
            <w:noProof/>
            <w:webHidden/>
          </w:rPr>
          <w:fldChar w:fldCharType="begin"/>
        </w:r>
        <w:r>
          <w:rPr>
            <w:noProof/>
            <w:webHidden/>
          </w:rPr>
          <w:instrText xml:space="preserve"> PAGEREF _Toc220019276 \h </w:instrText>
        </w:r>
        <w:r>
          <w:rPr>
            <w:noProof/>
            <w:webHidden/>
          </w:rPr>
        </w:r>
        <w:r>
          <w:rPr>
            <w:noProof/>
            <w:webHidden/>
          </w:rPr>
          <w:fldChar w:fldCharType="separate"/>
        </w:r>
        <w:r w:rsidR="001B2155">
          <w:rPr>
            <w:noProof/>
            <w:webHidden/>
          </w:rPr>
          <w:t>2</w:t>
        </w:r>
        <w:r>
          <w:rPr>
            <w:noProof/>
            <w:webHidden/>
          </w:rPr>
          <w:fldChar w:fldCharType="end"/>
        </w:r>
      </w:hyperlink>
    </w:p>
    <w:p w14:paraId="01CBE0DA" w14:textId="75D1C8C6" w:rsidR="003215A1" w:rsidRDefault="003215A1">
      <w:pPr>
        <w:pStyle w:val="TOC1"/>
        <w:tabs>
          <w:tab w:val="right" w:leader="dot" w:pos="9350"/>
        </w:tabs>
        <w:rPr>
          <w:rFonts w:ascii="Calibri" w:hAnsi="Calibri"/>
          <w:noProof/>
          <w:kern w:val="2"/>
          <w:lang w:val="en-CA"/>
        </w:rPr>
      </w:pPr>
      <w:hyperlink w:anchor="_Toc220019277" w:history="1">
        <w:r w:rsidRPr="00E379AC">
          <w:rPr>
            <w:rStyle w:val="Hyperlink"/>
            <w:noProof/>
          </w:rPr>
          <w:t>PART III -- ARGUMENT</w:t>
        </w:r>
        <w:r>
          <w:rPr>
            <w:noProof/>
            <w:webHidden/>
          </w:rPr>
          <w:tab/>
        </w:r>
        <w:r>
          <w:rPr>
            <w:noProof/>
            <w:webHidden/>
          </w:rPr>
          <w:fldChar w:fldCharType="begin"/>
        </w:r>
        <w:r>
          <w:rPr>
            <w:noProof/>
            <w:webHidden/>
          </w:rPr>
          <w:instrText xml:space="preserve"> PAGEREF _Toc220019277 \h </w:instrText>
        </w:r>
        <w:r>
          <w:rPr>
            <w:noProof/>
            <w:webHidden/>
          </w:rPr>
        </w:r>
        <w:r>
          <w:rPr>
            <w:noProof/>
            <w:webHidden/>
          </w:rPr>
          <w:fldChar w:fldCharType="separate"/>
        </w:r>
        <w:r w:rsidR="001B2155">
          <w:rPr>
            <w:noProof/>
            <w:webHidden/>
          </w:rPr>
          <w:t>3</w:t>
        </w:r>
        <w:r>
          <w:rPr>
            <w:noProof/>
            <w:webHidden/>
          </w:rPr>
          <w:fldChar w:fldCharType="end"/>
        </w:r>
      </w:hyperlink>
    </w:p>
    <w:p w14:paraId="057DB1B6" w14:textId="27346606" w:rsidR="003215A1" w:rsidRDefault="003215A1">
      <w:pPr>
        <w:pStyle w:val="TOC2"/>
        <w:tabs>
          <w:tab w:val="left" w:pos="720"/>
          <w:tab w:val="right" w:leader="dot" w:pos="9350"/>
        </w:tabs>
        <w:rPr>
          <w:rFonts w:ascii="Calibri" w:hAnsi="Calibri"/>
          <w:noProof/>
          <w:kern w:val="2"/>
          <w:lang w:val="en-CA"/>
        </w:rPr>
      </w:pPr>
      <w:hyperlink w:anchor="_Toc220019278" w:history="1">
        <w:r w:rsidRPr="00E379AC">
          <w:rPr>
            <w:rStyle w:val="Hyperlink"/>
            <w:noProof/>
          </w:rPr>
          <w:t>A.</w:t>
        </w:r>
        <w:r>
          <w:rPr>
            <w:rFonts w:ascii="Calibri" w:hAnsi="Calibri"/>
            <w:noProof/>
            <w:kern w:val="2"/>
            <w:lang w:val="en-CA"/>
          </w:rPr>
          <w:tab/>
        </w:r>
        <w:r w:rsidRPr="00E379AC">
          <w:rPr>
            <w:rStyle w:val="Hyperlink"/>
            <w:noProof/>
          </w:rPr>
          <w:t>Standard of Review</w:t>
        </w:r>
        <w:r>
          <w:rPr>
            <w:noProof/>
            <w:webHidden/>
          </w:rPr>
          <w:tab/>
        </w:r>
        <w:r>
          <w:rPr>
            <w:noProof/>
            <w:webHidden/>
          </w:rPr>
          <w:fldChar w:fldCharType="begin"/>
        </w:r>
        <w:r>
          <w:rPr>
            <w:noProof/>
            <w:webHidden/>
          </w:rPr>
          <w:instrText xml:space="preserve"> PAGEREF _Toc220019278 \h </w:instrText>
        </w:r>
        <w:r>
          <w:rPr>
            <w:noProof/>
            <w:webHidden/>
          </w:rPr>
        </w:r>
        <w:r>
          <w:rPr>
            <w:noProof/>
            <w:webHidden/>
          </w:rPr>
          <w:fldChar w:fldCharType="separate"/>
        </w:r>
        <w:r w:rsidR="001B2155">
          <w:rPr>
            <w:noProof/>
            <w:webHidden/>
          </w:rPr>
          <w:t>3</w:t>
        </w:r>
        <w:r>
          <w:rPr>
            <w:noProof/>
            <w:webHidden/>
          </w:rPr>
          <w:fldChar w:fldCharType="end"/>
        </w:r>
      </w:hyperlink>
    </w:p>
    <w:p w14:paraId="42175488" w14:textId="491CF834" w:rsidR="003215A1" w:rsidRDefault="003215A1">
      <w:pPr>
        <w:pStyle w:val="TOC3"/>
        <w:tabs>
          <w:tab w:val="left" w:pos="960"/>
          <w:tab w:val="right" w:leader="dot" w:pos="9350"/>
        </w:tabs>
        <w:rPr>
          <w:rFonts w:ascii="Calibri" w:hAnsi="Calibri"/>
          <w:noProof/>
          <w:kern w:val="2"/>
          <w:lang w:val="en-CA"/>
        </w:rPr>
      </w:pPr>
      <w:hyperlink w:anchor="_Toc220019279" w:history="1">
        <w:r w:rsidRPr="00E379AC">
          <w:rPr>
            <w:rStyle w:val="Hyperlink"/>
            <w:iCs/>
            <w:noProof/>
          </w:rPr>
          <w:t>B.</w:t>
        </w:r>
        <w:r>
          <w:rPr>
            <w:rFonts w:ascii="Calibri" w:hAnsi="Calibri"/>
            <w:noProof/>
            <w:kern w:val="2"/>
            <w:lang w:val="en-CA"/>
          </w:rPr>
          <w:tab/>
        </w:r>
        <w:r w:rsidRPr="00E379AC">
          <w:rPr>
            <w:rStyle w:val="Hyperlink"/>
            <w:iCs/>
            <w:noProof/>
          </w:rPr>
          <w:t>The OCJ Correctly Found That the Trial Justice Erred in Admitting the Pre and Post-Offence Sightings</w:t>
        </w:r>
        <w:r>
          <w:rPr>
            <w:noProof/>
            <w:webHidden/>
          </w:rPr>
          <w:tab/>
        </w:r>
        <w:r>
          <w:rPr>
            <w:noProof/>
            <w:webHidden/>
          </w:rPr>
          <w:fldChar w:fldCharType="begin"/>
        </w:r>
        <w:r>
          <w:rPr>
            <w:noProof/>
            <w:webHidden/>
          </w:rPr>
          <w:instrText xml:space="preserve"> PAGEREF _Toc220019279 \h </w:instrText>
        </w:r>
        <w:r>
          <w:rPr>
            <w:noProof/>
            <w:webHidden/>
          </w:rPr>
        </w:r>
        <w:r>
          <w:rPr>
            <w:noProof/>
            <w:webHidden/>
          </w:rPr>
          <w:fldChar w:fldCharType="separate"/>
        </w:r>
        <w:r w:rsidR="001B2155">
          <w:rPr>
            <w:noProof/>
            <w:webHidden/>
          </w:rPr>
          <w:t>3</w:t>
        </w:r>
        <w:r>
          <w:rPr>
            <w:noProof/>
            <w:webHidden/>
          </w:rPr>
          <w:fldChar w:fldCharType="end"/>
        </w:r>
      </w:hyperlink>
    </w:p>
    <w:p w14:paraId="1412C5D6" w14:textId="3F125086" w:rsidR="003215A1" w:rsidRDefault="003215A1">
      <w:pPr>
        <w:pStyle w:val="TOC2"/>
        <w:tabs>
          <w:tab w:val="left" w:pos="720"/>
          <w:tab w:val="right" w:leader="dot" w:pos="9350"/>
        </w:tabs>
        <w:rPr>
          <w:rFonts w:ascii="Calibri" w:hAnsi="Calibri"/>
          <w:noProof/>
          <w:kern w:val="2"/>
          <w:lang w:val="en-CA"/>
        </w:rPr>
      </w:pPr>
      <w:hyperlink w:anchor="_Toc220019280" w:history="1">
        <w:r w:rsidRPr="00E379AC">
          <w:rPr>
            <w:rStyle w:val="Hyperlink"/>
            <w:noProof/>
          </w:rPr>
          <w:t>(i)</w:t>
        </w:r>
        <w:r>
          <w:rPr>
            <w:rFonts w:ascii="Calibri" w:hAnsi="Calibri"/>
            <w:noProof/>
            <w:kern w:val="2"/>
            <w:lang w:val="en-CA"/>
          </w:rPr>
          <w:tab/>
        </w:r>
        <w:r w:rsidRPr="00E379AC">
          <w:rPr>
            <w:rStyle w:val="Hyperlink"/>
            <w:i/>
            <w:iCs/>
            <w:noProof/>
          </w:rPr>
          <w:t>The pre and post-offence sightings were inadmissible and unhelpful in proving the Site was Blanding’s turtle habitat at the time of the offence.</w:t>
        </w:r>
        <w:r>
          <w:rPr>
            <w:noProof/>
            <w:webHidden/>
          </w:rPr>
          <w:tab/>
        </w:r>
        <w:r>
          <w:rPr>
            <w:noProof/>
            <w:webHidden/>
          </w:rPr>
          <w:fldChar w:fldCharType="begin"/>
        </w:r>
        <w:r>
          <w:rPr>
            <w:noProof/>
            <w:webHidden/>
          </w:rPr>
          <w:instrText xml:space="preserve"> PAGEREF _Toc220019280 \h </w:instrText>
        </w:r>
        <w:r>
          <w:rPr>
            <w:noProof/>
            <w:webHidden/>
          </w:rPr>
        </w:r>
        <w:r>
          <w:rPr>
            <w:noProof/>
            <w:webHidden/>
          </w:rPr>
          <w:fldChar w:fldCharType="separate"/>
        </w:r>
        <w:r w:rsidR="001B2155">
          <w:rPr>
            <w:noProof/>
            <w:webHidden/>
          </w:rPr>
          <w:t>3</w:t>
        </w:r>
        <w:r>
          <w:rPr>
            <w:noProof/>
            <w:webHidden/>
          </w:rPr>
          <w:fldChar w:fldCharType="end"/>
        </w:r>
      </w:hyperlink>
    </w:p>
    <w:p w14:paraId="2F3C6C2C" w14:textId="32B69281" w:rsidR="003215A1" w:rsidRDefault="003215A1">
      <w:pPr>
        <w:pStyle w:val="TOC2"/>
        <w:tabs>
          <w:tab w:val="left" w:pos="960"/>
          <w:tab w:val="right" w:leader="dot" w:pos="9350"/>
        </w:tabs>
        <w:rPr>
          <w:rFonts w:ascii="Calibri" w:hAnsi="Calibri"/>
          <w:noProof/>
          <w:kern w:val="2"/>
          <w:lang w:val="en-CA"/>
        </w:rPr>
      </w:pPr>
      <w:hyperlink w:anchor="_Toc220019281" w:history="1">
        <w:r w:rsidRPr="00E379AC">
          <w:rPr>
            <w:rStyle w:val="Hyperlink"/>
            <w:noProof/>
          </w:rPr>
          <w:t>(ii)</w:t>
        </w:r>
        <w:r>
          <w:rPr>
            <w:rFonts w:ascii="Calibri" w:hAnsi="Calibri"/>
            <w:noProof/>
            <w:kern w:val="2"/>
            <w:lang w:val="en-CA"/>
          </w:rPr>
          <w:tab/>
        </w:r>
        <w:r w:rsidRPr="00E379AC">
          <w:rPr>
            <w:rStyle w:val="Hyperlink"/>
            <w:i/>
            <w:iCs/>
            <w:noProof/>
          </w:rPr>
          <w:t>Mr. Snell’s reliance on the previous sightings was problematic due to their immaterial nature.</w:t>
        </w:r>
        <w:r>
          <w:rPr>
            <w:noProof/>
            <w:webHidden/>
          </w:rPr>
          <w:tab/>
        </w:r>
        <w:r>
          <w:rPr>
            <w:noProof/>
            <w:webHidden/>
          </w:rPr>
          <w:fldChar w:fldCharType="begin"/>
        </w:r>
        <w:r>
          <w:rPr>
            <w:noProof/>
            <w:webHidden/>
          </w:rPr>
          <w:instrText xml:space="preserve"> PAGEREF _Toc220019281 \h </w:instrText>
        </w:r>
        <w:r>
          <w:rPr>
            <w:noProof/>
            <w:webHidden/>
          </w:rPr>
        </w:r>
        <w:r>
          <w:rPr>
            <w:noProof/>
            <w:webHidden/>
          </w:rPr>
          <w:fldChar w:fldCharType="separate"/>
        </w:r>
        <w:r w:rsidR="001B2155">
          <w:rPr>
            <w:noProof/>
            <w:webHidden/>
          </w:rPr>
          <w:t>7</w:t>
        </w:r>
        <w:r>
          <w:rPr>
            <w:noProof/>
            <w:webHidden/>
          </w:rPr>
          <w:fldChar w:fldCharType="end"/>
        </w:r>
      </w:hyperlink>
    </w:p>
    <w:p w14:paraId="3C0EAE20" w14:textId="7B7F66DB" w:rsidR="003215A1" w:rsidRDefault="003215A1">
      <w:pPr>
        <w:pStyle w:val="TOC2"/>
        <w:tabs>
          <w:tab w:val="left" w:pos="960"/>
          <w:tab w:val="right" w:leader="dot" w:pos="9350"/>
        </w:tabs>
        <w:rPr>
          <w:rFonts w:ascii="Calibri" w:hAnsi="Calibri"/>
          <w:noProof/>
          <w:kern w:val="2"/>
          <w:lang w:val="en-CA"/>
        </w:rPr>
      </w:pPr>
      <w:hyperlink w:anchor="_Toc220019282" w:history="1">
        <w:r w:rsidRPr="00E379AC">
          <w:rPr>
            <w:rStyle w:val="Hyperlink"/>
            <w:noProof/>
          </w:rPr>
          <w:t>(iii)</w:t>
        </w:r>
        <w:r>
          <w:rPr>
            <w:rFonts w:ascii="Calibri" w:hAnsi="Calibri"/>
            <w:noProof/>
            <w:kern w:val="2"/>
            <w:lang w:val="en-CA"/>
          </w:rPr>
          <w:tab/>
        </w:r>
        <w:r w:rsidRPr="00E379AC">
          <w:rPr>
            <w:rStyle w:val="Hyperlink"/>
            <w:i/>
            <w:iCs/>
            <w:noProof/>
          </w:rPr>
          <w:t>The OCJ did not create a contemporaneity requirement to convict under ESA s 10(1)(a).</w:t>
        </w:r>
        <w:r>
          <w:rPr>
            <w:noProof/>
            <w:webHidden/>
          </w:rPr>
          <w:tab/>
        </w:r>
        <w:r>
          <w:rPr>
            <w:noProof/>
            <w:webHidden/>
          </w:rPr>
          <w:fldChar w:fldCharType="begin"/>
        </w:r>
        <w:r>
          <w:rPr>
            <w:noProof/>
            <w:webHidden/>
          </w:rPr>
          <w:instrText xml:space="preserve"> PAGEREF _Toc220019282 \h </w:instrText>
        </w:r>
        <w:r>
          <w:rPr>
            <w:noProof/>
            <w:webHidden/>
          </w:rPr>
        </w:r>
        <w:r>
          <w:rPr>
            <w:noProof/>
            <w:webHidden/>
          </w:rPr>
          <w:fldChar w:fldCharType="separate"/>
        </w:r>
        <w:r w:rsidR="001B2155">
          <w:rPr>
            <w:noProof/>
            <w:webHidden/>
          </w:rPr>
          <w:t>9</w:t>
        </w:r>
        <w:r>
          <w:rPr>
            <w:noProof/>
            <w:webHidden/>
          </w:rPr>
          <w:fldChar w:fldCharType="end"/>
        </w:r>
      </w:hyperlink>
    </w:p>
    <w:p w14:paraId="1A3AC8CF" w14:textId="07B3065E" w:rsidR="003215A1" w:rsidRDefault="003215A1">
      <w:pPr>
        <w:pStyle w:val="TOC2"/>
        <w:tabs>
          <w:tab w:val="left" w:pos="720"/>
          <w:tab w:val="right" w:leader="dot" w:pos="9350"/>
        </w:tabs>
        <w:rPr>
          <w:rFonts w:ascii="Calibri" w:hAnsi="Calibri"/>
          <w:noProof/>
          <w:kern w:val="2"/>
          <w:lang w:val="en-CA"/>
        </w:rPr>
      </w:pPr>
      <w:hyperlink w:anchor="_Toc220019283" w:history="1">
        <w:r w:rsidRPr="00E379AC">
          <w:rPr>
            <w:rStyle w:val="Hyperlink"/>
            <w:noProof/>
          </w:rPr>
          <w:t>C.</w:t>
        </w:r>
        <w:r>
          <w:rPr>
            <w:rFonts w:ascii="Calibri" w:hAnsi="Calibri"/>
            <w:noProof/>
            <w:kern w:val="2"/>
            <w:lang w:val="en-CA"/>
          </w:rPr>
          <w:tab/>
        </w:r>
        <w:r w:rsidRPr="00E379AC">
          <w:rPr>
            <w:rStyle w:val="Hyperlink"/>
            <w:noProof/>
          </w:rPr>
          <w:t>The OCJ correctly held that the Trial Justice erred by relying on the General Habitat Description to support a conviction under s 10(1) of the ESA</w:t>
        </w:r>
        <w:r>
          <w:rPr>
            <w:noProof/>
            <w:webHidden/>
          </w:rPr>
          <w:tab/>
        </w:r>
        <w:r>
          <w:rPr>
            <w:noProof/>
            <w:webHidden/>
          </w:rPr>
          <w:fldChar w:fldCharType="begin"/>
        </w:r>
        <w:r>
          <w:rPr>
            <w:noProof/>
            <w:webHidden/>
          </w:rPr>
          <w:instrText xml:space="preserve"> PAGEREF _Toc220019283 \h </w:instrText>
        </w:r>
        <w:r>
          <w:rPr>
            <w:noProof/>
            <w:webHidden/>
          </w:rPr>
        </w:r>
        <w:r>
          <w:rPr>
            <w:noProof/>
            <w:webHidden/>
          </w:rPr>
          <w:fldChar w:fldCharType="separate"/>
        </w:r>
        <w:r w:rsidR="001B2155">
          <w:rPr>
            <w:noProof/>
            <w:webHidden/>
          </w:rPr>
          <w:t>9</w:t>
        </w:r>
        <w:r>
          <w:rPr>
            <w:noProof/>
            <w:webHidden/>
          </w:rPr>
          <w:fldChar w:fldCharType="end"/>
        </w:r>
      </w:hyperlink>
    </w:p>
    <w:p w14:paraId="5C36761A" w14:textId="70EAA7E1" w:rsidR="003215A1" w:rsidRDefault="003215A1">
      <w:pPr>
        <w:pStyle w:val="TOC3"/>
        <w:tabs>
          <w:tab w:val="left" w:pos="960"/>
          <w:tab w:val="right" w:leader="dot" w:pos="9350"/>
        </w:tabs>
        <w:rPr>
          <w:rFonts w:ascii="Calibri" w:hAnsi="Calibri"/>
          <w:noProof/>
          <w:kern w:val="2"/>
          <w:lang w:val="en-CA"/>
        </w:rPr>
      </w:pPr>
      <w:hyperlink w:anchor="_Toc220019284" w:history="1">
        <w:r w:rsidRPr="00E379AC">
          <w:rPr>
            <w:rStyle w:val="Hyperlink"/>
            <w:noProof/>
          </w:rPr>
          <w:t>(i)</w:t>
        </w:r>
        <w:r>
          <w:rPr>
            <w:rFonts w:ascii="Calibri" w:hAnsi="Calibri"/>
            <w:noProof/>
            <w:kern w:val="2"/>
            <w:lang w:val="en-CA"/>
          </w:rPr>
          <w:tab/>
        </w:r>
        <w:r w:rsidRPr="00E379AC">
          <w:rPr>
            <w:rStyle w:val="Hyperlink"/>
            <w:i/>
            <w:iCs/>
            <w:noProof/>
          </w:rPr>
          <w:t xml:space="preserve"> The General Habitat Description is a general, non-Site-specific document</w:t>
        </w:r>
        <w:r>
          <w:rPr>
            <w:noProof/>
            <w:webHidden/>
          </w:rPr>
          <w:tab/>
        </w:r>
        <w:r>
          <w:rPr>
            <w:noProof/>
            <w:webHidden/>
          </w:rPr>
          <w:fldChar w:fldCharType="begin"/>
        </w:r>
        <w:r>
          <w:rPr>
            <w:noProof/>
            <w:webHidden/>
          </w:rPr>
          <w:instrText xml:space="preserve"> PAGEREF _Toc220019284 \h </w:instrText>
        </w:r>
        <w:r>
          <w:rPr>
            <w:noProof/>
            <w:webHidden/>
          </w:rPr>
        </w:r>
        <w:r>
          <w:rPr>
            <w:noProof/>
            <w:webHidden/>
          </w:rPr>
          <w:fldChar w:fldCharType="separate"/>
        </w:r>
        <w:r w:rsidR="001B2155">
          <w:rPr>
            <w:noProof/>
            <w:webHidden/>
          </w:rPr>
          <w:t>10</w:t>
        </w:r>
        <w:r>
          <w:rPr>
            <w:noProof/>
            <w:webHidden/>
          </w:rPr>
          <w:fldChar w:fldCharType="end"/>
        </w:r>
      </w:hyperlink>
    </w:p>
    <w:p w14:paraId="305DB989" w14:textId="0F975AD1" w:rsidR="003215A1" w:rsidRDefault="003215A1">
      <w:pPr>
        <w:pStyle w:val="TOC3"/>
        <w:tabs>
          <w:tab w:val="left" w:pos="1200"/>
          <w:tab w:val="right" w:leader="dot" w:pos="9350"/>
        </w:tabs>
        <w:rPr>
          <w:rFonts w:ascii="Calibri" w:hAnsi="Calibri"/>
          <w:noProof/>
          <w:kern w:val="2"/>
          <w:lang w:val="en-CA"/>
        </w:rPr>
      </w:pPr>
      <w:hyperlink w:anchor="_Toc220019285" w:history="1">
        <w:r w:rsidRPr="00E379AC">
          <w:rPr>
            <w:rStyle w:val="Hyperlink"/>
            <w:noProof/>
          </w:rPr>
          <w:t>(ii)</w:t>
        </w:r>
        <w:r>
          <w:rPr>
            <w:rFonts w:ascii="Calibri" w:hAnsi="Calibri"/>
            <w:noProof/>
            <w:kern w:val="2"/>
            <w:lang w:val="en-CA"/>
          </w:rPr>
          <w:tab/>
        </w:r>
        <w:r w:rsidRPr="00E379AC">
          <w:rPr>
            <w:rStyle w:val="Hyperlink"/>
            <w:i/>
            <w:iCs/>
            <w:noProof/>
          </w:rPr>
          <w:t xml:space="preserve"> The OCJ correctly held the GHD was not site-specific and thus could not support a conviction under s 10(1).</w:t>
        </w:r>
        <w:r>
          <w:rPr>
            <w:noProof/>
            <w:webHidden/>
          </w:rPr>
          <w:tab/>
        </w:r>
        <w:r>
          <w:rPr>
            <w:noProof/>
            <w:webHidden/>
          </w:rPr>
          <w:fldChar w:fldCharType="begin"/>
        </w:r>
        <w:r>
          <w:rPr>
            <w:noProof/>
            <w:webHidden/>
          </w:rPr>
          <w:instrText xml:space="preserve"> PAGEREF _Toc220019285 \h </w:instrText>
        </w:r>
        <w:r>
          <w:rPr>
            <w:noProof/>
            <w:webHidden/>
          </w:rPr>
        </w:r>
        <w:r>
          <w:rPr>
            <w:noProof/>
            <w:webHidden/>
          </w:rPr>
          <w:fldChar w:fldCharType="separate"/>
        </w:r>
        <w:r w:rsidR="001B2155">
          <w:rPr>
            <w:noProof/>
            <w:webHidden/>
          </w:rPr>
          <w:t>11</w:t>
        </w:r>
        <w:r>
          <w:rPr>
            <w:noProof/>
            <w:webHidden/>
          </w:rPr>
          <w:fldChar w:fldCharType="end"/>
        </w:r>
      </w:hyperlink>
    </w:p>
    <w:p w14:paraId="16A37A70" w14:textId="4DF3E5D9" w:rsidR="003215A1" w:rsidRDefault="003215A1">
      <w:pPr>
        <w:pStyle w:val="TOC2"/>
        <w:tabs>
          <w:tab w:val="left" w:pos="960"/>
          <w:tab w:val="right" w:leader="dot" w:pos="9350"/>
        </w:tabs>
        <w:rPr>
          <w:rFonts w:ascii="Calibri" w:hAnsi="Calibri"/>
          <w:noProof/>
          <w:kern w:val="2"/>
          <w:lang w:val="en-CA"/>
        </w:rPr>
      </w:pPr>
      <w:hyperlink w:anchor="_Toc220019286" w:history="1">
        <w:r w:rsidRPr="00E379AC">
          <w:rPr>
            <w:rStyle w:val="Hyperlink"/>
            <w:noProof/>
          </w:rPr>
          <w:t xml:space="preserve">D. </w:t>
        </w:r>
        <w:r>
          <w:rPr>
            <w:rFonts w:ascii="Calibri" w:hAnsi="Calibri"/>
            <w:noProof/>
            <w:kern w:val="2"/>
            <w:lang w:val="en-CA"/>
          </w:rPr>
          <w:tab/>
        </w:r>
        <w:r w:rsidRPr="00E379AC">
          <w:rPr>
            <w:rStyle w:val="Hyperlink"/>
            <w:noProof/>
          </w:rPr>
          <w:t>The OCJ Correctly Interpreted and Applied the Definition of ‘Habitat’</w:t>
        </w:r>
        <w:r>
          <w:rPr>
            <w:noProof/>
            <w:webHidden/>
          </w:rPr>
          <w:tab/>
        </w:r>
        <w:r>
          <w:rPr>
            <w:noProof/>
            <w:webHidden/>
          </w:rPr>
          <w:fldChar w:fldCharType="begin"/>
        </w:r>
        <w:r>
          <w:rPr>
            <w:noProof/>
            <w:webHidden/>
          </w:rPr>
          <w:instrText xml:space="preserve"> PAGEREF _Toc220019286 \h </w:instrText>
        </w:r>
        <w:r>
          <w:rPr>
            <w:noProof/>
            <w:webHidden/>
          </w:rPr>
        </w:r>
        <w:r>
          <w:rPr>
            <w:noProof/>
            <w:webHidden/>
          </w:rPr>
          <w:fldChar w:fldCharType="separate"/>
        </w:r>
        <w:r w:rsidR="001B2155">
          <w:rPr>
            <w:noProof/>
            <w:webHidden/>
          </w:rPr>
          <w:t>12</w:t>
        </w:r>
        <w:r>
          <w:rPr>
            <w:noProof/>
            <w:webHidden/>
          </w:rPr>
          <w:fldChar w:fldCharType="end"/>
        </w:r>
      </w:hyperlink>
    </w:p>
    <w:p w14:paraId="189CE0F9" w14:textId="355500A2" w:rsidR="003215A1" w:rsidRDefault="003215A1">
      <w:pPr>
        <w:pStyle w:val="TOC3"/>
        <w:tabs>
          <w:tab w:val="left" w:pos="960"/>
          <w:tab w:val="right" w:leader="dot" w:pos="9350"/>
        </w:tabs>
        <w:rPr>
          <w:rFonts w:ascii="Calibri" w:hAnsi="Calibri"/>
          <w:noProof/>
          <w:kern w:val="2"/>
          <w:lang w:val="en-CA"/>
        </w:rPr>
      </w:pPr>
      <w:hyperlink w:anchor="_Toc220019287" w:history="1">
        <w:r w:rsidRPr="00E379AC">
          <w:rPr>
            <w:rStyle w:val="Hyperlink"/>
            <w:noProof/>
          </w:rPr>
          <w:t>(i)</w:t>
        </w:r>
        <w:r>
          <w:rPr>
            <w:rFonts w:ascii="Calibri" w:hAnsi="Calibri"/>
            <w:noProof/>
            <w:kern w:val="2"/>
            <w:lang w:val="en-CA"/>
          </w:rPr>
          <w:tab/>
        </w:r>
        <w:r w:rsidRPr="00E379AC">
          <w:rPr>
            <w:rStyle w:val="Hyperlink"/>
            <w:i/>
            <w:iCs/>
            <w:noProof/>
          </w:rPr>
          <w:t>The OCJ correctly held that the Site was not ‘habitat’ due to the lack of evidence of dependence by ‘existing members of the species’</w:t>
        </w:r>
        <w:r>
          <w:rPr>
            <w:noProof/>
            <w:webHidden/>
          </w:rPr>
          <w:tab/>
        </w:r>
        <w:r>
          <w:rPr>
            <w:noProof/>
            <w:webHidden/>
          </w:rPr>
          <w:fldChar w:fldCharType="begin"/>
        </w:r>
        <w:r>
          <w:rPr>
            <w:noProof/>
            <w:webHidden/>
          </w:rPr>
          <w:instrText xml:space="preserve"> PAGEREF _Toc220019287 \h </w:instrText>
        </w:r>
        <w:r>
          <w:rPr>
            <w:noProof/>
            <w:webHidden/>
          </w:rPr>
        </w:r>
        <w:r>
          <w:rPr>
            <w:noProof/>
            <w:webHidden/>
          </w:rPr>
          <w:fldChar w:fldCharType="separate"/>
        </w:r>
        <w:r w:rsidR="001B2155">
          <w:rPr>
            <w:noProof/>
            <w:webHidden/>
          </w:rPr>
          <w:t>12</w:t>
        </w:r>
        <w:r>
          <w:rPr>
            <w:noProof/>
            <w:webHidden/>
          </w:rPr>
          <w:fldChar w:fldCharType="end"/>
        </w:r>
      </w:hyperlink>
    </w:p>
    <w:p w14:paraId="556F7278" w14:textId="66A9F80D" w:rsidR="003215A1" w:rsidRDefault="003215A1">
      <w:pPr>
        <w:pStyle w:val="TOC3"/>
        <w:tabs>
          <w:tab w:val="left" w:pos="1200"/>
          <w:tab w:val="right" w:leader="dot" w:pos="9350"/>
        </w:tabs>
        <w:rPr>
          <w:rFonts w:ascii="Calibri" w:hAnsi="Calibri"/>
          <w:noProof/>
          <w:kern w:val="2"/>
          <w:lang w:val="en-CA"/>
        </w:rPr>
      </w:pPr>
      <w:hyperlink w:anchor="_Toc220019288" w:history="1">
        <w:r w:rsidRPr="00E379AC">
          <w:rPr>
            <w:rStyle w:val="Hyperlink"/>
            <w:noProof/>
          </w:rPr>
          <w:t>(ii)</w:t>
        </w:r>
        <w:r>
          <w:rPr>
            <w:rFonts w:ascii="Calibri" w:hAnsi="Calibri"/>
            <w:noProof/>
            <w:kern w:val="2"/>
            <w:lang w:val="en-CA"/>
          </w:rPr>
          <w:tab/>
        </w:r>
        <w:r w:rsidRPr="00E379AC">
          <w:rPr>
            <w:rStyle w:val="Hyperlink"/>
            <w:i/>
            <w:iCs/>
            <w:noProof/>
          </w:rPr>
          <w:t>The OCJ’s interpretation of s 2(1)(b) aligns with and balances the ESA’s multiple objectives of conservation and sustainable development</w:t>
        </w:r>
        <w:r>
          <w:rPr>
            <w:noProof/>
            <w:webHidden/>
          </w:rPr>
          <w:tab/>
        </w:r>
        <w:r>
          <w:rPr>
            <w:noProof/>
            <w:webHidden/>
          </w:rPr>
          <w:fldChar w:fldCharType="begin"/>
        </w:r>
        <w:r>
          <w:rPr>
            <w:noProof/>
            <w:webHidden/>
          </w:rPr>
          <w:instrText xml:space="preserve"> PAGEREF _Toc220019288 \h </w:instrText>
        </w:r>
        <w:r>
          <w:rPr>
            <w:noProof/>
            <w:webHidden/>
          </w:rPr>
        </w:r>
        <w:r>
          <w:rPr>
            <w:noProof/>
            <w:webHidden/>
          </w:rPr>
          <w:fldChar w:fldCharType="separate"/>
        </w:r>
        <w:r w:rsidR="001B2155">
          <w:rPr>
            <w:noProof/>
            <w:webHidden/>
          </w:rPr>
          <w:t>15</w:t>
        </w:r>
        <w:r>
          <w:rPr>
            <w:noProof/>
            <w:webHidden/>
          </w:rPr>
          <w:fldChar w:fldCharType="end"/>
        </w:r>
      </w:hyperlink>
    </w:p>
    <w:p w14:paraId="2F874068" w14:textId="51181F05" w:rsidR="003215A1" w:rsidRDefault="003215A1">
      <w:pPr>
        <w:pStyle w:val="TOC3"/>
        <w:tabs>
          <w:tab w:val="left" w:pos="1200"/>
          <w:tab w:val="right" w:leader="dot" w:pos="9350"/>
        </w:tabs>
        <w:rPr>
          <w:rFonts w:ascii="Calibri" w:hAnsi="Calibri"/>
          <w:noProof/>
          <w:kern w:val="2"/>
          <w:lang w:val="en-CA"/>
        </w:rPr>
      </w:pPr>
      <w:hyperlink w:anchor="_Toc220019289" w:history="1">
        <w:r w:rsidRPr="00E379AC">
          <w:rPr>
            <w:rStyle w:val="Hyperlink"/>
            <w:noProof/>
          </w:rPr>
          <w:t>(iii)</w:t>
        </w:r>
        <w:r>
          <w:rPr>
            <w:rFonts w:ascii="Calibri" w:hAnsi="Calibri"/>
            <w:noProof/>
            <w:kern w:val="2"/>
            <w:lang w:val="en-CA"/>
          </w:rPr>
          <w:tab/>
        </w:r>
        <w:r w:rsidRPr="00E379AC">
          <w:rPr>
            <w:rStyle w:val="Hyperlink"/>
            <w:i/>
            <w:iCs/>
            <w:noProof/>
          </w:rPr>
          <w:t>The OCJ was correct to reject the Trial Justice’s interpretation of s 2(1)(b), as it would result in an absurdity</w:t>
        </w:r>
        <w:r>
          <w:rPr>
            <w:noProof/>
            <w:webHidden/>
          </w:rPr>
          <w:tab/>
        </w:r>
        <w:r>
          <w:rPr>
            <w:noProof/>
            <w:webHidden/>
          </w:rPr>
          <w:fldChar w:fldCharType="begin"/>
        </w:r>
        <w:r>
          <w:rPr>
            <w:noProof/>
            <w:webHidden/>
          </w:rPr>
          <w:instrText xml:space="preserve"> PAGEREF _Toc220019289 \h </w:instrText>
        </w:r>
        <w:r>
          <w:rPr>
            <w:noProof/>
            <w:webHidden/>
          </w:rPr>
        </w:r>
        <w:r>
          <w:rPr>
            <w:noProof/>
            <w:webHidden/>
          </w:rPr>
          <w:fldChar w:fldCharType="separate"/>
        </w:r>
        <w:r w:rsidR="001B2155">
          <w:rPr>
            <w:noProof/>
            <w:webHidden/>
          </w:rPr>
          <w:t>17</w:t>
        </w:r>
        <w:r>
          <w:rPr>
            <w:noProof/>
            <w:webHidden/>
          </w:rPr>
          <w:fldChar w:fldCharType="end"/>
        </w:r>
      </w:hyperlink>
    </w:p>
    <w:p w14:paraId="72BEB550" w14:textId="2EE4F84D" w:rsidR="003215A1" w:rsidRDefault="003215A1">
      <w:pPr>
        <w:pStyle w:val="TOC2"/>
        <w:tabs>
          <w:tab w:val="left" w:pos="720"/>
          <w:tab w:val="right" w:leader="dot" w:pos="9350"/>
        </w:tabs>
        <w:rPr>
          <w:rFonts w:ascii="Calibri" w:hAnsi="Calibri"/>
          <w:noProof/>
          <w:kern w:val="2"/>
          <w:lang w:val="en-CA"/>
        </w:rPr>
      </w:pPr>
      <w:hyperlink w:anchor="_Toc220019290" w:history="1">
        <w:r w:rsidRPr="00E379AC">
          <w:rPr>
            <w:rStyle w:val="Hyperlink"/>
            <w:noProof/>
          </w:rPr>
          <w:t>E.</w:t>
        </w:r>
        <w:r>
          <w:rPr>
            <w:rFonts w:ascii="Calibri" w:hAnsi="Calibri"/>
            <w:noProof/>
            <w:kern w:val="2"/>
            <w:lang w:val="en-CA"/>
          </w:rPr>
          <w:tab/>
        </w:r>
        <w:r w:rsidRPr="00E379AC">
          <w:rPr>
            <w:rStyle w:val="Hyperlink"/>
            <w:noProof/>
          </w:rPr>
          <w:t>CHL would not have been convicted if the amended definition of ‘habitat’ was in force when they were charged and tried</w:t>
        </w:r>
        <w:r>
          <w:rPr>
            <w:noProof/>
            <w:webHidden/>
          </w:rPr>
          <w:tab/>
        </w:r>
        <w:r>
          <w:rPr>
            <w:noProof/>
            <w:webHidden/>
          </w:rPr>
          <w:fldChar w:fldCharType="begin"/>
        </w:r>
        <w:r>
          <w:rPr>
            <w:noProof/>
            <w:webHidden/>
          </w:rPr>
          <w:instrText xml:space="preserve"> PAGEREF _Toc220019290 \h </w:instrText>
        </w:r>
        <w:r>
          <w:rPr>
            <w:noProof/>
            <w:webHidden/>
          </w:rPr>
        </w:r>
        <w:r>
          <w:rPr>
            <w:noProof/>
            <w:webHidden/>
          </w:rPr>
          <w:fldChar w:fldCharType="separate"/>
        </w:r>
        <w:r w:rsidR="001B2155">
          <w:rPr>
            <w:noProof/>
            <w:webHidden/>
          </w:rPr>
          <w:t>18</w:t>
        </w:r>
        <w:r>
          <w:rPr>
            <w:noProof/>
            <w:webHidden/>
          </w:rPr>
          <w:fldChar w:fldCharType="end"/>
        </w:r>
      </w:hyperlink>
    </w:p>
    <w:p w14:paraId="193EAE9C" w14:textId="0DF46A66" w:rsidR="003215A1" w:rsidRDefault="003215A1">
      <w:pPr>
        <w:pStyle w:val="TOC1"/>
        <w:tabs>
          <w:tab w:val="right" w:leader="dot" w:pos="9350"/>
        </w:tabs>
        <w:rPr>
          <w:rFonts w:ascii="Calibri" w:hAnsi="Calibri"/>
          <w:noProof/>
          <w:kern w:val="2"/>
          <w:lang w:val="en-CA"/>
        </w:rPr>
      </w:pPr>
      <w:hyperlink w:anchor="_Toc220019291" w:history="1">
        <w:r w:rsidRPr="00E379AC">
          <w:rPr>
            <w:rStyle w:val="Hyperlink"/>
            <w:noProof/>
          </w:rPr>
          <w:t>PART IV -- SUBMISSIONS IN SUPPORT OF COSTS</w:t>
        </w:r>
        <w:r>
          <w:rPr>
            <w:noProof/>
            <w:webHidden/>
          </w:rPr>
          <w:tab/>
        </w:r>
        <w:r>
          <w:rPr>
            <w:noProof/>
            <w:webHidden/>
          </w:rPr>
          <w:fldChar w:fldCharType="begin"/>
        </w:r>
        <w:r>
          <w:rPr>
            <w:noProof/>
            <w:webHidden/>
          </w:rPr>
          <w:instrText xml:space="preserve"> PAGEREF _Toc220019291 \h </w:instrText>
        </w:r>
        <w:r>
          <w:rPr>
            <w:noProof/>
            <w:webHidden/>
          </w:rPr>
        </w:r>
        <w:r>
          <w:rPr>
            <w:noProof/>
            <w:webHidden/>
          </w:rPr>
          <w:fldChar w:fldCharType="separate"/>
        </w:r>
        <w:r w:rsidR="001B2155">
          <w:rPr>
            <w:noProof/>
            <w:webHidden/>
          </w:rPr>
          <w:t>20</w:t>
        </w:r>
        <w:r>
          <w:rPr>
            <w:noProof/>
            <w:webHidden/>
          </w:rPr>
          <w:fldChar w:fldCharType="end"/>
        </w:r>
      </w:hyperlink>
    </w:p>
    <w:p w14:paraId="14BD4368" w14:textId="611725FD" w:rsidR="003215A1" w:rsidRDefault="003215A1">
      <w:pPr>
        <w:pStyle w:val="TOC1"/>
        <w:tabs>
          <w:tab w:val="right" w:leader="dot" w:pos="9350"/>
        </w:tabs>
        <w:rPr>
          <w:rFonts w:ascii="Calibri" w:hAnsi="Calibri"/>
          <w:noProof/>
          <w:kern w:val="2"/>
          <w:lang w:val="en-CA"/>
        </w:rPr>
      </w:pPr>
      <w:hyperlink w:anchor="_Toc220019292" w:history="1">
        <w:r w:rsidRPr="00E379AC">
          <w:rPr>
            <w:rStyle w:val="Hyperlink"/>
            <w:noProof/>
          </w:rPr>
          <w:t>PART V -- ORDER SOUGHT</w:t>
        </w:r>
        <w:r>
          <w:rPr>
            <w:noProof/>
            <w:webHidden/>
          </w:rPr>
          <w:tab/>
        </w:r>
        <w:r>
          <w:rPr>
            <w:noProof/>
            <w:webHidden/>
          </w:rPr>
          <w:fldChar w:fldCharType="begin"/>
        </w:r>
        <w:r>
          <w:rPr>
            <w:noProof/>
            <w:webHidden/>
          </w:rPr>
          <w:instrText xml:space="preserve"> PAGEREF _Toc220019292 \h </w:instrText>
        </w:r>
        <w:r>
          <w:rPr>
            <w:noProof/>
            <w:webHidden/>
          </w:rPr>
        </w:r>
        <w:r>
          <w:rPr>
            <w:noProof/>
            <w:webHidden/>
          </w:rPr>
          <w:fldChar w:fldCharType="separate"/>
        </w:r>
        <w:r w:rsidR="001B2155">
          <w:rPr>
            <w:noProof/>
            <w:webHidden/>
          </w:rPr>
          <w:t>20</w:t>
        </w:r>
        <w:r>
          <w:rPr>
            <w:noProof/>
            <w:webHidden/>
          </w:rPr>
          <w:fldChar w:fldCharType="end"/>
        </w:r>
      </w:hyperlink>
    </w:p>
    <w:p w14:paraId="3BCFB11E" w14:textId="5BF097B3" w:rsidR="003215A1" w:rsidRDefault="003215A1">
      <w:pPr>
        <w:pStyle w:val="TOC1"/>
        <w:tabs>
          <w:tab w:val="right" w:leader="dot" w:pos="9350"/>
        </w:tabs>
        <w:rPr>
          <w:rFonts w:ascii="Calibri" w:hAnsi="Calibri"/>
          <w:noProof/>
          <w:kern w:val="2"/>
          <w:lang w:val="en-CA"/>
        </w:rPr>
      </w:pPr>
      <w:hyperlink w:anchor="_Toc220019293" w:history="1">
        <w:r w:rsidRPr="00E379AC">
          <w:rPr>
            <w:rStyle w:val="Hyperlink"/>
            <w:noProof/>
          </w:rPr>
          <w:t>PART VI -- TABLE OF AUTHORITIES</w:t>
        </w:r>
        <w:r>
          <w:rPr>
            <w:noProof/>
            <w:webHidden/>
          </w:rPr>
          <w:tab/>
        </w:r>
        <w:r>
          <w:rPr>
            <w:noProof/>
            <w:webHidden/>
          </w:rPr>
          <w:fldChar w:fldCharType="begin"/>
        </w:r>
        <w:r>
          <w:rPr>
            <w:noProof/>
            <w:webHidden/>
          </w:rPr>
          <w:instrText xml:space="preserve"> PAGEREF _Toc220019293 \h </w:instrText>
        </w:r>
        <w:r>
          <w:rPr>
            <w:noProof/>
            <w:webHidden/>
          </w:rPr>
        </w:r>
        <w:r>
          <w:rPr>
            <w:noProof/>
            <w:webHidden/>
          </w:rPr>
          <w:fldChar w:fldCharType="separate"/>
        </w:r>
        <w:r w:rsidR="001B2155">
          <w:rPr>
            <w:noProof/>
            <w:webHidden/>
          </w:rPr>
          <w:t>21</w:t>
        </w:r>
        <w:r>
          <w:rPr>
            <w:noProof/>
            <w:webHidden/>
          </w:rPr>
          <w:fldChar w:fldCharType="end"/>
        </w:r>
      </w:hyperlink>
    </w:p>
    <w:p w14:paraId="29CA988D" w14:textId="2C0924D6" w:rsidR="003215A1" w:rsidRDefault="003215A1">
      <w:pPr>
        <w:pStyle w:val="TOC1"/>
        <w:tabs>
          <w:tab w:val="right" w:leader="dot" w:pos="9350"/>
        </w:tabs>
        <w:rPr>
          <w:rFonts w:ascii="Calibri" w:hAnsi="Calibri"/>
          <w:noProof/>
          <w:kern w:val="2"/>
          <w:lang w:val="en-CA"/>
        </w:rPr>
      </w:pPr>
      <w:hyperlink w:anchor="_Toc220019294" w:history="1">
        <w:r w:rsidRPr="00E379AC">
          <w:rPr>
            <w:rStyle w:val="Hyperlink"/>
            <w:noProof/>
          </w:rPr>
          <w:t>PART VII -- LEGISLATION AT ISSUE</w:t>
        </w:r>
        <w:r>
          <w:rPr>
            <w:noProof/>
            <w:webHidden/>
          </w:rPr>
          <w:tab/>
        </w:r>
        <w:r>
          <w:rPr>
            <w:noProof/>
            <w:webHidden/>
          </w:rPr>
          <w:fldChar w:fldCharType="begin"/>
        </w:r>
        <w:r>
          <w:rPr>
            <w:noProof/>
            <w:webHidden/>
          </w:rPr>
          <w:instrText xml:space="preserve"> PAGEREF _Toc220019294 \h </w:instrText>
        </w:r>
        <w:r>
          <w:rPr>
            <w:noProof/>
            <w:webHidden/>
          </w:rPr>
        </w:r>
        <w:r>
          <w:rPr>
            <w:noProof/>
            <w:webHidden/>
          </w:rPr>
          <w:fldChar w:fldCharType="separate"/>
        </w:r>
        <w:r w:rsidR="001B2155">
          <w:rPr>
            <w:noProof/>
            <w:webHidden/>
          </w:rPr>
          <w:t>23</w:t>
        </w:r>
        <w:r>
          <w:rPr>
            <w:noProof/>
            <w:webHidden/>
          </w:rPr>
          <w:fldChar w:fldCharType="end"/>
        </w:r>
      </w:hyperlink>
    </w:p>
    <w:p w14:paraId="22FAF62E" w14:textId="5C4B2C18" w:rsidR="00037BFB" w:rsidRDefault="00FE3380" w:rsidP="00CE4218">
      <w:pPr>
        <w:spacing w:line="360" w:lineRule="auto"/>
      </w:pPr>
      <w:r>
        <w:fldChar w:fldCharType="end"/>
      </w:r>
    </w:p>
    <w:p w14:paraId="10C312AA" w14:textId="77777777" w:rsidR="00037BFB" w:rsidRDefault="00037BFB" w:rsidP="00CE4218">
      <w:pPr>
        <w:spacing w:line="360" w:lineRule="auto"/>
        <w:sectPr w:rsidR="00037BFB" w:rsidSect="007C43C1">
          <w:pgSz w:w="12240" w:h="15840" w:code="1"/>
          <w:pgMar w:top="1440" w:right="1440" w:bottom="1440" w:left="1440" w:header="720" w:footer="720" w:gutter="0"/>
          <w:pgNumType w:fmt="lowerRoman" w:start="1"/>
          <w:cols w:space="720"/>
          <w:docGrid w:linePitch="360"/>
        </w:sectPr>
      </w:pPr>
    </w:p>
    <w:p w14:paraId="26AFAFF8" w14:textId="77777777" w:rsidR="00DD6E8C" w:rsidRPr="00D678D8" w:rsidRDefault="00DD6E8C" w:rsidP="00D678D8">
      <w:pPr>
        <w:pStyle w:val="Heading1"/>
        <w:rPr>
          <w:rFonts w:ascii="Times New Roman" w:hAnsi="Times New Roman"/>
          <w:sz w:val="24"/>
          <w:szCs w:val="24"/>
        </w:rPr>
      </w:pPr>
      <w:bookmarkStart w:id="0" w:name="_Toc271703729"/>
      <w:bookmarkStart w:id="1" w:name="_Toc220019273"/>
      <w:r w:rsidRPr="00D678D8">
        <w:rPr>
          <w:rFonts w:ascii="Times New Roman" w:hAnsi="Times New Roman"/>
          <w:sz w:val="24"/>
          <w:szCs w:val="24"/>
        </w:rPr>
        <w:lastRenderedPageBreak/>
        <w:t>OVERVIEW AND STATEMENT OF FACTS</w:t>
      </w:r>
      <w:bookmarkEnd w:id="0"/>
      <w:bookmarkEnd w:id="1"/>
    </w:p>
    <w:p w14:paraId="754C4C1A" w14:textId="77777777" w:rsidR="00DD6E8C" w:rsidRPr="00D678D8" w:rsidRDefault="00D678D8" w:rsidP="00DD6E8C">
      <w:pPr>
        <w:pStyle w:val="Heading2"/>
        <w:tabs>
          <w:tab w:val="num" w:pos="720"/>
        </w:tabs>
        <w:spacing w:before="0" w:after="0" w:line="360" w:lineRule="auto"/>
        <w:rPr>
          <w:rFonts w:ascii="Times New Roman" w:hAnsi="Times New Roman"/>
          <w:i w:val="0"/>
          <w:sz w:val="24"/>
          <w:szCs w:val="24"/>
        </w:rPr>
      </w:pPr>
      <w:bookmarkStart w:id="2" w:name="_Toc271703730"/>
      <w:bookmarkStart w:id="3" w:name="_Toc220019274"/>
      <w:r w:rsidRPr="00D678D8">
        <w:rPr>
          <w:rFonts w:ascii="Times New Roman" w:hAnsi="Times New Roman"/>
          <w:i w:val="0"/>
          <w:sz w:val="24"/>
          <w:szCs w:val="24"/>
        </w:rPr>
        <w:t xml:space="preserve">Overview of the </w:t>
      </w:r>
      <w:r w:rsidR="00EE2290">
        <w:rPr>
          <w:rFonts w:ascii="Times New Roman" w:hAnsi="Times New Roman"/>
          <w:i w:val="0"/>
          <w:sz w:val="24"/>
          <w:szCs w:val="24"/>
        </w:rPr>
        <w:t>Respondent</w:t>
      </w:r>
      <w:r w:rsidRPr="00D678D8">
        <w:rPr>
          <w:rFonts w:ascii="Times New Roman" w:hAnsi="Times New Roman"/>
          <w:i w:val="0"/>
          <w:sz w:val="24"/>
          <w:szCs w:val="24"/>
        </w:rPr>
        <w:t>’s Position</w:t>
      </w:r>
      <w:bookmarkEnd w:id="2"/>
      <w:bookmarkEnd w:id="3"/>
      <w:r w:rsidR="00DD6E8C" w:rsidRPr="00D678D8">
        <w:rPr>
          <w:rFonts w:ascii="Times New Roman" w:hAnsi="Times New Roman"/>
          <w:i w:val="0"/>
          <w:sz w:val="24"/>
          <w:szCs w:val="24"/>
        </w:rPr>
        <w:t xml:space="preserve"> </w:t>
      </w:r>
    </w:p>
    <w:p w14:paraId="04D3B656" w14:textId="1F2DB0F5" w:rsidR="00427162" w:rsidRDefault="00427162" w:rsidP="00427162">
      <w:pPr>
        <w:pStyle w:val="WSParaNum"/>
      </w:pPr>
      <w:r>
        <w:t xml:space="preserve">This appeal concerns the </w:t>
      </w:r>
      <w:r w:rsidR="00A20537">
        <w:t>balance</w:t>
      </w:r>
      <w:r>
        <w:t xml:space="preserve"> between protecting species and economic development. The Ontario Court of Justice did not err by acquitting Consolidated Homes Ltd. after they were charged for grubbing a small, polluted area of their worksite. For this reason, the appeal should be dismissed. </w:t>
      </w:r>
    </w:p>
    <w:p w14:paraId="429EAF21" w14:textId="143E0F70" w:rsidR="00B973D9" w:rsidRDefault="00A064F6" w:rsidP="00B973D9">
      <w:pPr>
        <w:pStyle w:val="WSParaNum"/>
      </w:pPr>
      <w:r>
        <w:t xml:space="preserve">Consolidated Homes Ltd. (“CHL”) is a responsible and experienced residential developer. In constructing a condominium development </w:t>
      </w:r>
      <w:r w:rsidR="00B973D9">
        <w:t>near Circle Lake</w:t>
      </w:r>
      <w:r w:rsidR="00B973D9" w:rsidRPr="00B973D9">
        <w:t xml:space="preserve"> </w:t>
      </w:r>
      <w:r w:rsidR="00B973D9">
        <w:t xml:space="preserve">in North Bay, they </w:t>
      </w:r>
      <w:r w:rsidR="00E24BC6">
        <w:t xml:space="preserve">went </w:t>
      </w:r>
      <w:r w:rsidR="00B973D9">
        <w:t>to great lengths to promote environmental stewardship by preparing an environmental impact study. CHL maintained a positive working relationship with the M</w:t>
      </w:r>
      <w:r w:rsidR="00E24BC6">
        <w:t xml:space="preserve">inistry of </w:t>
      </w:r>
      <w:r w:rsidR="00B973D9">
        <w:t>N</w:t>
      </w:r>
      <w:r w:rsidR="00E24BC6">
        <w:t xml:space="preserve">atural </w:t>
      </w:r>
      <w:r w:rsidR="00B973D9">
        <w:t>R</w:t>
      </w:r>
      <w:r w:rsidR="00E24BC6">
        <w:t>esources and Forestry (“MNRF”)</w:t>
      </w:r>
      <w:r w:rsidR="00B973D9">
        <w:t xml:space="preserve"> to identify and mitigate any impacts of their development on the habitat of the Blanding’s turtle</w:t>
      </w:r>
      <w:r w:rsidR="00420CF7">
        <w:t xml:space="preserve"> (the “Turtle”)</w:t>
      </w:r>
      <w:r w:rsidR="00B973D9">
        <w:t xml:space="preserve">. </w:t>
      </w:r>
    </w:p>
    <w:p w14:paraId="7509B62B" w14:textId="1AD3232C" w:rsidR="00903D40" w:rsidRDefault="00B973D9" w:rsidP="00B973D9">
      <w:pPr>
        <w:pStyle w:val="WSParaNum"/>
      </w:pPr>
      <w:r>
        <w:t>From June 1</w:t>
      </w:r>
      <w:r w:rsidRPr="00B973D9">
        <w:rPr>
          <w:vertAlign w:val="superscript"/>
        </w:rPr>
        <w:t>st</w:t>
      </w:r>
      <w:r>
        <w:t xml:space="preserve"> to August 5</w:t>
      </w:r>
      <w:r w:rsidRPr="00B973D9">
        <w:rPr>
          <w:vertAlign w:val="superscript"/>
        </w:rPr>
        <w:t>th</w:t>
      </w:r>
      <w:r w:rsidR="00624A0D">
        <w:t>, 2018</w:t>
      </w:r>
      <w:r>
        <w:t xml:space="preserve">, </w:t>
      </w:r>
      <w:r w:rsidR="00427162">
        <w:t xml:space="preserve">CHL was charged under s 10(1)(a) of the </w:t>
      </w:r>
      <w:r w:rsidR="00427162" w:rsidRPr="00B973D9">
        <w:rPr>
          <w:i/>
          <w:iCs/>
        </w:rPr>
        <w:t>Endangered Species Act</w:t>
      </w:r>
      <w:r w:rsidR="00A20537" w:rsidRPr="00B973D9">
        <w:rPr>
          <w:i/>
          <w:iCs/>
        </w:rPr>
        <w:t>, 2007, SO 2007, c6</w:t>
      </w:r>
      <w:r w:rsidR="00427162">
        <w:t xml:space="preserve"> (</w:t>
      </w:r>
      <w:r w:rsidR="00A20537">
        <w:t xml:space="preserve">the </w:t>
      </w:r>
      <w:r w:rsidR="00427162">
        <w:t>“</w:t>
      </w:r>
      <w:r w:rsidR="00427162" w:rsidRPr="00B973D9">
        <w:rPr>
          <w:i/>
          <w:iCs/>
        </w:rPr>
        <w:t>ESA</w:t>
      </w:r>
      <w:r w:rsidR="00427162">
        <w:t xml:space="preserve">”) for grubbing </w:t>
      </w:r>
      <w:r w:rsidR="00420CF7">
        <w:t>Turtle</w:t>
      </w:r>
      <w:r w:rsidR="00427162">
        <w:t xml:space="preserve"> habitat. </w:t>
      </w:r>
      <w:r w:rsidR="00903D40">
        <w:t xml:space="preserve">At trial, Justice of the Peace P. Nichols (the “Trial Justice”) found CHL guilty. </w:t>
      </w:r>
    </w:p>
    <w:p w14:paraId="1F501F8A" w14:textId="69745865" w:rsidR="00427162" w:rsidRDefault="00427162" w:rsidP="00427162">
      <w:pPr>
        <w:pStyle w:val="WSParaNum"/>
      </w:pPr>
      <w:r>
        <w:t xml:space="preserve">The evidence, however, </w:t>
      </w:r>
      <w:r w:rsidR="00A20537">
        <w:t>did</w:t>
      </w:r>
      <w:r>
        <w:t xml:space="preserve"> not establish beyond a reasonable doubt</w:t>
      </w:r>
      <w:r w:rsidR="00A20537">
        <w:t xml:space="preserve"> the area in issue met</w:t>
      </w:r>
      <w:r>
        <w:t xml:space="preserve"> the conditions necessary to constitute habitat under ss 2(1)(b) and 2(2) of the </w:t>
      </w:r>
      <w:r w:rsidRPr="00A20537">
        <w:rPr>
          <w:i/>
          <w:iCs/>
        </w:rPr>
        <w:t>ESA</w:t>
      </w:r>
      <w:r>
        <w:t xml:space="preserve">: dependence for an essential life process or </w:t>
      </w:r>
      <w:r w:rsidR="00A20537">
        <w:t xml:space="preserve">a </w:t>
      </w:r>
      <w:r>
        <w:t xml:space="preserve">residence </w:t>
      </w:r>
      <w:r w:rsidR="00A20537">
        <w:t>of</w:t>
      </w:r>
      <w:r>
        <w:t xml:space="preserve"> members of the species that exist in the region of the offence. The Ontario Court of Justice (</w:t>
      </w:r>
      <w:r w:rsidR="00A20537">
        <w:t xml:space="preserve">the </w:t>
      </w:r>
      <w:r>
        <w:t>“OCJ”) was correct in determining that the</w:t>
      </w:r>
      <w:r w:rsidR="00903D40">
        <w:t xml:space="preserve"> </w:t>
      </w:r>
      <w:r w:rsidR="00624A0D">
        <w:t xml:space="preserve">Trial Justice </w:t>
      </w:r>
      <w:r w:rsidR="00903D40">
        <w:t xml:space="preserve">erred finding these </w:t>
      </w:r>
      <w:r w:rsidRPr="00601F99">
        <w:t xml:space="preserve">conditions met at </w:t>
      </w:r>
      <w:r w:rsidR="00A064F6" w:rsidRPr="00601F99">
        <w:t xml:space="preserve">the small </w:t>
      </w:r>
      <w:r w:rsidR="00624A0D" w:rsidRPr="00601F99">
        <w:t xml:space="preserve">and </w:t>
      </w:r>
      <w:r w:rsidR="00A064F6" w:rsidRPr="00601F99">
        <w:t>polluted area that was</w:t>
      </w:r>
      <w:r w:rsidRPr="00601F99">
        <w:t xml:space="preserve"> grubbed</w:t>
      </w:r>
      <w:r>
        <w:t xml:space="preserve"> (</w:t>
      </w:r>
      <w:r w:rsidR="00903D40">
        <w:t xml:space="preserve">the </w:t>
      </w:r>
      <w:r>
        <w:t xml:space="preserve">“Site”). </w:t>
      </w:r>
    </w:p>
    <w:p w14:paraId="35677022" w14:textId="6A158843" w:rsidR="00624A0D" w:rsidRDefault="00624A0D" w:rsidP="00624A0D">
      <w:pPr>
        <w:pStyle w:val="WSParaNum"/>
      </w:pPr>
      <w:r>
        <w:t xml:space="preserve">The Trial Justice heavily relied on one expert witness, Mr. Snell, who could only go so far as to say there is a potential for the use of the Site as habitat. </w:t>
      </w:r>
    </w:p>
    <w:p w14:paraId="5BA143AF" w14:textId="77777777" w:rsidR="00601F99" w:rsidRDefault="00624A0D" w:rsidP="00601F99">
      <w:pPr>
        <w:pStyle w:val="WSParaNum"/>
      </w:pPr>
      <w:r>
        <w:t>On appeal</w:t>
      </w:r>
      <w:r w:rsidR="00A20537">
        <w:t xml:space="preserve">, the OCJ found that the Trial Justice erred by relying upon outdated sightings and a non-site-specific General Habitat Description (the “GHD”). The OCJ further determined </w:t>
      </w:r>
      <w:r w:rsidR="00903D40">
        <w:t xml:space="preserve">that the Trial Justice failed to consider several facts which led to the improper conclusion that the Site is Blanding’s turtle habitat under the </w:t>
      </w:r>
      <w:r w:rsidR="00903D40" w:rsidRPr="00624A0D">
        <w:rPr>
          <w:i/>
          <w:iCs/>
        </w:rPr>
        <w:t>ESA</w:t>
      </w:r>
      <w:r w:rsidR="00903D40">
        <w:t xml:space="preserve">. </w:t>
      </w:r>
    </w:p>
    <w:p w14:paraId="3A233F7C" w14:textId="7DB3C23C" w:rsidR="00601F99" w:rsidRPr="00D678D8" w:rsidRDefault="00427162" w:rsidP="00CC4FB7">
      <w:pPr>
        <w:pStyle w:val="WSParaNum"/>
      </w:pPr>
      <w:r>
        <w:lastRenderedPageBreak/>
        <w:t xml:space="preserve">In the judgement under appeal, the Ontario Court of Justice (“OCJ”) correctly </w:t>
      </w:r>
      <w:r w:rsidR="00624A0D">
        <w:t>acquitted CHL of the Trial Justice’s ruling</w:t>
      </w:r>
      <w:r>
        <w:t xml:space="preserve">. The OCJ found the weight placed on the sightings and GHD was misplaced and the evidence </w:t>
      </w:r>
      <w:r w:rsidR="00601F99">
        <w:t xml:space="preserve">could not establish the offence beyond a reasonable doubt. </w:t>
      </w:r>
    </w:p>
    <w:p w14:paraId="17319DDE" w14:textId="77777777" w:rsidR="00DD6E8C" w:rsidRPr="00D678D8" w:rsidRDefault="00EE2290" w:rsidP="00DD6E8C">
      <w:pPr>
        <w:pStyle w:val="Heading2"/>
        <w:tabs>
          <w:tab w:val="num" w:pos="720"/>
        </w:tabs>
        <w:spacing w:before="0" w:after="0" w:line="360" w:lineRule="auto"/>
        <w:rPr>
          <w:rFonts w:ascii="Times New Roman" w:hAnsi="Times New Roman"/>
          <w:i w:val="0"/>
          <w:sz w:val="24"/>
          <w:szCs w:val="24"/>
        </w:rPr>
      </w:pPr>
      <w:bookmarkStart w:id="4" w:name="_Toc271703731"/>
      <w:bookmarkStart w:id="5" w:name="_Toc220019275"/>
      <w:r>
        <w:rPr>
          <w:rFonts w:ascii="Times New Roman" w:hAnsi="Times New Roman"/>
          <w:i w:val="0"/>
          <w:sz w:val="24"/>
          <w:szCs w:val="24"/>
        </w:rPr>
        <w:t>Respondent’s Position with Respect to the Appellants</w:t>
      </w:r>
      <w:r w:rsidR="0011797A">
        <w:rPr>
          <w:rFonts w:ascii="Times New Roman" w:hAnsi="Times New Roman"/>
          <w:i w:val="0"/>
          <w:sz w:val="24"/>
          <w:szCs w:val="24"/>
        </w:rPr>
        <w:t>’</w:t>
      </w:r>
      <w:r>
        <w:rPr>
          <w:rFonts w:ascii="Times New Roman" w:hAnsi="Times New Roman"/>
          <w:i w:val="0"/>
          <w:sz w:val="24"/>
          <w:szCs w:val="24"/>
        </w:rPr>
        <w:t xml:space="preserve"> </w:t>
      </w:r>
      <w:r w:rsidR="00D678D8" w:rsidRPr="00D678D8">
        <w:rPr>
          <w:rFonts w:ascii="Times New Roman" w:hAnsi="Times New Roman"/>
          <w:i w:val="0"/>
          <w:sz w:val="24"/>
          <w:szCs w:val="24"/>
        </w:rPr>
        <w:t>Statement of the Facts</w:t>
      </w:r>
      <w:bookmarkEnd w:id="4"/>
      <w:bookmarkEnd w:id="5"/>
    </w:p>
    <w:p w14:paraId="79F144D0" w14:textId="7C2DABB4" w:rsidR="00B14E5E" w:rsidRDefault="00B14E5E" w:rsidP="00B14E5E">
      <w:pPr>
        <w:pStyle w:val="WSParaNum"/>
      </w:pPr>
      <w:r>
        <w:t>The Respondent raises no issue with the Appellant’s statement of facts</w:t>
      </w:r>
      <w:r w:rsidR="00601F99">
        <w:t xml:space="preserve"> but to </w:t>
      </w:r>
      <w:r>
        <w:t>provide</w:t>
      </w:r>
      <w:r w:rsidR="00601F99">
        <w:t xml:space="preserve"> </w:t>
      </w:r>
      <w:r>
        <w:t xml:space="preserve">context about the Site and CHL’s efforts to develop responsibly. </w:t>
      </w:r>
    </w:p>
    <w:p w14:paraId="7EF55805" w14:textId="4BC9079F" w:rsidR="00B14E5E" w:rsidRDefault="00B14E5E" w:rsidP="00B14E5E">
      <w:pPr>
        <w:pStyle w:val="WSParaNum"/>
      </w:pPr>
      <w:r>
        <w:t>CHL is an experienced developer in the North Bay region. Aware of the importance of preserving the habitat of species at risk</w:t>
      </w:r>
      <w:r w:rsidR="00A064F6">
        <w:t xml:space="preserve"> and their role of environmental stewardship during development</w:t>
      </w:r>
      <w:r>
        <w:t xml:space="preserve">, CHL had an environmental specialist, Mr. Bilz, prepare an environmental impact study on their behalf in May of 2010. </w:t>
      </w:r>
    </w:p>
    <w:p w14:paraId="10C44A67" w14:textId="5C942EFC" w:rsidR="00440AD3" w:rsidRPr="00B14E5E" w:rsidRDefault="000A22F2" w:rsidP="00CC4FB7">
      <w:pPr>
        <w:pStyle w:val="WSParaNum"/>
        <w:numPr>
          <w:ilvl w:val="0"/>
          <w:numId w:val="0"/>
        </w:numPr>
        <w:spacing w:line="240" w:lineRule="auto"/>
        <w:ind w:firstLine="720"/>
        <w:rPr>
          <w:sz w:val="20"/>
          <w:szCs w:val="20"/>
        </w:rPr>
      </w:pPr>
      <w:r w:rsidRPr="000A22F2">
        <w:rPr>
          <w:i/>
          <w:iCs/>
          <w:sz w:val="20"/>
          <w:szCs w:val="20"/>
        </w:rPr>
        <w:t>R v Consolidated Homes Ltd</w:t>
      </w:r>
      <w:r w:rsidRPr="000A22F2">
        <w:rPr>
          <w:sz w:val="20"/>
          <w:szCs w:val="20"/>
        </w:rPr>
        <w:t xml:space="preserve">. (12 October 2022), North Bay (OCJ) </w:t>
      </w:r>
      <w:r w:rsidR="00B14E5E" w:rsidRPr="00B14E5E">
        <w:rPr>
          <w:sz w:val="20"/>
          <w:szCs w:val="20"/>
        </w:rPr>
        <w:t>p 4 lines 15-20</w:t>
      </w:r>
      <w:r>
        <w:rPr>
          <w:sz w:val="20"/>
          <w:szCs w:val="20"/>
        </w:rPr>
        <w:t xml:space="preserve"> </w:t>
      </w:r>
      <w:r w:rsidRPr="000A22F2">
        <w:rPr>
          <w:sz w:val="20"/>
          <w:szCs w:val="20"/>
        </w:rPr>
        <w:t xml:space="preserve">[Trial] </w:t>
      </w:r>
      <w:r w:rsidRPr="00B14E5E">
        <w:rPr>
          <w:sz w:val="20"/>
          <w:szCs w:val="20"/>
        </w:rPr>
        <w:t xml:space="preserve"> </w:t>
      </w:r>
    </w:p>
    <w:p w14:paraId="4BE48BE0" w14:textId="5843F711" w:rsidR="00B14E5E" w:rsidRDefault="00B14E5E" w:rsidP="00B14E5E">
      <w:pPr>
        <w:pStyle w:val="WSParaNum"/>
      </w:pPr>
      <w:r>
        <w:t>Following the issuance of the stop order on March 2nd</w:t>
      </w:r>
      <w:r w:rsidR="00E24BC6">
        <w:t>, 2017</w:t>
      </w:r>
      <w:r>
        <w:t xml:space="preserve">, Mr. Bilz, Mr. Snell and employees from the MNRF mapped the boundary of the wetland in relation to the CHL’s </w:t>
      </w:r>
      <w:r w:rsidR="00201061">
        <w:t xml:space="preserve">planned </w:t>
      </w:r>
      <w:r>
        <w:t xml:space="preserve">condominium </w:t>
      </w:r>
      <w:r w:rsidR="00201061">
        <w:t>development</w:t>
      </w:r>
      <w:r>
        <w:t>. CHL adopted this new wetland boundary.</w:t>
      </w:r>
    </w:p>
    <w:p w14:paraId="32A0BCB4" w14:textId="50E46897" w:rsidR="00440AD3" w:rsidRPr="00440AD3" w:rsidRDefault="000A22F2" w:rsidP="00CC4FB7">
      <w:pPr>
        <w:pStyle w:val="WSParaNum"/>
        <w:numPr>
          <w:ilvl w:val="0"/>
          <w:numId w:val="0"/>
        </w:numPr>
        <w:spacing w:line="240" w:lineRule="auto"/>
        <w:ind w:firstLine="720"/>
        <w:rPr>
          <w:sz w:val="20"/>
          <w:szCs w:val="20"/>
        </w:rPr>
      </w:pPr>
      <w:r w:rsidRPr="000A22F2">
        <w:rPr>
          <w:i/>
          <w:iCs/>
          <w:sz w:val="20"/>
          <w:szCs w:val="20"/>
        </w:rPr>
        <w:t>R v Consolidated Homes Ltd</w:t>
      </w:r>
      <w:r w:rsidRPr="000A22F2">
        <w:rPr>
          <w:sz w:val="20"/>
          <w:szCs w:val="20"/>
        </w:rPr>
        <w:t xml:space="preserve">. (20 August 2024), North Bay (OCJ) </w:t>
      </w:r>
      <w:r w:rsidR="00B14E5E" w:rsidRPr="00440AD3">
        <w:rPr>
          <w:sz w:val="20"/>
          <w:szCs w:val="20"/>
        </w:rPr>
        <w:t>p 16 line 20-25</w:t>
      </w:r>
      <w:r>
        <w:rPr>
          <w:sz w:val="20"/>
          <w:szCs w:val="20"/>
        </w:rPr>
        <w:t xml:space="preserve"> </w:t>
      </w:r>
      <w:r w:rsidRPr="000A22F2">
        <w:rPr>
          <w:sz w:val="20"/>
          <w:szCs w:val="20"/>
        </w:rPr>
        <w:t>[OCJ]</w:t>
      </w:r>
    </w:p>
    <w:p w14:paraId="24FCB128" w14:textId="14F150F5" w:rsidR="00440AD3" w:rsidRDefault="00B14E5E" w:rsidP="00440AD3">
      <w:pPr>
        <w:pStyle w:val="WSParaNum"/>
      </w:pPr>
      <w:r>
        <w:t xml:space="preserve">In meetings between CHL and the MNRF, the wetland boundary was adjusted in late 2017. The purpose of these meetings were to discuss the condominium </w:t>
      </w:r>
      <w:r w:rsidR="00201061">
        <w:t>development</w:t>
      </w:r>
      <w:r>
        <w:t xml:space="preserve"> </w:t>
      </w:r>
      <w:r w:rsidR="00201061">
        <w:t>plan</w:t>
      </w:r>
      <w:r>
        <w:t xml:space="preserve"> and how to best protect </w:t>
      </w:r>
      <w:r w:rsidR="00420CF7">
        <w:t>Turtle</w:t>
      </w:r>
      <w:r>
        <w:t xml:space="preserve"> habitat. </w:t>
      </w:r>
    </w:p>
    <w:p w14:paraId="18D992E0" w14:textId="2035BF67" w:rsidR="003C343A" w:rsidRPr="00440AD3" w:rsidRDefault="00B14E5E" w:rsidP="00CC4FB7">
      <w:pPr>
        <w:pStyle w:val="WSParaNum"/>
        <w:numPr>
          <w:ilvl w:val="0"/>
          <w:numId w:val="0"/>
        </w:numPr>
        <w:spacing w:line="240" w:lineRule="auto"/>
        <w:ind w:firstLine="720"/>
        <w:rPr>
          <w:sz w:val="20"/>
          <w:szCs w:val="20"/>
        </w:rPr>
      </w:pPr>
      <w:r w:rsidRPr="00440AD3">
        <w:rPr>
          <w:sz w:val="20"/>
          <w:szCs w:val="20"/>
        </w:rPr>
        <w:t>OCJ p 16 line 30; p 17 lines 5-10</w:t>
      </w:r>
    </w:p>
    <w:p w14:paraId="7D3F4038" w14:textId="3E48766C" w:rsidR="00B14E5E" w:rsidRDefault="00601F99" w:rsidP="00B14E5E">
      <w:pPr>
        <w:pStyle w:val="WSParaNum"/>
      </w:pPr>
      <w:r w:rsidRPr="00601F99">
        <w:t>Finally</w:t>
      </w:r>
      <w:r>
        <w:t xml:space="preserve">, the Site is notably small, only 0.4 acres, and dirt piles </w:t>
      </w:r>
      <w:r w:rsidR="00E24BC6">
        <w:t>were</w:t>
      </w:r>
      <w:r>
        <w:t xml:space="preserve"> hastily cleared before a permit was issued due to illegal dumping. </w:t>
      </w:r>
      <w:r w:rsidR="00B14E5E">
        <w:t xml:space="preserve">On June 6th, 2018, CHL began leveling dirt </w:t>
      </w:r>
      <w:r w:rsidR="00201061">
        <w:t xml:space="preserve">adjacent to </w:t>
      </w:r>
      <w:r w:rsidR="00E24BC6">
        <w:t>Wallace Road</w:t>
      </w:r>
      <w:r w:rsidR="00B14E5E">
        <w:t xml:space="preserve"> to prevent illegal dumping. The site that was cleared was small, 0.459 acres or 100 by 200 feet. CHL applied for a permit and informed the North Bay-Mattawa Conservation Authority of the clearing activities. That permit was issued on June 14th 2018. </w:t>
      </w:r>
    </w:p>
    <w:p w14:paraId="079A6EB5" w14:textId="0A09FB73" w:rsidR="00440AD3" w:rsidRDefault="00B14E5E" w:rsidP="003C343A">
      <w:pPr>
        <w:pStyle w:val="WSParaNum"/>
        <w:numPr>
          <w:ilvl w:val="0"/>
          <w:numId w:val="0"/>
        </w:numPr>
        <w:ind w:firstLine="720"/>
        <w:rPr>
          <w:sz w:val="20"/>
          <w:szCs w:val="20"/>
        </w:rPr>
      </w:pPr>
      <w:r w:rsidRPr="00440AD3">
        <w:rPr>
          <w:sz w:val="20"/>
          <w:szCs w:val="20"/>
        </w:rPr>
        <w:t>OCJ p 18; p 3 line 5</w:t>
      </w:r>
    </w:p>
    <w:p w14:paraId="6E60A872" w14:textId="77777777" w:rsidR="003C343A" w:rsidRPr="00440AD3" w:rsidRDefault="003C343A" w:rsidP="003C343A">
      <w:pPr>
        <w:pStyle w:val="WSParaNum"/>
        <w:numPr>
          <w:ilvl w:val="0"/>
          <w:numId w:val="0"/>
        </w:numPr>
        <w:ind w:firstLine="720"/>
        <w:rPr>
          <w:sz w:val="20"/>
          <w:szCs w:val="20"/>
        </w:rPr>
      </w:pPr>
    </w:p>
    <w:p w14:paraId="15B11133" w14:textId="77777777" w:rsidR="00DD6E8C" w:rsidRPr="00D678D8" w:rsidRDefault="00EE2290" w:rsidP="002620F2">
      <w:pPr>
        <w:pStyle w:val="Heading1"/>
        <w:spacing w:before="0" w:after="0"/>
        <w:rPr>
          <w:rFonts w:ascii="Times New Roman" w:hAnsi="Times New Roman"/>
          <w:sz w:val="24"/>
          <w:szCs w:val="24"/>
        </w:rPr>
      </w:pPr>
      <w:bookmarkStart w:id="6" w:name="_Toc271703733"/>
      <w:bookmarkStart w:id="7" w:name="_Toc220019276"/>
      <w:r>
        <w:rPr>
          <w:rFonts w:ascii="Times New Roman" w:hAnsi="Times New Roman"/>
          <w:sz w:val="24"/>
          <w:szCs w:val="24"/>
        </w:rPr>
        <w:t xml:space="preserve">THE RESPONDENT’S POSITION WITH RESPECT TO THE </w:t>
      </w:r>
      <w:r w:rsidR="002620F2">
        <w:rPr>
          <w:rFonts w:ascii="Times New Roman" w:hAnsi="Times New Roman"/>
          <w:sz w:val="24"/>
          <w:szCs w:val="24"/>
        </w:rPr>
        <w:t>A</w:t>
      </w:r>
      <w:r>
        <w:rPr>
          <w:rFonts w:ascii="Times New Roman" w:hAnsi="Times New Roman"/>
          <w:sz w:val="24"/>
          <w:szCs w:val="24"/>
        </w:rPr>
        <w:t>PPELLANTS</w:t>
      </w:r>
      <w:r w:rsidR="0011797A">
        <w:rPr>
          <w:rFonts w:ascii="Times New Roman" w:hAnsi="Times New Roman"/>
          <w:sz w:val="24"/>
          <w:szCs w:val="24"/>
        </w:rPr>
        <w:t>’</w:t>
      </w:r>
      <w:r>
        <w:rPr>
          <w:rFonts w:ascii="Times New Roman" w:hAnsi="Times New Roman"/>
          <w:sz w:val="24"/>
          <w:szCs w:val="24"/>
        </w:rPr>
        <w:t xml:space="preserve"> </w:t>
      </w:r>
      <w:r w:rsidR="00DD6E8C" w:rsidRPr="00D678D8">
        <w:rPr>
          <w:rFonts w:ascii="Times New Roman" w:hAnsi="Times New Roman"/>
          <w:sz w:val="24"/>
          <w:szCs w:val="24"/>
        </w:rPr>
        <w:t>QUESTIONS</w:t>
      </w:r>
      <w:bookmarkEnd w:id="6"/>
      <w:r w:rsidR="002620F2">
        <w:rPr>
          <w:rFonts w:ascii="Times New Roman" w:hAnsi="Times New Roman"/>
          <w:sz w:val="24"/>
          <w:szCs w:val="24"/>
        </w:rPr>
        <w:t xml:space="preserve"> IN ISSUE</w:t>
      </w:r>
      <w:bookmarkEnd w:id="7"/>
    </w:p>
    <w:p w14:paraId="71C3C782" w14:textId="77777777" w:rsidR="00440AD3" w:rsidRDefault="00440AD3" w:rsidP="00440AD3">
      <w:pPr>
        <w:pStyle w:val="WSParaNum"/>
      </w:pPr>
      <w:r>
        <w:t xml:space="preserve">The Respondent agrees with the Appellant’s questions in issue and answers as follows: </w:t>
      </w:r>
    </w:p>
    <w:p w14:paraId="7EC9C334" w14:textId="77D86558" w:rsidR="00440AD3" w:rsidRDefault="00440AD3" w:rsidP="00440AD3">
      <w:pPr>
        <w:pStyle w:val="WSParaNum"/>
        <w:numPr>
          <w:ilvl w:val="0"/>
          <w:numId w:val="0"/>
        </w:numPr>
        <w:ind w:left="720"/>
      </w:pPr>
      <w:r>
        <w:lastRenderedPageBreak/>
        <w:t xml:space="preserve">1. The OCJ did not err by </w:t>
      </w:r>
      <w:r w:rsidR="00E24BC6">
        <w:t xml:space="preserve">finding </w:t>
      </w:r>
      <w:r w:rsidR="00420CF7">
        <w:t>the sightings</w:t>
      </w:r>
      <w:r w:rsidR="00E24BC6">
        <w:t xml:space="preserve"> inadmissible</w:t>
      </w:r>
      <w:r>
        <w:t xml:space="preserve"> in light of the requirement in </w:t>
      </w:r>
      <w:r w:rsidRPr="00420CF7">
        <w:rPr>
          <w:i/>
          <w:iCs/>
        </w:rPr>
        <w:t>ESA</w:t>
      </w:r>
      <w:r>
        <w:t xml:space="preserve"> s 2(2) that requires ‘habitat’ be used presently, not by extirpated or reintroduced members of the species</w:t>
      </w:r>
    </w:p>
    <w:p w14:paraId="1D52A132" w14:textId="16C4FA17" w:rsidR="00440AD3" w:rsidRDefault="00440AD3" w:rsidP="00440AD3">
      <w:pPr>
        <w:pStyle w:val="WSParaNum"/>
        <w:numPr>
          <w:ilvl w:val="0"/>
          <w:numId w:val="0"/>
        </w:numPr>
        <w:ind w:left="720"/>
      </w:pPr>
      <w:r>
        <w:t>2. The OCJ did not err by</w:t>
      </w:r>
      <w:r w:rsidR="00E24BC6">
        <w:t xml:space="preserve"> finding the General Habitat Description unhelpful </w:t>
      </w:r>
      <w:r>
        <w:t>because it is not site-specific</w:t>
      </w:r>
    </w:p>
    <w:p w14:paraId="05FEC605" w14:textId="77777777" w:rsidR="00440AD3" w:rsidRDefault="00440AD3" w:rsidP="00440AD3">
      <w:pPr>
        <w:pStyle w:val="WSParaNum"/>
        <w:numPr>
          <w:ilvl w:val="0"/>
          <w:numId w:val="0"/>
        </w:numPr>
        <w:ind w:left="720"/>
      </w:pPr>
      <w:r>
        <w:t xml:space="preserve">3. The OCJ properly applied the definition of ‘habitat’ and all the requirements of </w:t>
      </w:r>
      <w:r w:rsidRPr="00420CF7">
        <w:rPr>
          <w:i/>
          <w:iCs/>
        </w:rPr>
        <w:t>ESA</w:t>
      </w:r>
      <w:r>
        <w:t xml:space="preserve"> s 2(1)(b) to the facts </w:t>
      </w:r>
    </w:p>
    <w:p w14:paraId="221B6AE1" w14:textId="19FF72E7" w:rsidR="00DD6E8C" w:rsidRDefault="00440AD3" w:rsidP="00440AD3">
      <w:pPr>
        <w:pStyle w:val="WSParaNum"/>
        <w:numPr>
          <w:ilvl w:val="0"/>
          <w:numId w:val="0"/>
        </w:numPr>
        <w:ind w:left="720"/>
      </w:pPr>
      <w:r>
        <w:t>4. CHL would not have been convicted if the restrictive definition of habitat as amended in 2025 was in force in 2018</w:t>
      </w:r>
    </w:p>
    <w:p w14:paraId="7A437734" w14:textId="77777777" w:rsidR="00440AD3" w:rsidRPr="00440AD3" w:rsidRDefault="00440AD3" w:rsidP="00440AD3">
      <w:pPr>
        <w:pStyle w:val="WSParaNum"/>
        <w:numPr>
          <w:ilvl w:val="0"/>
          <w:numId w:val="0"/>
        </w:numPr>
        <w:spacing w:line="240" w:lineRule="auto"/>
        <w:ind w:firstLine="720"/>
        <w:rPr>
          <w:sz w:val="20"/>
          <w:szCs w:val="20"/>
        </w:rPr>
      </w:pPr>
    </w:p>
    <w:p w14:paraId="183D931C" w14:textId="34860578" w:rsidR="0007098C" w:rsidRPr="00440AD3" w:rsidRDefault="00DD6E8C" w:rsidP="00440AD3">
      <w:pPr>
        <w:pStyle w:val="Heading1"/>
        <w:tabs>
          <w:tab w:val="num" w:pos="720"/>
        </w:tabs>
        <w:spacing w:before="0" w:after="0" w:line="360" w:lineRule="auto"/>
        <w:ind w:left="720" w:hanging="720"/>
        <w:rPr>
          <w:rFonts w:ascii="Times New Roman" w:hAnsi="Times New Roman"/>
          <w:sz w:val="24"/>
          <w:szCs w:val="24"/>
        </w:rPr>
      </w:pPr>
      <w:bookmarkStart w:id="8" w:name="_Toc271703734"/>
      <w:bookmarkStart w:id="9" w:name="_Toc220019277"/>
      <w:r w:rsidRPr="00D678D8">
        <w:rPr>
          <w:rFonts w:ascii="Times New Roman" w:hAnsi="Times New Roman"/>
          <w:sz w:val="24"/>
          <w:szCs w:val="24"/>
        </w:rPr>
        <w:t>ARGUMENT</w:t>
      </w:r>
      <w:bookmarkEnd w:id="8"/>
      <w:bookmarkEnd w:id="9"/>
    </w:p>
    <w:p w14:paraId="0219615F" w14:textId="2851656C" w:rsidR="001B7635" w:rsidRPr="00440AD3" w:rsidRDefault="00440AD3" w:rsidP="00440AD3">
      <w:pPr>
        <w:pStyle w:val="Heading2"/>
        <w:tabs>
          <w:tab w:val="num" w:pos="720"/>
        </w:tabs>
        <w:spacing w:before="0" w:after="0" w:line="360" w:lineRule="auto"/>
        <w:rPr>
          <w:rFonts w:ascii="Times New Roman" w:hAnsi="Times New Roman"/>
          <w:i w:val="0"/>
          <w:sz w:val="24"/>
          <w:szCs w:val="24"/>
        </w:rPr>
      </w:pPr>
      <w:bookmarkStart w:id="10" w:name="_Toc220019278"/>
      <w:r>
        <w:rPr>
          <w:rFonts w:ascii="Times New Roman" w:hAnsi="Times New Roman"/>
          <w:i w:val="0"/>
          <w:sz w:val="24"/>
          <w:szCs w:val="24"/>
        </w:rPr>
        <w:t>Standard of Review</w:t>
      </w:r>
      <w:bookmarkEnd w:id="10"/>
    </w:p>
    <w:p w14:paraId="4623EC14" w14:textId="5B4079B3" w:rsidR="003C343A" w:rsidRDefault="00A97B50" w:rsidP="003C343A">
      <w:pPr>
        <w:pStyle w:val="WSParaNum"/>
        <w:spacing w:before="0" w:after="0"/>
      </w:pPr>
      <w:r w:rsidRPr="00A97B50">
        <w:t xml:space="preserve">It is well-settled law that the standard of review that applies to questions of law is correctness. The first three issues on appeal are questions of law; therefore, a standard of correctness applies. The last issue is </w:t>
      </w:r>
      <w:r>
        <w:t xml:space="preserve">a not a decision under review thus a standard of review does not apply. </w:t>
      </w:r>
    </w:p>
    <w:p w14:paraId="5C6164C4" w14:textId="23E1865B" w:rsidR="00A97B50" w:rsidRDefault="00A97B50" w:rsidP="003C343A">
      <w:pPr>
        <w:pStyle w:val="WSParaNum"/>
        <w:numPr>
          <w:ilvl w:val="0"/>
          <w:numId w:val="0"/>
        </w:numPr>
        <w:spacing w:before="0" w:after="0"/>
        <w:ind w:firstLine="720"/>
        <w:rPr>
          <w:sz w:val="20"/>
          <w:szCs w:val="20"/>
        </w:rPr>
      </w:pPr>
      <w:r w:rsidRPr="003C343A">
        <w:rPr>
          <w:i/>
          <w:iCs/>
          <w:sz w:val="20"/>
          <w:szCs w:val="20"/>
        </w:rPr>
        <w:t>Housen v Nikolaisen</w:t>
      </w:r>
      <w:r w:rsidRPr="00A97B50">
        <w:rPr>
          <w:sz w:val="20"/>
          <w:szCs w:val="20"/>
        </w:rPr>
        <w:t>, 2002 SCC 33 at para 8.</w:t>
      </w:r>
    </w:p>
    <w:p w14:paraId="5D235169" w14:textId="77777777" w:rsidR="00A97B50" w:rsidRPr="00A97B50" w:rsidRDefault="00A97B50" w:rsidP="003C343A">
      <w:pPr>
        <w:pStyle w:val="WSParaNum"/>
        <w:numPr>
          <w:ilvl w:val="0"/>
          <w:numId w:val="0"/>
        </w:numPr>
        <w:spacing w:before="0" w:after="0" w:line="240" w:lineRule="auto"/>
        <w:ind w:firstLine="720"/>
        <w:rPr>
          <w:sz w:val="20"/>
          <w:szCs w:val="20"/>
        </w:rPr>
      </w:pPr>
    </w:p>
    <w:p w14:paraId="30051D5D" w14:textId="77777777" w:rsidR="00CC4FB7" w:rsidRDefault="003C343A" w:rsidP="00CC4FB7">
      <w:pPr>
        <w:pStyle w:val="Heading3"/>
        <w:numPr>
          <w:ilvl w:val="0"/>
          <w:numId w:val="0"/>
        </w:numPr>
        <w:spacing w:before="0" w:after="0" w:line="360" w:lineRule="auto"/>
        <w:ind w:left="720" w:hanging="720"/>
      </w:pPr>
      <w:bookmarkStart w:id="11" w:name="_Toc220019279"/>
      <w:r>
        <w:rPr>
          <w:rFonts w:ascii="Times New Roman" w:hAnsi="Times New Roman"/>
          <w:iCs/>
          <w:sz w:val="24"/>
          <w:szCs w:val="24"/>
        </w:rPr>
        <w:t>B.</w:t>
      </w:r>
      <w:r>
        <w:rPr>
          <w:rFonts w:ascii="Times New Roman" w:hAnsi="Times New Roman"/>
          <w:iCs/>
          <w:sz w:val="24"/>
          <w:szCs w:val="24"/>
        </w:rPr>
        <w:tab/>
      </w:r>
      <w:r w:rsidR="00CC4FB7" w:rsidRPr="00710F4A">
        <w:rPr>
          <w:rFonts w:ascii="Times New Roman" w:hAnsi="Times New Roman"/>
          <w:iCs/>
          <w:sz w:val="24"/>
          <w:szCs w:val="24"/>
        </w:rPr>
        <w:t xml:space="preserve">The OCJ </w:t>
      </w:r>
      <w:r w:rsidR="00CC4FB7">
        <w:rPr>
          <w:rFonts w:ascii="Times New Roman" w:hAnsi="Times New Roman"/>
          <w:iCs/>
          <w:sz w:val="24"/>
          <w:szCs w:val="24"/>
        </w:rPr>
        <w:t>C</w:t>
      </w:r>
      <w:r w:rsidR="00CC4FB7" w:rsidRPr="00710F4A">
        <w:rPr>
          <w:rFonts w:ascii="Times New Roman" w:hAnsi="Times New Roman"/>
          <w:iCs/>
          <w:sz w:val="24"/>
          <w:szCs w:val="24"/>
        </w:rPr>
        <w:t xml:space="preserve">orrectly </w:t>
      </w:r>
      <w:r w:rsidR="00CC4FB7">
        <w:rPr>
          <w:rFonts w:ascii="Times New Roman" w:hAnsi="Times New Roman"/>
          <w:iCs/>
          <w:sz w:val="24"/>
          <w:szCs w:val="24"/>
        </w:rPr>
        <w:t>F</w:t>
      </w:r>
      <w:r w:rsidR="00CC4FB7" w:rsidRPr="00710F4A">
        <w:rPr>
          <w:rFonts w:ascii="Times New Roman" w:hAnsi="Times New Roman"/>
          <w:iCs/>
          <w:sz w:val="24"/>
          <w:szCs w:val="24"/>
        </w:rPr>
        <w:t xml:space="preserve">ound </w:t>
      </w:r>
      <w:r w:rsidR="00CC4FB7">
        <w:rPr>
          <w:rFonts w:ascii="Times New Roman" w:hAnsi="Times New Roman"/>
          <w:iCs/>
          <w:sz w:val="24"/>
          <w:szCs w:val="24"/>
        </w:rPr>
        <w:t>T</w:t>
      </w:r>
      <w:r w:rsidR="00CC4FB7" w:rsidRPr="00710F4A">
        <w:rPr>
          <w:rFonts w:ascii="Times New Roman" w:hAnsi="Times New Roman"/>
          <w:iCs/>
          <w:sz w:val="24"/>
          <w:szCs w:val="24"/>
        </w:rPr>
        <w:t xml:space="preserve">hat the Trial Justice </w:t>
      </w:r>
      <w:r w:rsidR="00CC4FB7">
        <w:rPr>
          <w:rFonts w:ascii="Times New Roman" w:hAnsi="Times New Roman"/>
          <w:iCs/>
          <w:sz w:val="24"/>
          <w:szCs w:val="24"/>
        </w:rPr>
        <w:t>E</w:t>
      </w:r>
      <w:r w:rsidR="00CC4FB7" w:rsidRPr="00710F4A">
        <w:rPr>
          <w:rFonts w:ascii="Times New Roman" w:hAnsi="Times New Roman"/>
          <w:iCs/>
          <w:sz w:val="24"/>
          <w:szCs w:val="24"/>
        </w:rPr>
        <w:t xml:space="preserve">rred in </w:t>
      </w:r>
      <w:r w:rsidR="00CC4FB7">
        <w:rPr>
          <w:rFonts w:ascii="Times New Roman" w:hAnsi="Times New Roman"/>
          <w:iCs/>
          <w:sz w:val="24"/>
          <w:szCs w:val="24"/>
        </w:rPr>
        <w:t>A</w:t>
      </w:r>
      <w:r w:rsidR="00CC4FB7" w:rsidRPr="00710F4A">
        <w:rPr>
          <w:rFonts w:ascii="Times New Roman" w:hAnsi="Times New Roman"/>
          <w:iCs/>
          <w:sz w:val="24"/>
          <w:szCs w:val="24"/>
        </w:rPr>
        <w:t xml:space="preserve">dmitting the </w:t>
      </w:r>
      <w:r w:rsidR="00CC4FB7">
        <w:rPr>
          <w:rFonts w:ascii="Times New Roman" w:hAnsi="Times New Roman"/>
          <w:iCs/>
          <w:sz w:val="24"/>
          <w:szCs w:val="24"/>
        </w:rPr>
        <w:t>P</w:t>
      </w:r>
      <w:r w:rsidR="00CC4FB7" w:rsidRPr="00710F4A">
        <w:rPr>
          <w:rFonts w:ascii="Times New Roman" w:hAnsi="Times New Roman"/>
          <w:iCs/>
          <w:sz w:val="24"/>
          <w:szCs w:val="24"/>
        </w:rPr>
        <w:t xml:space="preserve">re and </w:t>
      </w:r>
      <w:r w:rsidR="00CC4FB7">
        <w:rPr>
          <w:rFonts w:ascii="Times New Roman" w:hAnsi="Times New Roman"/>
          <w:iCs/>
          <w:sz w:val="24"/>
          <w:szCs w:val="24"/>
        </w:rPr>
        <w:t>P</w:t>
      </w:r>
      <w:r w:rsidR="00CC4FB7" w:rsidRPr="00710F4A">
        <w:rPr>
          <w:rFonts w:ascii="Times New Roman" w:hAnsi="Times New Roman"/>
          <w:iCs/>
          <w:sz w:val="24"/>
          <w:szCs w:val="24"/>
        </w:rPr>
        <w:t>ost-</w:t>
      </w:r>
      <w:r w:rsidR="00CC4FB7">
        <w:rPr>
          <w:rFonts w:ascii="Times New Roman" w:hAnsi="Times New Roman"/>
          <w:iCs/>
          <w:sz w:val="24"/>
          <w:szCs w:val="24"/>
        </w:rPr>
        <w:t>O</w:t>
      </w:r>
      <w:r w:rsidR="00CC4FB7" w:rsidRPr="00710F4A">
        <w:rPr>
          <w:rFonts w:ascii="Times New Roman" w:hAnsi="Times New Roman"/>
          <w:iCs/>
          <w:sz w:val="24"/>
          <w:szCs w:val="24"/>
        </w:rPr>
        <w:t xml:space="preserve">ffence </w:t>
      </w:r>
      <w:r w:rsidR="00CC4FB7">
        <w:rPr>
          <w:rFonts w:ascii="Times New Roman" w:hAnsi="Times New Roman"/>
          <w:iCs/>
          <w:sz w:val="24"/>
          <w:szCs w:val="24"/>
        </w:rPr>
        <w:t>S</w:t>
      </w:r>
      <w:r w:rsidR="00CC4FB7" w:rsidRPr="00710F4A">
        <w:rPr>
          <w:rFonts w:ascii="Times New Roman" w:hAnsi="Times New Roman"/>
          <w:iCs/>
          <w:sz w:val="24"/>
          <w:szCs w:val="24"/>
        </w:rPr>
        <w:t>ightings</w:t>
      </w:r>
      <w:bookmarkEnd w:id="11"/>
      <w:r w:rsidR="00CC4FB7">
        <w:t xml:space="preserve"> </w:t>
      </w:r>
    </w:p>
    <w:p w14:paraId="4F445851" w14:textId="366CAA26" w:rsidR="00CC4FB7" w:rsidRDefault="00CC4FB7" w:rsidP="00CC4FB7">
      <w:pPr>
        <w:pStyle w:val="WSParaNum"/>
        <w:spacing w:before="0" w:after="0"/>
      </w:pPr>
      <w:r w:rsidRPr="00710F4A">
        <w:t xml:space="preserve">The OCJ correctly found that the Trial Justice erred in the treatment of the Blanding’s turtle sightings before and after the offence. Habitat must be interpreted within </w:t>
      </w:r>
      <w:r>
        <w:t xml:space="preserve">the </w:t>
      </w:r>
      <w:r w:rsidRPr="00710F4A">
        <w:t xml:space="preserve">applicable statutory scheme, s 2 of the </w:t>
      </w:r>
      <w:r w:rsidRPr="00881E51">
        <w:rPr>
          <w:i/>
          <w:iCs/>
        </w:rPr>
        <w:t>ES</w:t>
      </w:r>
      <w:r>
        <w:rPr>
          <w:i/>
          <w:iCs/>
        </w:rPr>
        <w:t>A</w:t>
      </w:r>
      <w:r>
        <w:t>, which the OCJ correctly applied.</w:t>
      </w:r>
      <w:r w:rsidRPr="00710F4A">
        <w:t xml:space="preserve"> The OCJ’s decision </w:t>
      </w:r>
      <w:r>
        <w:t xml:space="preserve">demonstrates (i) the pre and post-offence sightings were inadmissible and </w:t>
      </w:r>
      <w:r w:rsidR="0023094C">
        <w:t>could not prove</w:t>
      </w:r>
      <w:r>
        <w:t xml:space="preserve"> the Site was </w:t>
      </w:r>
      <w:r w:rsidR="00420CF7">
        <w:t>Turtle</w:t>
      </w:r>
      <w:r>
        <w:t xml:space="preserve"> habitat at the time of the offence; (ii) Mr. Snell’s reliance on the previous sightings was problematic due to their immaterial nature; and (iii) when interpreted properly, the </w:t>
      </w:r>
      <w:r>
        <w:rPr>
          <w:i/>
          <w:iCs/>
        </w:rPr>
        <w:t xml:space="preserve">ESA </w:t>
      </w:r>
      <w:r>
        <w:t>requires habitat be proven for the time of the offence, not before or after.</w:t>
      </w:r>
    </w:p>
    <w:p w14:paraId="0BFD0BF9" w14:textId="2DF043BE" w:rsidR="00CC4FB7" w:rsidRPr="00FE3380" w:rsidRDefault="00FE3380" w:rsidP="00FE3380">
      <w:pPr>
        <w:pStyle w:val="Subtitle"/>
        <w:jc w:val="left"/>
        <w:rPr>
          <w:rFonts w:ascii="Times New Roman" w:hAnsi="Times New Roman"/>
          <w:i/>
          <w:iCs/>
          <w:u w:val="single"/>
        </w:rPr>
      </w:pPr>
      <w:bookmarkStart w:id="12" w:name="_Toc220019280"/>
      <w:r w:rsidRPr="00FE3380">
        <w:rPr>
          <w:rFonts w:ascii="Times New Roman" w:hAnsi="Times New Roman"/>
        </w:rPr>
        <w:t>(i)</w:t>
      </w:r>
      <w:r w:rsidRPr="00FE3380">
        <w:rPr>
          <w:rFonts w:ascii="Times New Roman" w:hAnsi="Times New Roman"/>
        </w:rPr>
        <w:tab/>
      </w:r>
      <w:r w:rsidR="00CC4FB7" w:rsidRPr="00FE3380">
        <w:rPr>
          <w:rFonts w:ascii="Times New Roman" w:hAnsi="Times New Roman"/>
          <w:i/>
          <w:iCs/>
          <w:u w:val="single"/>
        </w:rPr>
        <w:t xml:space="preserve">The pre and post-offence sightings were inadmissible and </w:t>
      </w:r>
      <w:r w:rsidR="0023094C">
        <w:rPr>
          <w:rFonts w:ascii="Times New Roman" w:hAnsi="Times New Roman"/>
          <w:i/>
          <w:iCs/>
          <w:u w:val="single"/>
        </w:rPr>
        <w:t>could not prove</w:t>
      </w:r>
      <w:r w:rsidR="00CC4FB7" w:rsidRPr="00FE3380">
        <w:rPr>
          <w:rFonts w:ascii="Times New Roman" w:hAnsi="Times New Roman"/>
          <w:i/>
          <w:iCs/>
          <w:u w:val="single"/>
        </w:rPr>
        <w:t xml:space="preserve"> the Site was </w:t>
      </w:r>
      <w:r w:rsidR="00420CF7">
        <w:rPr>
          <w:rFonts w:ascii="Times New Roman" w:hAnsi="Times New Roman"/>
          <w:i/>
          <w:iCs/>
          <w:u w:val="single"/>
        </w:rPr>
        <w:t>Turtle</w:t>
      </w:r>
      <w:r w:rsidR="00CC4FB7" w:rsidRPr="00FE3380">
        <w:rPr>
          <w:rFonts w:ascii="Times New Roman" w:hAnsi="Times New Roman"/>
          <w:i/>
          <w:iCs/>
          <w:u w:val="single"/>
        </w:rPr>
        <w:t xml:space="preserve"> habitat at the time of the offence.</w:t>
      </w:r>
      <w:bookmarkEnd w:id="12"/>
    </w:p>
    <w:p w14:paraId="05C0FC31" w14:textId="34E8BC78" w:rsidR="00CC4FB7" w:rsidRDefault="00CC4FB7" w:rsidP="00CC4FB7">
      <w:pPr>
        <w:pStyle w:val="WSParaNum"/>
      </w:pPr>
      <w:r w:rsidRPr="00952EF4">
        <w:lastRenderedPageBreak/>
        <w:t>The pre</w:t>
      </w:r>
      <w:r>
        <w:t xml:space="preserve"> and post</w:t>
      </w:r>
      <w:r w:rsidRPr="00952EF4">
        <w:t xml:space="preserve">-offence sightings were inadmissible </w:t>
      </w:r>
      <w:r>
        <w:t xml:space="preserve">and </w:t>
      </w:r>
      <w:r w:rsidRPr="00952EF4">
        <w:t xml:space="preserve">failed to establish the Site as </w:t>
      </w:r>
      <w:r w:rsidR="00420CF7">
        <w:t>Turtle</w:t>
      </w:r>
      <w:r w:rsidRPr="00952EF4">
        <w:t xml:space="preserve"> habitat the time of the offence. </w:t>
      </w:r>
      <w:r w:rsidR="00E24BC6">
        <w:t>T</w:t>
      </w:r>
      <w:r w:rsidRPr="00952EF4">
        <w:t xml:space="preserve">he Site </w:t>
      </w:r>
      <w:r w:rsidR="00E24BC6">
        <w:t>must be</w:t>
      </w:r>
      <w:r w:rsidRPr="00952EF4">
        <w:t xml:space="preserve"> established as habitat at the time of the offence</w:t>
      </w:r>
      <w:r w:rsidR="0023094C">
        <w:t>,</w:t>
      </w:r>
      <w:r w:rsidRPr="00952EF4">
        <w:t xml:space="preserve"> beyond a reasonable doubt</w:t>
      </w:r>
      <w:r w:rsidR="0023094C">
        <w:t>,</w:t>
      </w:r>
      <w:r w:rsidRPr="00952EF4">
        <w:t xml:space="preserve"> to prove that an offence occurred under the</w:t>
      </w:r>
      <w:r w:rsidRPr="00881E51">
        <w:rPr>
          <w:i/>
          <w:iCs/>
        </w:rPr>
        <w:t xml:space="preserve"> ESA</w:t>
      </w:r>
      <w:r w:rsidRPr="00952EF4">
        <w:t xml:space="preserve">. </w:t>
      </w:r>
    </w:p>
    <w:p w14:paraId="701A135D" w14:textId="261B232D" w:rsidR="00CC4FB7" w:rsidRDefault="00CC4FB7" w:rsidP="00CC4FB7">
      <w:pPr>
        <w:pStyle w:val="WSParaNum"/>
      </w:pPr>
      <w:r w:rsidRPr="00C812C3">
        <w:t xml:space="preserve">Section 2(1)(b) states that habitat, with respect to species not covered by the regulations includes an area that a species depends, directly or indirectly on, to carry on its life processes. Further, s 2(2) creates a statutory carve-out on what may be considered habitat. It </w:t>
      </w:r>
      <w:r w:rsidR="0023094C">
        <w:t>excludes</w:t>
      </w:r>
      <w:r w:rsidRPr="00C812C3">
        <w:t xml:space="preserve"> former habitat, where a species was present in the past, or a habitat where an endangered species may be reintroduced but is not currently residing.  </w:t>
      </w:r>
    </w:p>
    <w:p w14:paraId="28B1AAB0" w14:textId="0A9A408E" w:rsidR="00CC4FB7" w:rsidRDefault="00CC4FB7" w:rsidP="00CC4FB7">
      <w:pPr>
        <w:pStyle w:val="WSParaNum"/>
      </w:pPr>
      <w:r w:rsidRPr="00C812C3">
        <w:t>Contrary to the Appellant’s submission that the OCJ erroneously disturbed the Trial Justice’s evidentiary findings, the Respondent submits it was unnecessary for the OCJ to establish a palpable and overriding error because admissibility of evidence is a question of law</w:t>
      </w:r>
      <w:r>
        <w:t>,</w:t>
      </w:r>
      <w:r w:rsidRPr="00C812C3">
        <w:t xml:space="preserve"> reviewed on a correctness standard. The Trial Justice’s reliance on the 2007 and 2017 sightings to find that </w:t>
      </w:r>
      <w:r w:rsidR="00420CF7">
        <w:t>Turtles</w:t>
      </w:r>
      <w:r w:rsidRPr="00C812C3">
        <w:t xml:space="preserve"> were at the Site at the time of the</w:t>
      </w:r>
      <w:r w:rsidR="009C2F8D">
        <w:t xml:space="preserve"> </w:t>
      </w:r>
      <w:r w:rsidRPr="00C812C3">
        <w:t xml:space="preserve">offence was an error of law because s 2(1)(b) and 2(2) impacted the materiality and relevance of the sightings, rendering them inadmissible. In the alternative, if the sightings were marginally relevant, it would not prove habitat beyond a reasonable doubt with a correct interpretation of habitat. The Respondent cannot be convicted under s 10(1)(a) if the </w:t>
      </w:r>
      <w:r w:rsidR="00420CF7">
        <w:t>Turtle</w:t>
      </w:r>
      <w:r w:rsidRPr="00C812C3">
        <w:t xml:space="preserve"> were once present at the Site but were no longer present at the time of the offence. The sightings were inadmissible.</w:t>
      </w:r>
    </w:p>
    <w:p w14:paraId="42EDF3AF" w14:textId="4CD2A283" w:rsidR="00CC4FB7" w:rsidRPr="00D625CD" w:rsidRDefault="000A22F2" w:rsidP="00CC4FB7">
      <w:pPr>
        <w:pStyle w:val="WSParaNum"/>
        <w:numPr>
          <w:ilvl w:val="0"/>
          <w:numId w:val="0"/>
        </w:numPr>
        <w:spacing w:line="240" w:lineRule="auto"/>
        <w:ind w:left="720"/>
        <w:rPr>
          <w:sz w:val="20"/>
          <w:szCs w:val="20"/>
        </w:rPr>
      </w:pPr>
      <w:r>
        <w:rPr>
          <w:sz w:val="20"/>
          <w:szCs w:val="20"/>
        </w:rPr>
        <w:t xml:space="preserve">Factum of the </w:t>
      </w:r>
      <w:r w:rsidR="00CC4FB7" w:rsidRPr="00D625CD">
        <w:rPr>
          <w:sz w:val="20"/>
          <w:szCs w:val="20"/>
        </w:rPr>
        <w:t>Appellant</w:t>
      </w:r>
      <w:r>
        <w:rPr>
          <w:sz w:val="20"/>
          <w:szCs w:val="20"/>
        </w:rPr>
        <w:t>, 2026-09</w:t>
      </w:r>
      <w:r w:rsidR="00CC4FB7" w:rsidRPr="00D625CD">
        <w:rPr>
          <w:sz w:val="20"/>
          <w:szCs w:val="20"/>
        </w:rPr>
        <w:t xml:space="preserve"> </w:t>
      </w:r>
      <w:r w:rsidR="007B6204">
        <w:rPr>
          <w:sz w:val="20"/>
          <w:szCs w:val="20"/>
        </w:rPr>
        <w:t>at</w:t>
      </w:r>
      <w:r w:rsidR="00CC4FB7" w:rsidRPr="00D625CD">
        <w:rPr>
          <w:sz w:val="20"/>
          <w:szCs w:val="20"/>
        </w:rPr>
        <w:t xml:space="preserve"> para 32</w:t>
      </w:r>
      <w:r>
        <w:rPr>
          <w:sz w:val="20"/>
          <w:szCs w:val="20"/>
        </w:rPr>
        <w:t xml:space="preserve"> [Appellant] </w:t>
      </w:r>
    </w:p>
    <w:p w14:paraId="3DAA60EF" w14:textId="3F06C0C3" w:rsidR="00CC4FB7" w:rsidRPr="00D625CD" w:rsidRDefault="00DF7B13" w:rsidP="00CC4FB7">
      <w:pPr>
        <w:pStyle w:val="WSParaNum"/>
        <w:numPr>
          <w:ilvl w:val="0"/>
          <w:numId w:val="0"/>
        </w:numPr>
        <w:spacing w:line="240" w:lineRule="auto"/>
        <w:ind w:left="720"/>
        <w:rPr>
          <w:sz w:val="20"/>
          <w:szCs w:val="20"/>
        </w:rPr>
      </w:pPr>
      <w:r w:rsidRPr="00DF7B13">
        <w:rPr>
          <w:i/>
          <w:iCs/>
          <w:sz w:val="20"/>
          <w:szCs w:val="20"/>
        </w:rPr>
        <w:t>R v Starr</w:t>
      </w:r>
      <w:r w:rsidRPr="00DF7B13">
        <w:rPr>
          <w:sz w:val="20"/>
          <w:szCs w:val="20"/>
        </w:rPr>
        <w:t>, 2000 SCC 40.</w:t>
      </w:r>
    </w:p>
    <w:p w14:paraId="4C557AEE" w14:textId="78E76016" w:rsidR="00CC4FB7" w:rsidRPr="00D625CD" w:rsidRDefault="00DF7B13" w:rsidP="00CC4FB7">
      <w:pPr>
        <w:pStyle w:val="WSParaNum"/>
        <w:numPr>
          <w:ilvl w:val="0"/>
          <w:numId w:val="0"/>
        </w:numPr>
        <w:spacing w:line="240" w:lineRule="auto"/>
        <w:ind w:left="720"/>
        <w:rPr>
          <w:sz w:val="20"/>
          <w:szCs w:val="20"/>
        </w:rPr>
      </w:pPr>
      <w:r w:rsidRPr="00DF7B13">
        <w:rPr>
          <w:i/>
          <w:iCs/>
          <w:sz w:val="20"/>
          <w:szCs w:val="20"/>
        </w:rPr>
        <w:t>R v Simpson</w:t>
      </w:r>
      <w:r w:rsidRPr="00DF7B13">
        <w:rPr>
          <w:sz w:val="20"/>
          <w:szCs w:val="20"/>
        </w:rPr>
        <w:t>, 1998 CanLII 89, [1988] 1 SCR 3 (SCC).</w:t>
      </w:r>
    </w:p>
    <w:p w14:paraId="0659C898" w14:textId="47860940" w:rsidR="00CC4FB7" w:rsidRDefault="00CC4FB7" w:rsidP="00CC4FB7">
      <w:pPr>
        <w:pStyle w:val="WSParaNum"/>
      </w:pPr>
      <w:r>
        <w:t xml:space="preserve">To convict a party under s 10(1)(a) of the </w:t>
      </w:r>
      <w:r>
        <w:rPr>
          <w:i/>
          <w:iCs/>
        </w:rPr>
        <w:t xml:space="preserve">ESA, </w:t>
      </w:r>
      <w:r>
        <w:t xml:space="preserve">one must properly interpret habitat. Applying </w:t>
      </w:r>
      <w:r w:rsidRPr="00CB65AA">
        <w:t>the modern principle of statutory interpretation</w:t>
      </w:r>
      <w:r>
        <w:t>,</w:t>
      </w:r>
      <w:r w:rsidRPr="00CB65AA">
        <w:t xml:space="preserve"> the words of an Act are to be read in their context, in their grammatical and ordinary sense</w:t>
      </w:r>
      <w:r w:rsidR="007B6204">
        <w:t xml:space="preserve"> </w:t>
      </w:r>
      <w:r w:rsidRPr="00CB65AA">
        <w:t xml:space="preserve">harmoniously with the scheme of the Act, the object of the Act, and the intention of Parliament. </w:t>
      </w:r>
      <w:r>
        <w:t xml:space="preserve">Applying the modern principle of statutory interpretation to s 2 of the </w:t>
      </w:r>
      <w:r>
        <w:rPr>
          <w:i/>
          <w:iCs/>
        </w:rPr>
        <w:t xml:space="preserve">ESA, </w:t>
      </w:r>
      <w:r w:rsidRPr="00CB65AA">
        <w:t xml:space="preserve">habitat is </w:t>
      </w:r>
      <w:r>
        <w:t xml:space="preserve">defined as an area </w:t>
      </w:r>
      <w:r w:rsidRPr="00CB65AA">
        <w:t xml:space="preserve">where a species </w:t>
      </w:r>
      <w:r>
        <w:t xml:space="preserve">currently </w:t>
      </w:r>
      <w:r w:rsidRPr="00CB65AA">
        <w:t xml:space="preserve">depends on, not </w:t>
      </w:r>
      <w:r>
        <w:t xml:space="preserve">one that they </w:t>
      </w:r>
      <w:r w:rsidRPr="00CB65AA">
        <w:t xml:space="preserve">no longer depend on. It follows that to </w:t>
      </w:r>
      <w:r>
        <w:t xml:space="preserve">enter a conviction under </w:t>
      </w:r>
      <w:r w:rsidR="007B6204" w:rsidRPr="00881E51">
        <w:rPr>
          <w:i/>
          <w:iCs/>
        </w:rPr>
        <w:t>ESA</w:t>
      </w:r>
      <w:r w:rsidR="007B6204">
        <w:t xml:space="preserve"> </w:t>
      </w:r>
      <w:r>
        <w:t xml:space="preserve">s 10(1)(a) </w:t>
      </w:r>
      <w:r w:rsidRPr="00CB65AA">
        <w:t xml:space="preserve">for </w:t>
      </w:r>
      <w:r>
        <w:t>the damage</w:t>
      </w:r>
      <w:r w:rsidRPr="00CB65AA">
        <w:t xml:space="preserve"> </w:t>
      </w:r>
      <w:r>
        <w:t>of</w:t>
      </w:r>
      <w:r w:rsidRPr="00CB65AA">
        <w:t xml:space="preserve"> habitat, the </w:t>
      </w:r>
      <w:r w:rsidR="007B6204">
        <w:t>Site</w:t>
      </w:r>
      <w:r w:rsidRPr="00CB65AA">
        <w:t xml:space="preserve"> </w:t>
      </w:r>
      <w:r w:rsidR="0023094C">
        <w:t>had to be</w:t>
      </w:r>
      <w:r w:rsidRPr="00CB65AA">
        <w:t xml:space="preserve"> habitat at the time of the offence</w:t>
      </w:r>
      <w:r>
        <w:t>.</w:t>
      </w:r>
    </w:p>
    <w:p w14:paraId="35B1F657" w14:textId="07C30BAE" w:rsidR="00CC4FB7" w:rsidRPr="00CC4FB7" w:rsidRDefault="00DF7B13" w:rsidP="00CC4FB7">
      <w:pPr>
        <w:pStyle w:val="WSParaNum"/>
        <w:numPr>
          <w:ilvl w:val="0"/>
          <w:numId w:val="0"/>
        </w:numPr>
        <w:ind w:firstLine="720"/>
        <w:rPr>
          <w:sz w:val="20"/>
          <w:szCs w:val="20"/>
        </w:rPr>
      </w:pPr>
      <w:r w:rsidRPr="00DF7B13">
        <w:rPr>
          <w:i/>
          <w:iCs/>
          <w:sz w:val="20"/>
          <w:szCs w:val="20"/>
        </w:rPr>
        <w:t>Rizzo &amp; Rizzo Shoes Ltd. (Re),</w:t>
      </w:r>
      <w:r w:rsidRPr="00DF7B13">
        <w:rPr>
          <w:sz w:val="20"/>
          <w:szCs w:val="20"/>
        </w:rPr>
        <w:t xml:space="preserve"> 1998 CanLII 837, [1998] 1 SCR 27 (SCC) </w:t>
      </w:r>
      <w:r w:rsidR="00CC4FB7" w:rsidRPr="00D625CD">
        <w:rPr>
          <w:sz w:val="20"/>
          <w:szCs w:val="20"/>
        </w:rPr>
        <w:t>at para 21</w:t>
      </w:r>
      <w:r w:rsidR="007B6204">
        <w:rPr>
          <w:sz w:val="20"/>
          <w:szCs w:val="20"/>
        </w:rPr>
        <w:t xml:space="preserve"> </w:t>
      </w:r>
      <w:r w:rsidRPr="00DF7B13">
        <w:rPr>
          <w:sz w:val="20"/>
          <w:szCs w:val="20"/>
        </w:rPr>
        <w:t>[</w:t>
      </w:r>
      <w:r w:rsidRPr="00DF7B13">
        <w:rPr>
          <w:i/>
          <w:iCs/>
          <w:sz w:val="20"/>
          <w:szCs w:val="20"/>
        </w:rPr>
        <w:t>Rizzo</w:t>
      </w:r>
      <w:r w:rsidRPr="00DF7B13">
        <w:rPr>
          <w:sz w:val="20"/>
          <w:szCs w:val="20"/>
        </w:rPr>
        <w:t>]</w:t>
      </w:r>
    </w:p>
    <w:p w14:paraId="07443E00" w14:textId="4077CA4E" w:rsidR="00CC4FB7" w:rsidRDefault="00CC4FB7" w:rsidP="00CC4FB7">
      <w:pPr>
        <w:pStyle w:val="WSParaNum"/>
      </w:pPr>
      <w:r w:rsidRPr="00C812C3">
        <w:lastRenderedPageBreak/>
        <w:t xml:space="preserve">The 2007 and 2017 sightings provide circumstantial evidence that Blanding’s turtles may have used the site as habitat at other times, </w:t>
      </w:r>
      <w:r>
        <w:t xml:space="preserve">but </w:t>
      </w:r>
      <w:r w:rsidRPr="00C812C3">
        <w:t xml:space="preserve">relying on these sightings to establish habitat at the time of the offence requires unrealistic inferences. As Paciocco et al explain, “circumstantial evidence addresses a material issue only indirectly, requiring inferences to be drawn before it is of use in resolving the material issue”. The pre-offence sightings do not demonstrate that the </w:t>
      </w:r>
      <w:r w:rsidR="00420CF7">
        <w:t>Turtles</w:t>
      </w:r>
      <w:r w:rsidRPr="00C812C3">
        <w:t xml:space="preserve"> were using the Site to carry on their life processes at the time of the offence.</w:t>
      </w:r>
    </w:p>
    <w:p w14:paraId="600B4A09" w14:textId="3B2147ED" w:rsidR="00CC4FB7" w:rsidRPr="00D625CD" w:rsidRDefault="00CC4FB7" w:rsidP="00C02E8B">
      <w:pPr>
        <w:pStyle w:val="WSParaNum"/>
        <w:numPr>
          <w:ilvl w:val="0"/>
          <w:numId w:val="0"/>
        </w:numPr>
        <w:ind w:left="720"/>
        <w:rPr>
          <w:sz w:val="20"/>
          <w:szCs w:val="20"/>
        </w:rPr>
      </w:pPr>
      <w:r w:rsidRPr="00D625CD">
        <w:rPr>
          <w:sz w:val="20"/>
          <w:szCs w:val="20"/>
        </w:rPr>
        <w:t xml:space="preserve">D. Paciocco, P. Paciocco &amp; L. Stuesser, </w:t>
      </w:r>
      <w:r w:rsidRPr="00D625CD">
        <w:rPr>
          <w:i/>
          <w:iCs/>
          <w:sz w:val="20"/>
          <w:szCs w:val="20"/>
        </w:rPr>
        <w:t>The Law of Evidence</w:t>
      </w:r>
      <w:r w:rsidRPr="00D625CD">
        <w:rPr>
          <w:sz w:val="20"/>
          <w:szCs w:val="20"/>
        </w:rPr>
        <w:t>, 8th ed (University of Toronto Press, 2020) p 36.</w:t>
      </w:r>
      <w:r w:rsidR="000A22F2">
        <w:rPr>
          <w:sz w:val="20"/>
          <w:szCs w:val="20"/>
        </w:rPr>
        <w:t xml:space="preserve"> [Paciocco]</w:t>
      </w:r>
    </w:p>
    <w:p w14:paraId="2C24126A" w14:textId="1B1AAC8F" w:rsidR="00CC4FB7" w:rsidRDefault="00CC4FB7" w:rsidP="00CC4FB7">
      <w:pPr>
        <w:pStyle w:val="WSParaNum"/>
      </w:pPr>
      <w:r w:rsidRPr="00C812C3">
        <w:t xml:space="preserve">The pre-offence sightings are circumstantial and have limited probative value to proving </w:t>
      </w:r>
      <w:r w:rsidR="00420CF7">
        <w:t>Turtle</w:t>
      </w:r>
      <w:r w:rsidRPr="00C812C3">
        <w:t xml:space="preserve"> habitat at the Site. They lack a temporal connection to the date of the offence and are remote in time. Additionally, the sightings did not occur at the Site itself. At most, the pre-offence sightings suggest that </w:t>
      </w:r>
      <w:r w:rsidR="00420CF7">
        <w:t>Turtles</w:t>
      </w:r>
      <w:r w:rsidRPr="00C812C3">
        <w:t xml:space="preserve"> were using Circle Lake generally as habitat in 20</w:t>
      </w:r>
      <w:r>
        <w:t>0</w:t>
      </w:r>
      <w:r w:rsidRPr="00C812C3">
        <w:t xml:space="preserve">7 and 2017. However, these sightings fail to establish that the Site constituted </w:t>
      </w:r>
      <w:r w:rsidR="00420CF7">
        <w:t>Turtle</w:t>
      </w:r>
      <w:r w:rsidRPr="00C812C3">
        <w:t xml:space="preserve"> habitat in June of 2018. The probative value of circumstantial evidence relies on the strength of the logical inference it purports to prove.</w:t>
      </w:r>
    </w:p>
    <w:p w14:paraId="7EE3297F" w14:textId="3B38F2B1" w:rsidR="00CC4FB7" w:rsidRDefault="00CC4FB7" w:rsidP="00CC4FB7">
      <w:pPr>
        <w:pStyle w:val="WSParaNum"/>
      </w:pPr>
      <w:r w:rsidRPr="00C812C3">
        <w:t xml:space="preserve">Material evidence is evidence that is directed to a key issue in the case. For evidence to be material to the determination of </w:t>
      </w:r>
      <w:r w:rsidR="00420CF7">
        <w:t>Turtle</w:t>
      </w:r>
      <w:r w:rsidRPr="00C812C3">
        <w:t xml:space="preserve"> habitat at the time of the offence, it must be directed at proving </w:t>
      </w:r>
      <w:r w:rsidR="00420CF7">
        <w:t>Turtles</w:t>
      </w:r>
      <w:r w:rsidRPr="00C812C3">
        <w:t xml:space="preserve"> use of the Site as habitat in 2018. Furthermore</w:t>
      </w:r>
      <w:r w:rsidR="007B6204">
        <w:t>,</w:t>
      </w:r>
      <w:r w:rsidRPr="00C812C3">
        <w:t xml:space="preserve"> the probative value of evidence depends on how decisive it is in proving or disproving the matter in issue.</w:t>
      </w:r>
    </w:p>
    <w:p w14:paraId="6BBBE7CB" w14:textId="06D12E1C" w:rsidR="00CC4FB7" w:rsidRPr="00D625CD" w:rsidRDefault="00CC4FB7" w:rsidP="00CC4FB7">
      <w:pPr>
        <w:pStyle w:val="WSParaNum"/>
        <w:numPr>
          <w:ilvl w:val="0"/>
          <w:numId w:val="0"/>
        </w:numPr>
        <w:ind w:firstLine="720"/>
        <w:rPr>
          <w:sz w:val="20"/>
          <w:szCs w:val="20"/>
        </w:rPr>
      </w:pPr>
      <w:r w:rsidRPr="00D625CD">
        <w:rPr>
          <w:sz w:val="20"/>
          <w:szCs w:val="20"/>
        </w:rPr>
        <w:t>Paciocco pp 36, 46.</w:t>
      </w:r>
    </w:p>
    <w:p w14:paraId="22B83DED" w14:textId="6049FE43" w:rsidR="00CC4FB7" w:rsidRDefault="00CC4FB7" w:rsidP="00CC4FB7">
      <w:pPr>
        <w:pStyle w:val="WSParaNum"/>
      </w:pPr>
      <w:r w:rsidRPr="00C812C3">
        <w:t xml:space="preserve">The 2007 and 2017 sightings were </w:t>
      </w:r>
      <w:r>
        <w:t>im</w:t>
      </w:r>
      <w:r w:rsidRPr="00C812C3">
        <w:t xml:space="preserve">material to establishing the Site as </w:t>
      </w:r>
      <w:r w:rsidR="00420CF7">
        <w:t>Turtle</w:t>
      </w:r>
      <w:r w:rsidRPr="00C812C3">
        <w:t xml:space="preserve"> habitat at the time of the offence. The admittance of these pre-offence sightings was a reversible error. Where the discretionary decision to admit evidence causes unreasonable prejudice, a reversible error occurs. The circumstantial evidence that </w:t>
      </w:r>
      <w:r w:rsidR="00420CF7">
        <w:t>Turtles</w:t>
      </w:r>
      <w:r w:rsidRPr="00C812C3">
        <w:t xml:space="preserve"> were using </w:t>
      </w:r>
      <w:r>
        <w:t xml:space="preserve">the Site as habitat </w:t>
      </w:r>
      <w:r w:rsidRPr="00C812C3">
        <w:t>was deeply prejudicial without being material to the live issue at trial. No evidence of nest</w:t>
      </w:r>
      <w:r w:rsidR="007B6204">
        <w:t xml:space="preserve">s </w:t>
      </w:r>
      <w:r w:rsidRPr="00C812C3">
        <w:t>or other corroborating evidence was used to prove habitat. Rather, general information and historical sightings were used. Therefore, the OCJ was correct in finding that the sightings were inadmissible.</w:t>
      </w:r>
    </w:p>
    <w:p w14:paraId="112C6539" w14:textId="4D6F79FF" w:rsidR="00CC4FB7" w:rsidRPr="00D625CD" w:rsidRDefault="00DF7B13" w:rsidP="00CC4FB7">
      <w:pPr>
        <w:pStyle w:val="WSParaNum"/>
        <w:numPr>
          <w:ilvl w:val="0"/>
          <w:numId w:val="0"/>
        </w:numPr>
        <w:ind w:firstLine="720"/>
        <w:rPr>
          <w:sz w:val="20"/>
          <w:szCs w:val="20"/>
        </w:rPr>
      </w:pPr>
      <w:r w:rsidRPr="00DF7B13">
        <w:rPr>
          <w:i/>
          <w:iCs/>
          <w:sz w:val="20"/>
          <w:szCs w:val="20"/>
        </w:rPr>
        <w:t xml:space="preserve">R v Savoy, </w:t>
      </w:r>
      <w:r w:rsidRPr="00DF7B13">
        <w:rPr>
          <w:sz w:val="20"/>
          <w:szCs w:val="20"/>
        </w:rPr>
        <w:t>1997 CarswellBC 315 6 C.R. (5th) 61 (BCCA).</w:t>
      </w:r>
      <w:r w:rsidRPr="00DF7B13">
        <w:rPr>
          <w:i/>
          <w:iCs/>
          <w:sz w:val="20"/>
          <w:szCs w:val="20"/>
        </w:rPr>
        <w:t xml:space="preserve"> </w:t>
      </w:r>
      <w:r w:rsidR="007B6204" w:rsidRPr="007B6204">
        <w:rPr>
          <w:sz w:val="20"/>
          <w:szCs w:val="20"/>
        </w:rPr>
        <w:t>at para 44</w:t>
      </w:r>
    </w:p>
    <w:p w14:paraId="6F33F10E" w14:textId="106BE2F4" w:rsidR="00CC4FB7" w:rsidRDefault="00CC4FB7" w:rsidP="00CC4FB7">
      <w:pPr>
        <w:pStyle w:val="WSParaNum"/>
      </w:pPr>
      <w:r w:rsidRPr="00C812C3">
        <w:lastRenderedPageBreak/>
        <w:t xml:space="preserve">In addition to the evidentiary issues noted above, MNRF conducted inspections and found no evidence of </w:t>
      </w:r>
      <w:r w:rsidR="00420CF7">
        <w:t>Turtles</w:t>
      </w:r>
      <w:r w:rsidRPr="00C812C3">
        <w:t xml:space="preserve"> at the Site at the relevant time, </w:t>
      </w:r>
      <w:r w:rsidR="0023094C">
        <w:t>creating</w:t>
      </w:r>
      <w:r>
        <w:t xml:space="preserve"> issues in</w:t>
      </w:r>
      <w:r w:rsidRPr="00C812C3">
        <w:t xml:space="preserve"> finding a conviction beyond a reasonable doubt. The photos must be interpreted with the available facts. MNRF biologists could not determine the Site was </w:t>
      </w:r>
      <w:r w:rsidR="00420CF7">
        <w:t>Turtle</w:t>
      </w:r>
      <w:r w:rsidRPr="00C812C3">
        <w:t xml:space="preserve"> habitat at the time of the offence.</w:t>
      </w:r>
    </w:p>
    <w:p w14:paraId="36B38C84" w14:textId="25140941" w:rsidR="00CC4FB7" w:rsidRPr="00D625CD" w:rsidRDefault="00CC4FB7" w:rsidP="00CC4FB7">
      <w:pPr>
        <w:pStyle w:val="WSParaNum"/>
        <w:numPr>
          <w:ilvl w:val="0"/>
          <w:numId w:val="0"/>
        </w:numPr>
        <w:ind w:firstLine="720"/>
        <w:rPr>
          <w:sz w:val="20"/>
          <w:szCs w:val="20"/>
        </w:rPr>
      </w:pPr>
      <w:r w:rsidRPr="00D625CD">
        <w:rPr>
          <w:sz w:val="20"/>
          <w:szCs w:val="20"/>
        </w:rPr>
        <w:t xml:space="preserve">OCJ </w:t>
      </w:r>
      <w:r w:rsidR="007B6204">
        <w:rPr>
          <w:sz w:val="20"/>
          <w:szCs w:val="20"/>
        </w:rPr>
        <w:t xml:space="preserve">p </w:t>
      </w:r>
      <w:r w:rsidRPr="00D625CD">
        <w:rPr>
          <w:sz w:val="20"/>
          <w:szCs w:val="20"/>
        </w:rPr>
        <w:t>14 line 20</w:t>
      </w:r>
    </w:p>
    <w:p w14:paraId="2122631F" w14:textId="689E387B" w:rsidR="00CC4FB7" w:rsidRDefault="00CC4FB7" w:rsidP="00CC4FB7">
      <w:pPr>
        <w:pStyle w:val="WSParaNum"/>
      </w:pPr>
      <w:r w:rsidRPr="00C812C3">
        <w:t xml:space="preserve">The prior sightings lack probative value and </w:t>
      </w:r>
      <w:r>
        <w:t>are</w:t>
      </w:r>
      <w:r w:rsidRPr="00C812C3">
        <w:t xml:space="preserve"> </w:t>
      </w:r>
      <w:r w:rsidR="0023094C">
        <w:t>inconsequential</w:t>
      </w:r>
      <w:r w:rsidRPr="00C812C3">
        <w:t xml:space="preserve"> in proving the material issue. The sightings support the inference that </w:t>
      </w:r>
      <w:r w:rsidR="00420CF7">
        <w:t>Turtles</w:t>
      </w:r>
      <w:r w:rsidRPr="00C812C3">
        <w:t xml:space="preserve"> could have been at the Site at the relevant time but did not prove that they were present beyond a reasonable doubt.</w:t>
      </w:r>
    </w:p>
    <w:p w14:paraId="3F415475" w14:textId="68AA7C01" w:rsidR="00CC4FB7" w:rsidRPr="00D625CD" w:rsidRDefault="00CC4FB7" w:rsidP="00CC4FB7">
      <w:pPr>
        <w:pStyle w:val="WSParaNum"/>
        <w:numPr>
          <w:ilvl w:val="0"/>
          <w:numId w:val="0"/>
        </w:numPr>
        <w:ind w:firstLine="720"/>
        <w:rPr>
          <w:sz w:val="20"/>
          <w:szCs w:val="20"/>
        </w:rPr>
      </w:pPr>
      <w:r w:rsidRPr="00D625CD">
        <w:rPr>
          <w:sz w:val="20"/>
          <w:szCs w:val="20"/>
        </w:rPr>
        <w:t>Paciocco p 46</w:t>
      </w:r>
    </w:p>
    <w:p w14:paraId="4851EF2F" w14:textId="5CC723B7" w:rsidR="00CC4FB7" w:rsidRDefault="00CC4FB7" w:rsidP="00CC4FB7">
      <w:pPr>
        <w:pStyle w:val="WSParaNum"/>
      </w:pPr>
      <w:r>
        <w:t xml:space="preserve">The OCJ correctly held that the post-offence sighting evidence by Maria Badilla was inadmissible for two reasons. </w:t>
      </w:r>
      <w:r w:rsidRPr="00C812C3">
        <w:t xml:space="preserve">First, s 2(2) of the </w:t>
      </w:r>
      <w:r w:rsidRPr="00881E51">
        <w:rPr>
          <w:i/>
          <w:iCs/>
        </w:rPr>
        <w:t>ESA</w:t>
      </w:r>
      <w:r w:rsidRPr="00C812C3">
        <w:t xml:space="preserve"> expressly states that the definition of habitat excludes an area where a species has the potential to be reintroduced. Second, the evidence was neither material nor relevant to proving that the Site was </w:t>
      </w:r>
      <w:r w:rsidR="00420CF7">
        <w:t>Turtle</w:t>
      </w:r>
      <w:r w:rsidRPr="00C812C3">
        <w:t xml:space="preserve"> habitat at the time of the offence.</w:t>
      </w:r>
    </w:p>
    <w:p w14:paraId="0A51C062" w14:textId="7FAD8A28" w:rsidR="00CC4FB7" w:rsidRDefault="00CC4FB7" w:rsidP="00CC4FB7">
      <w:pPr>
        <w:pStyle w:val="WSParaNum"/>
      </w:pPr>
      <w:r w:rsidRPr="00C812C3">
        <w:t xml:space="preserve">Ms. Badilla took a photo of a Blanding’s turtle at Circle Lake on June 11th, 2020. This was entered as evidence for the purpose of establishing that </w:t>
      </w:r>
      <w:r w:rsidR="00420CF7">
        <w:t>Turtles</w:t>
      </w:r>
      <w:r w:rsidRPr="00C812C3">
        <w:t xml:space="preserve"> were using the Site as habitat in 2018. However, relying on this evidence to make this inference</w:t>
      </w:r>
      <w:r>
        <w:t xml:space="preserve"> is problematic</w:t>
      </w:r>
      <w:r w:rsidRPr="00C812C3">
        <w:t xml:space="preserve">. </w:t>
      </w:r>
      <w:r w:rsidR="007B6204">
        <w:t>While</w:t>
      </w:r>
      <w:r w:rsidRPr="00C812C3">
        <w:t xml:space="preserve"> Circle Lake is near the Site, it is not the </w:t>
      </w:r>
      <w:r w:rsidR="007B6204">
        <w:t>S</w:t>
      </w:r>
      <w:r w:rsidRPr="00C812C3">
        <w:t>ite</w:t>
      </w:r>
      <w:r>
        <w:t>.</w:t>
      </w:r>
      <w:r w:rsidR="007B6204">
        <w:t xml:space="preserve"> T</w:t>
      </w:r>
      <w:r w:rsidRPr="00C812C3">
        <w:t>he photo was taken in 2020, which bears little connection with the</w:t>
      </w:r>
      <w:r w:rsidR="00E24BC6">
        <w:t xml:space="preserve"> offence date</w:t>
      </w:r>
      <w:r w:rsidRPr="00C812C3">
        <w:t xml:space="preserve">. The issue is not whether the </w:t>
      </w:r>
      <w:r w:rsidR="00420CF7">
        <w:t>Turtles</w:t>
      </w:r>
      <w:r w:rsidRPr="00C812C3">
        <w:t xml:space="preserve"> were </w:t>
      </w:r>
      <w:r w:rsidR="007B6204">
        <w:t>dependent on</w:t>
      </w:r>
      <w:r w:rsidRPr="00C812C3">
        <w:t xml:space="preserve"> Circle Lake as habitat in 2020, it is whether they were using the Site as habitat at the time of the offence. Ms. Badilla’s evidence lacks a material and relevant connection to the issue, resulting in her evidence being more prejudicial than probative.</w:t>
      </w:r>
    </w:p>
    <w:p w14:paraId="7D4E2F10" w14:textId="2FF335D5" w:rsidR="00CC4FB7" w:rsidRPr="00D625CD" w:rsidRDefault="00CC4FB7" w:rsidP="00CC4FB7">
      <w:pPr>
        <w:pStyle w:val="WSParaNum"/>
        <w:numPr>
          <w:ilvl w:val="0"/>
          <w:numId w:val="0"/>
        </w:numPr>
        <w:ind w:firstLine="720"/>
        <w:rPr>
          <w:sz w:val="20"/>
          <w:szCs w:val="20"/>
        </w:rPr>
      </w:pPr>
      <w:r w:rsidRPr="00D625CD">
        <w:rPr>
          <w:sz w:val="20"/>
          <w:szCs w:val="20"/>
        </w:rPr>
        <w:t xml:space="preserve">OCJ p 15 line 20 </w:t>
      </w:r>
      <w:r>
        <w:rPr>
          <w:sz w:val="20"/>
          <w:szCs w:val="20"/>
        </w:rPr>
        <w:t xml:space="preserve">- </w:t>
      </w:r>
      <w:r w:rsidRPr="00D625CD">
        <w:rPr>
          <w:sz w:val="20"/>
          <w:szCs w:val="20"/>
        </w:rPr>
        <w:t>p 16 line 5.</w:t>
      </w:r>
    </w:p>
    <w:p w14:paraId="3B70733F" w14:textId="489F98D5" w:rsidR="00CC4FB7" w:rsidRDefault="00CC4FB7" w:rsidP="00CC4FB7">
      <w:pPr>
        <w:pStyle w:val="WSParaNum"/>
      </w:pPr>
      <w:r w:rsidRPr="00C812C3">
        <w:t>For evidence to be relevant, it must bear a logical connection with the fact it purports to prove</w:t>
      </w:r>
      <w:r w:rsidR="007B6204">
        <w:t xml:space="preserve">. </w:t>
      </w:r>
      <w:r w:rsidRPr="00C812C3">
        <w:t xml:space="preserve">One of the foundational rules of admissibility is that information can be admitted as evidence only where it is relevant to a material issue in the case. The 2020 sighting at Circle Lake does not share a logical connection with the issue that </w:t>
      </w:r>
      <w:r w:rsidR="00420CF7">
        <w:t>Turtles</w:t>
      </w:r>
      <w:r w:rsidRPr="00C812C3">
        <w:t xml:space="preserve"> were using the Site as habitat in 2018.</w:t>
      </w:r>
    </w:p>
    <w:p w14:paraId="64020A15" w14:textId="4ED2D872" w:rsidR="00CC4FB7" w:rsidRPr="00D625CD" w:rsidRDefault="00DF7B13" w:rsidP="00CC4FB7">
      <w:pPr>
        <w:pStyle w:val="WSParaNum"/>
        <w:numPr>
          <w:ilvl w:val="0"/>
          <w:numId w:val="0"/>
        </w:numPr>
        <w:spacing w:line="240" w:lineRule="auto"/>
        <w:ind w:left="720"/>
        <w:rPr>
          <w:sz w:val="20"/>
          <w:szCs w:val="20"/>
        </w:rPr>
      </w:pPr>
      <w:r w:rsidRPr="00DF7B13">
        <w:rPr>
          <w:i/>
          <w:iCs/>
          <w:sz w:val="20"/>
          <w:szCs w:val="20"/>
        </w:rPr>
        <w:t>R v White</w:t>
      </w:r>
      <w:r w:rsidRPr="00DF7B13">
        <w:rPr>
          <w:sz w:val="20"/>
          <w:szCs w:val="20"/>
        </w:rPr>
        <w:t xml:space="preserve">, 2011 SCC 13 </w:t>
      </w:r>
      <w:r w:rsidR="00CC4FB7" w:rsidRPr="00D625CD">
        <w:rPr>
          <w:sz w:val="20"/>
          <w:szCs w:val="20"/>
        </w:rPr>
        <w:t xml:space="preserve">at para 36 </w:t>
      </w:r>
      <w:r w:rsidRPr="00DF7B13">
        <w:rPr>
          <w:sz w:val="20"/>
          <w:szCs w:val="20"/>
        </w:rPr>
        <w:t>[</w:t>
      </w:r>
      <w:r w:rsidRPr="00DF7B13">
        <w:rPr>
          <w:i/>
          <w:iCs/>
          <w:sz w:val="20"/>
          <w:szCs w:val="20"/>
        </w:rPr>
        <w:t>White</w:t>
      </w:r>
      <w:r w:rsidRPr="00DF7B13">
        <w:rPr>
          <w:sz w:val="20"/>
          <w:szCs w:val="20"/>
        </w:rPr>
        <w:t>].</w:t>
      </w:r>
    </w:p>
    <w:p w14:paraId="3D49AB6F" w14:textId="7D27D5F9" w:rsidR="00CC4FB7" w:rsidRPr="00D625CD" w:rsidRDefault="00CC4FB7" w:rsidP="00CC4FB7">
      <w:pPr>
        <w:pStyle w:val="WSParaNum"/>
        <w:numPr>
          <w:ilvl w:val="0"/>
          <w:numId w:val="0"/>
        </w:numPr>
        <w:spacing w:line="240" w:lineRule="auto"/>
        <w:ind w:left="720"/>
        <w:rPr>
          <w:sz w:val="20"/>
          <w:szCs w:val="20"/>
        </w:rPr>
      </w:pPr>
      <w:r w:rsidRPr="00D625CD">
        <w:rPr>
          <w:sz w:val="20"/>
          <w:szCs w:val="20"/>
        </w:rPr>
        <w:t>Paciocco p 32.</w:t>
      </w:r>
    </w:p>
    <w:p w14:paraId="4E429911" w14:textId="5E79FD21" w:rsidR="00CC4FB7" w:rsidRDefault="00CC4FB7" w:rsidP="00CC4FB7">
      <w:pPr>
        <w:pStyle w:val="WSParaNum"/>
      </w:pPr>
      <w:r w:rsidRPr="00C812C3">
        <w:lastRenderedPageBreak/>
        <w:t xml:space="preserve">The Trial Justice erred in admitting Ms. Badilla’s evidence, as it was </w:t>
      </w:r>
      <w:r>
        <w:t>irr</w:t>
      </w:r>
      <w:r w:rsidRPr="00C812C3">
        <w:t xml:space="preserve">elevant. Section 2(2) of the </w:t>
      </w:r>
      <w:r w:rsidRPr="007E7907">
        <w:rPr>
          <w:i/>
          <w:iCs/>
        </w:rPr>
        <w:t>ESA</w:t>
      </w:r>
      <w:r w:rsidRPr="00C812C3">
        <w:t xml:space="preserve"> expressly states that an endangered species’ habitat does not include former habitat, nor an area where they have the potential to be reintroduced. Even as circumstantial evidence, the 2020 sighting was insufficient to prove habitat at the time of the offence for the purpose of entering a conviction under s 10(1)(a)</w:t>
      </w:r>
      <w:r>
        <w:t xml:space="preserve"> </w:t>
      </w:r>
      <w:r w:rsidRPr="00C812C3">
        <w:t xml:space="preserve">of the </w:t>
      </w:r>
      <w:r w:rsidRPr="007E7907">
        <w:rPr>
          <w:i/>
          <w:iCs/>
        </w:rPr>
        <w:t>ESA.</w:t>
      </w:r>
      <w:r w:rsidRPr="00C812C3">
        <w:t xml:space="preserve"> Put simply, a 2020 sighting of a </w:t>
      </w:r>
      <w:r w:rsidR="00420CF7">
        <w:t>Turtle</w:t>
      </w:r>
      <w:r w:rsidRPr="00C812C3">
        <w:t>, at a different location and two years after the date of the offence</w:t>
      </w:r>
      <w:r w:rsidR="00E24BC6">
        <w:t>,</w:t>
      </w:r>
      <w:r w:rsidRPr="00C812C3">
        <w:t xml:space="preserve"> is wholly insufficient to support </w:t>
      </w:r>
      <w:r w:rsidR="00E24BC6">
        <w:t xml:space="preserve">a conviction. </w:t>
      </w:r>
    </w:p>
    <w:p w14:paraId="6BF6EF8C" w14:textId="74B3EE61" w:rsidR="00CC4FB7" w:rsidRDefault="00CC4FB7" w:rsidP="00CC4FB7">
      <w:pPr>
        <w:pStyle w:val="WSParaNum"/>
      </w:pPr>
      <w:r w:rsidRPr="003A2676">
        <w:t xml:space="preserve">Furthermore, </w:t>
      </w:r>
      <w:r w:rsidR="00420CF7">
        <w:t>Turtles</w:t>
      </w:r>
      <w:r w:rsidRPr="003A2676">
        <w:t xml:space="preserve"> travel, </w:t>
      </w:r>
      <w:r w:rsidR="007B6204">
        <w:t>thus</w:t>
      </w:r>
      <w:r w:rsidRPr="003A2676">
        <w:t xml:space="preserve"> Ms. Badilla’s photo even less material in proving habitat. Ms. Badilla’s 2020 photo could just as likely represent a transitory sighting, or a reintroduced species. However, this is pure speculation, as is the inference that the sighting supports the finding that the </w:t>
      </w:r>
      <w:r w:rsidR="00420CF7">
        <w:t>Turtle</w:t>
      </w:r>
      <w:r w:rsidRPr="003A2676">
        <w:t xml:space="preserve"> was using the Site as habitat in 2018.</w:t>
      </w:r>
    </w:p>
    <w:p w14:paraId="7B50CDE9" w14:textId="1985F77F" w:rsidR="00CC4FB7" w:rsidRPr="001148E9" w:rsidRDefault="000A22F2" w:rsidP="00CC4FB7">
      <w:pPr>
        <w:pStyle w:val="WSParaNum"/>
        <w:numPr>
          <w:ilvl w:val="0"/>
          <w:numId w:val="0"/>
        </w:numPr>
        <w:ind w:left="720"/>
        <w:rPr>
          <w:sz w:val="20"/>
          <w:szCs w:val="20"/>
        </w:rPr>
      </w:pPr>
      <w:r w:rsidRPr="000A22F2">
        <w:rPr>
          <w:sz w:val="20"/>
          <w:szCs w:val="20"/>
        </w:rPr>
        <w:t>Ministry of the Environment, Conservation and Parks, “Blanding’s turtle” (26 July 2024)</w:t>
      </w:r>
      <w:r>
        <w:rPr>
          <w:sz w:val="20"/>
          <w:szCs w:val="20"/>
        </w:rPr>
        <w:t xml:space="preserve"> </w:t>
      </w:r>
    </w:p>
    <w:p w14:paraId="65F84DD1" w14:textId="33501353" w:rsidR="00CC4FB7" w:rsidRDefault="00CC4FB7" w:rsidP="00CC4FB7">
      <w:pPr>
        <w:pStyle w:val="WSParaNum"/>
      </w:pPr>
      <w:r w:rsidRPr="003A2676">
        <w:t xml:space="preserve">The 2020 photo was irrelevant, and the OCJ was correct to exclude it because it does not support the proposition it </w:t>
      </w:r>
      <w:r w:rsidR="007B6204">
        <w:t>was</w:t>
      </w:r>
      <w:r w:rsidRPr="003A2676">
        <w:t xml:space="preserve"> trying to make. As a matter of logic, a 2020 sighting does not prove the Site was habitat in 2018. Moreover, if the suggestion that a 2020 sighting related to whether the Site was habitat in 2018, </w:t>
      </w:r>
      <w:r w:rsidR="007B6204" w:rsidRPr="007B6204">
        <w:rPr>
          <w:i/>
          <w:iCs/>
        </w:rPr>
        <w:t>ESA</w:t>
      </w:r>
      <w:r w:rsidR="007B6204">
        <w:t xml:space="preserve"> </w:t>
      </w:r>
      <w:r w:rsidRPr="003A2676">
        <w:t xml:space="preserve">s 2(2) would decrease the probative value of the photo. If the 2020 photo proved habitat in 2018, </w:t>
      </w:r>
      <w:r>
        <w:t xml:space="preserve">that could </w:t>
      </w:r>
      <w:r w:rsidRPr="003A2676">
        <w:t xml:space="preserve">make the 2020 photo of </w:t>
      </w:r>
      <w:r w:rsidR="00420CF7">
        <w:t>a Turtle</w:t>
      </w:r>
      <w:r w:rsidRPr="003A2676">
        <w:t xml:space="preserve"> a “reintroduced species”. </w:t>
      </w:r>
    </w:p>
    <w:p w14:paraId="01CE339B" w14:textId="2C325C37" w:rsidR="00CC4FB7" w:rsidRPr="00CC4FB7" w:rsidRDefault="00DF7B13" w:rsidP="00CC4FB7">
      <w:pPr>
        <w:pStyle w:val="WSParaNum"/>
        <w:numPr>
          <w:ilvl w:val="0"/>
          <w:numId w:val="0"/>
        </w:numPr>
        <w:ind w:firstLine="720"/>
        <w:rPr>
          <w:sz w:val="21"/>
          <w:szCs w:val="21"/>
        </w:rPr>
      </w:pPr>
      <w:r w:rsidRPr="00DF7B13">
        <w:rPr>
          <w:i/>
          <w:iCs/>
          <w:sz w:val="21"/>
          <w:szCs w:val="21"/>
        </w:rPr>
        <w:t>R. v. Schneider</w:t>
      </w:r>
      <w:r w:rsidRPr="00DF7B13">
        <w:rPr>
          <w:sz w:val="21"/>
          <w:szCs w:val="21"/>
        </w:rPr>
        <w:t xml:space="preserve">, 2022 SCC 34 (CanLII), [2022] 2 SCR 619. </w:t>
      </w:r>
      <w:r w:rsidR="007B6204">
        <w:rPr>
          <w:sz w:val="21"/>
          <w:szCs w:val="21"/>
        </w:rPr>
        <w:t xml:space="preserve">at </w:t>
      </w:r>
      <w:r w:rsidR="00CC4FB7" w:rsidRPr="00CC4FB7">
        <w:rPr>
          <w:sz w:val="21"/>
          <w:szCs w:val="21"/>
        </w:rPr>
        <w:t>para 36.</w:t>
      </w:r>
      <w:r w:rsidRPr="00DF7B13">
        <w:rPr>
          <w:sz w:val="21"/>
          <w:szCs w:val="21"/>
        </w:rPr>
        <w:t xml:space="preserve"> [</w:t>
      </w:r>
      <w:r w:rsidRPr="00DF7B13">
        <w:rPr>
          <w:i/>
          <w:iCs/>
          <w:sz w:val="21"/>
          <w:szCs w:val="21"/>
        </w:rPr>
        <w:t>Schneider</w:t>
      </w:r>
      <w:r w:rsidRPr="00DF7B13">
        <w:rPr>
          <w:sz w:val="21"/>
          <w:szCs w:val="21"/>
        </w:rPr>
        <w:t>]</w:t>
      </w:r>
    </w:p>
    <w:p w14:paraId="5E9E6B44" w14:textId="77777777" w:rsidR="00CC4FB7" w:rsidRPr="00FE3380" w:rsidRDefault="00CC4FB7" w:rsidP="00FE3380">
      <w:pPr>
        <w:pStyle w:val="Subtitle"/>
        <w:ind w:left="720" w:hanging="720"/>
        <w:jc w:val="left"/>
        <w:rPr>
          <w:rFonts w:ascii="Times New Roman" w:hAnsi="Times New Roman"/>
        </w:rPr>
      </w:pPr>
      <w:bookmarkStart w:id="13" w:name="_Toc220019281"/>
      <w:r w:rsidRPr="00FE3380">
        <w:rPr>
          <w:rFonts w:ascii="Times New Roman" w:hAnsi="Times New Roman"/>
        </w:rPr>
        <w:t>(ii)</w:t>
      </w:r>
      <w:r w:rsidRPr="00FE3380">
        <w:rPr>
          <w:rFonts w:ascii="Times New Roman" w:hAnsi="Times New Roman"/>
        </w:rPr>
        <w:tab/>
      </w:r>
      <w:r w:rsidRPr="00FE3380">
        <w:rPr>
          <w:rFonts w:ascii="Times New Roman" w:hAnsi="Times New Roman"/>
          <w:i/>
          <w:iCs/>
          <w:u w:val="single"/>
        </w:rPr>
        <w:t>Mr. Snell’s reliance on the previous sightings was problematic due to their immaterial nature.</w:t>
      </w:r>
      <w:bookmarkEnd w:id="13"/>
    </w:p>
    <w:p w14:paraId="7E86051D" w14:textId="4CC93F78" w:rsidR="00CC4FB7" w:rsidRDefault="00CC4FB7" w:rsidP="00CC4FB7">
      <w:pPr>
        <w:pStyle w:val="WSParaNum"/>
      </w:pPr>
      <w:r w:rsidRPr="003A2676">
        <w:t xml:space="preserve">At trial, Mr. Snell testified that </w:t>
      </w:r>
      <w:r w:rsidR="007B6204">
        <w:t>they</w:t>
      </w:r>
      <w:r w:rsidRPr="003A2676">
        <w:t xml:space="preserve"> believed the Site was </w:t>
      </w:r>
      <w:r w:rsidR="00420CF7">
        <w:t>Turtle</w:t>
      </w:r>
      <w:r w:rsidRPr="003A2676">
        <w:t xml:space="preserve"> habitat</w:t>
      </w:r>
      <w:r w:rsidR="007B6204">
        <w:t xml:space="preserve"> </w:t>
      </w:r>
      <w:r w:rsidRPr="003A2676">
        <w:t>at the time of the offence, relying on the eyewitness sightings from 2007 and 2017. The facts upon which an expert opinion is based must be found to exist before weight can be given to the expert’s opinion</w:t>
      </w:r>
      <w:r w:rsidR="007B6204">
        <w:t xml:space="preserve">. </w:t>
      </w:r>
      <w:r w:rsidRPr="003A2676">
        <w:t>This is also true for expert testimony that incorporates hearsay evidence</w:t>
      </w:r>
      <w:r w:rsidR="007B6204">
        <w:t>.</w:t>
      </w:r>
    </w:p>
    <w:p w14:paraId="20DF7A76" w14:textId="7074F4E5" w:rsidR="00DF7B13" w:rsidRDefault="00DF7B13" w:rsidP="00CC4FB7">
      <w:pPr>
        <w:pStyle w:val="WSParaNum"/>
        <w:numPr>
          <w:ilvl w:val="0"/>
          <w:numId w:val="0"/>
        </w:numPr>
        <w:spacing w:line="240" w:lineRule="auto"/>
        <w:ind w:left="720"/>
        <w:rPr>
          <w:i/>
          <w:iCs/>
          <w:sz w:val="20"/>
          <w:szCs w:val="20"/>
        </w:rPr>
      </w:pPr>
      <w:r w:rsidRPr="00DF7B13">
        <w:rPr>
          <w:i/>
          <w:iCs/>
          <w:sz w:val="20"/>
          <w:szCs w:val="20"/>
        </w:rPr>
        <w:t xml:space="preserve">R v Lavallee, </w:t>
      </w:r>
      <w:r w:rsidRPr="00DF7B13">
        <w:rPr>
          <w:sz w:val="20"/>
          <w:szCs w:val="20"/>
        </w:rPr>
        <w:t>1990 CanLII 95, 1990 CarswellMan 377 at p 44</w:t>
      </w:r>
      <w:r w:rsidRPr="00DF7B13">
        <w:rPr>
          <w:i/>
          <w:iCs/>
          <w:sz w:val="20"/>
          <w:szCs w:val="20"/>
        </w:rPr>
        <w:t xml:space="preserve"> [Lavallee].</w:t>
      </w:r>
    </w:p>
    <w:p w14:paraId="08C43A26" w14:textId="05802A32" w:rsidR="00CC4FB7" w:rsidRPr="001148E9" w:rsidRDefault="00DF7B13" w:rsidP="00CC4FB7">
      <w:pPr>
        <w:pStyle w:val="WSParaNum"/>
        <w:numPr>
          <w:ilvl w:val="0"/>
          <w:numId w:val="0"/>
        </w:numPr>
        <w:spacing w:line="240" w:lineRule="auto"/>
        <w:ind w:left="720"/>
        <w:rPr>
          <w:sz w:val="20"/>
          <w:szCs w:val="20"/>
        </w:rPr>
      </w:pPr>
      <w:r w:rsidRPr="00DF7B13">
        <w:rPr>
          <w:i/>
          <w:iCs/>
          <w:sz w:val="20"/>
          <w:szCs w:val="20"/>
        </w:rPr>
        <w:t>R v Abbey</w:t>
      </w:r>
      <w:r w:rsidRPr="00DF7B13">
        <w:rPr>
          <w:sz w:val="20"/>
          <w:szCs w:val="20"/>
        </w:rPr>
        <w:t xml:space="preserve">, 1982 CanLII 25, 1982 CarswellBC 230 </w:t>
      </w:r>
      <w:r w:rsidR="00CC4FB7" w:rsidRPr="001148E9">
        <w:rPr>
          <w:sz w:val="20"/>
          <w:szCs w:val="20"/>
        </w:rPr>
        <w:t>at para 52</w:t>
      </w:r>
      <w:r w:rsidR="007B6204">
        <w:rPr>
          <w:sz w:val="20"/>
          <w:szCs w:val="20"/>
        </w:rPr>
        <w:t xml:space="preserve"> </w:t>
      </w:r>
    </w:p>
    <w:p w14:paraId="6AF78A4F" w14:textId="31D15A57" w:rsidR="00CC4FB7" w:rsidRDefault="00CC4FB7" w:rsidP="00CC4FB7">
      <w:pPr>
        <w:pStyle w:val="WSParaNum"/>
      </w:pPr>
      <w:r w:rsidRPr="003A2676">
        <w:t xml:space="preserve">Before weight can be placed on Mr. Snell’s testimony, the facts upon which </w:t>
      </w:r>
      <w:r w:rsidR="007B43C5">
        <w:t>they</w:t>
      </w:r>
      <w:r w:rsidRPr="003A2676">
        <w:t xml:space="preserve"> relied upon must be proven to exist. Mr. Snell’s testimony was not based on facts that were found to exist, specifically that the 2007 and 2017 sightings of </w:t>
      </w:r>
      <w:r w:rsidR="00420CF7">
        <w:t>Turtles</w:t>
      </w:r>
      <w:r w:rsidRPr="003A2676">
        <w:t xml:space="preserve"> at Circle Lake established </w:t>
      </w:r>
      <w:r w:rsidR="00420CF7">
        <w:t>Turtle</w:t>
      </w:r>
      <w:r w:rsidRPr="003A2676">
        <w:t xml:space="preserve"> </w:t>
      </w:r>
      <w:r w:rsidRPr="003A2676">
        <w:lastRenderedPageBreak/>
        <w:t xml:space="preserve">habitat at the Site at the time of the offence. Additionally, on cross-examination, Mr. Snell was unable to definitively state that the Blanding’s turtles were using the Site as habitat at the time of the offence. Based on the foregoing, Mr. Snell provided testimony which relied upon facts which were not proven to exist and failed to establish that the Site was </w:t>
      </w:r>
      <w:r w:rsidR="00420CF7">
        <w:t>Turtle</w:t>
      </w:r>
      <w:r w:rsidRPr="003A2676">
        <w:t xml:space="preserve"> habitat in June of 2018.  </w:t>
      </w:r>
    </w:p>
    <w:p w14:paraId="3581F5FB" w14:textId="77777777" w:rsidR="00CC4FB7" w:rsidRPr="00D625CD" w:rsidRDefault="00CC4FB7" w:rsidP="00CC4FB7">
      <w:pPr>
        <w:pStyle w:val="WSParaNum"/>
        <w:numPr>
          <w:ilvl w:val="0"/>
          <w:numId w:val="0"/>
        </w:numPr>
        <w:spacing w:line="240" w:lineRule="auto"/>
        <w:ind w:left="720"/>
        <w:rPr>
          <w:sz w:val="20"/>
          <w:szCs w:val="20"/>
        </w:rPr>
      </w:pPr>
      <w:r w:rsidRPr="00D625CD">
        <w:rPr>
          <w:i/>
          <w:iCs/>
          <w:sz w:val="20"/>
          <w:szCs w:val="20"/>
        </w:rPr>
        <w:t xml:space="preserve">Lavallee </w:t>
      </w:r>
      <w:r w:rsidRPr="00D625CD">
        <w:rPr>
          <w:sz w:val="20"/>
          <w:szCs w:val="20"/>
        </w:rPr>
        <w:t>at p 44.</w:t>
      </w:r>
    </w:p>
    <w:p w14:paraId="55C66CA2" w14:textId="6F65B13A" w:rsidR="00CC4FB7" w:rsidRPr="00D625CD" w:rsidRDefault="00CC4FB7" w:rsidP="00CC4FB7">
      <w:pPr>
        <w:pStyle w:val="WSParaNum"/>
        <w:numPr>
          <w:ilvl w:val="0"/>
          <w:numId w:val="0"/>
        </w:numPr>
        <w:spacing w:line="240" w:lineRule="auto"/>
        <w:ind w:left="720"/>
        <w:rPr>
          <w:sz w:val="20"/>
          <w:szCs w:val="20"/>
        </w:rPr>
      </w:pPr>
      <w:r w:rsidRPr="00D625CD">
        <w:rPr>
          <w:sz w:val="20"/>
          <w:szCs w:val="20"/>
        </w:rPr>
        <w:t xml:space="preserve">OCJ </w:t>
      </w:r>
      <w:r w:rsidR="007B43C5">
        <w:rPr>
          <w:sz w:val="20"/>
          <w:szCs w:val="20"/>
        </w:rPr>
        <w:t>p</w:t>
      </w:r>
      <w:r w:rsidRPr="00D625CD">
        <w:rPr>
          <w:sz w:val="20"/>
          <w:szCs w:val="20"/>
        </w:rPr>
        <w:t xml:space="preserve"> 14 line 20.</w:t>
      </w:r>
    </w:p>
    <w:p w14:paraId="38426383" w14:textId="02A0A090" w:rsidR="00CC4FB7" w:rsidRDefault="00CC4FB7" w:rsidP="00CC4FB7">
      <w:pPr>
        <w:pStyle w:val="WSParaNum"/>
      </w:pPr>
      <w:r w:rsidRPr="003A2676">
        <w:t>Mr. Snell’s reliance on the pre-offence sightings was problematic. The probative value of these sightings in relation to proving the Site as habitat in 2018 is low, and the resulting prejudicial effect is high. This is particularly so because s 2(2) of the</w:t>
      </w:r>
      <w:r w:rsidRPr="001148E9">
        <w:rPr>
          <w:i/>
          <w:iCs/>
        </w:rPr>
        <w:t xml:space="preserve"> ESA</w:t>
      </w:r>
      <w:r w:rsidRPr="003A2676">
        <w:t xml:space="preserve"> excludes previous habitat. Accordingly, Mr. Snell’s reliance on pre-offence sightings near – but not at – the Site become far less probative when considered alongside the relevant provision of the </w:t>
      </w:r>
      <w:r w:rsidRPr="001148E9">
        <w:rPr>
          <w:i/>
          <w:iCs/>
        </w:rPr>
        <w:t>ESA</w:t>
      </w:r>
      <w:r w:rsidRPr="003A2676">
        <w:t xml:space="preserve">. The statutory carve out under s 2(2) of the </w:t>
      </w:r>
      <w:r w:rsidRPr="001148E9">
        <w:rPr>
          <w:i/>
          <w:iCs/>
        </w:rPr>
        <w:t>ESA</w:t>
      </w:r>
      <w:r w:rsidRPr="003A2676">
        <w:t xml:space="preserve"> does not impose a contemporaneity condition, rather, it requires the Crown to prove beyond a reasonable doubt that the Site was </w:t>
      </w:r>
      <w:r w:rsidR="00420CF7">
        <w:t>Turtle</w:t>
      </w:r>
      <w:r w:rsidRPr="003A2676">
        <w:t xml:space="preserve"> habitat at the time of the offence.</w:t>
      </w:r>
    </w:p>
    <w:p w14:paraId="65F05834" w14:textId="4EE5582D" w:rsidR="00CC4FB7" w:rsidRPr="001148E9" w:rsidRDefault="00CC4FB7" w:rsidP="00CC4FB7">
      <w:pPr>
        <w:pStyle w:val="WSParaNum"/>
        <w:numPr>
          <w:ilvl w:val="0"/>
          <w:numId w:val="0"/>
        </w:numPr>
        <w:ind w:firstLine="720"/>
        <w:rPr>
          <w:sz w:val="20"/>
          <w:szCs w:val="20"/>
        </w:rPr>
      </w:pPr>
      <w:r w:rsidRPr="00D625CD">
        <w:rPr>
          <w:i/>
          <w:iCs/>
          <w:sz w:val="20"/>
          <w:szCs w:val="20"/>
        </w:rPr>
        <w:t xml:space="preserve"> </w:t>
      </w:r>
      <w:r w:rsidRPr="001148E9">
        <w:rPr>
          <w:i/>
          <w:iCs/>
          <w:sz w:val="20"/>
          <w:szCs w:val="20"/>
        </w:rPr>
        <w:t>Schneider</w:t>
      </w:r>
      <w:r w:rsidR="007B43C5">
        <w:rPr>
          <w:sz w:val="20"/>
          <w:szCs w:val="20"/>
        </w:rPr>
        <w:t xml:space="preserve"> at</w:t>
      </w:r>
      <w:r w:rsidRPr="001148E9">
        <w:rPr>
          <w:sz w:val="20"/>
          <w:szCs w:val="20"/>
        </w:rPr>
        <w:t xml:space="preserve"> para 36.</w:t>
      </w:r>
    </w:p>
    <w:p w14:paraId="5074A4E5" w14:textId="30DF2845" w:rsidR="00CC4FB7" w:rsidRDefault="00CC4FB7" w:rsidP="00CC4FB7">
      <w:pPr>
        <w:pStyle w:val="WSParaNum"/>
      </w:pPr>
      <w:r>
        <w:t xml:space="preserve">In the absence of direct evidence, proving habitat under s 2 of the </w:t>
      </w:r>
      <w:r w:rsidRPr="007B43C5">
        <w:rPr>
          <w:i/>
          <w:iCs/>
        </w:rPr>
        <w:t>ESA</w:t>
      </w:r>
      <w:r>
        <w:t xml:space="preserve">, in this case required corroborating expert evidence. </w:t>
      </w:r>
      <w:r w:rsidR="007B43C5">
        <w:t>The</w:t>
      </w:r>
      <w:r>
        <w:t xml:space="preserve"> Ontario Court of Appeal (“ONCA”) held that a project would cause serious and irreversible harm to </w:t>
      </w:r>
      <w:r w:rsidR="00420CF7">
        <w:t>Turtles</w:t>
      </w:r>
      <w:r>
        <w:t xml:space="preserve">. At issue was whether data on the size of the impacted population was required to find that the project caused an irreversible decline in the </w:t>
      </w:r>
      <w:r w:rsidR="00420CF7">
        <w:t>Turtle</w:t>
      </w:r>
      <w:r>
        <w:t xml:space="preserve"> population. The ONCA determined that there was sufficient direct and expert evidence, and that the data on potential population decline was unnecessary. However, in this case, there is no such direct evidence, nor is there corroborating expert evidence.</w:t>
      </w:r>
    </w:p>
    <w:p w14:paraId="25E6D583" w14:textId="3513BB22" w:rsidR="00CC4FB7" w:rsidRPr="00D625CD" w:rsidRDefault="000A22F2" w:rsidP="00CC4FB7">
      <w:pPr>
        <w:pStyle w:val="WSParaNum"/>
        <w:numPr>
          <w:ilvl w:val="0"/>
          <w:numId w:val="0"/>
        </w:numPr>
        <w:spacing w:line="240" w:lineRule="auto"/>
        <w:ind w:left="720"/>
        <w:rPr>
          <w:sz w:val="20"/>
          <w:szCs w:val="20"/>
        </w:rPr>
      </w:pPr>
      <w:r w:rsidRPr="000A22F2">
        <w:rPr>
          <w:i/>
          <w:iCs/>
          <w:sz w:val="20"/>
          <w:szCs w:val="20"/>
        </w:rPr>
        <w:t xml:space="preserve">Prince Edward County Field Naturalists v Ostrander Point GP Inc, </w:t>
      </w:r>
      <w:r w:rsidRPr="000A22F2">
        <w:rPr>
          <w:sz w:val="20"/>
          <w:szCs w:val="20"/>
        </w:rPr>
        <w:t>2015 ONCA 269</w:t>
      </w:r>
      <w:r w:rsidRPr="000A22F2">
        <w:rPr>
          <w:i/>
          <w:iCs/>
          <w:sz w:val="20"/>
          <w:szCs w:val="20"/>
        </w:rPr>
        <w:t xml:space="preserve"> </w:t>
      </w:r>
      <w:r w:rsidR="00CC4FB7" w:rsidRPr="00D625CD">
        <w:rPr>
          <w:sz w:val="20"/>
          <w:szCs w:val="20"/>
        </w:rPr>
        <w:t xml:space="preserve">at paras 61 </w:t>
      </w:r>
      <w:r>
        <w:rPr>
          <w:sz w:val="20"/>
          <w:szCs w:val="20"/>
        </w:rPr>
        <w:t>–</w:t>
      </w:r>
      <w:r w:rsidR="00CC4FB7" w:rsidRPr="00D625CD">
        <w:rPr>
          <w:sz w:val="20"/>
          <w:szCs w:val="20"/>
        </w:rPr>
        <w:t xml:space="preserve"> 65</w:t>
      </w:r>
      <w:r>
        <w:rPr>
          <w:sz w:val="20"/>
          <w:szCs w:val="20"/>
        </w:rPr>
        <w:t xml:space="preserve"> </w:t>
      </w:r>
      <w:r w:rsidRPr="000A22F2">
        <w:rPr>
          <w:i/>
          <w:iCs/>
          <w:sz w:val="20"/>
          <w:szCs w:val="20"/>
        </w:rPr>
        <w:t>[PEC].</w:t>
      </w:r>
    </w:p>
    <w:p w14:paraId="2399C0C8" w14:textId="71E20B49" w:rsidR="00CC4FB7" w:rsidRDefault="00CC4FB7" w:rsidP="00CC4FB7">
      <w:pPr>
        <w:pStyle w:val="WSParaNum"/>
      </w:pPr>
      <w:r>
        <w:t xml:space="preserve">Unlike in </w:t>
      </w:r>
      <w:r w:rsidR="007B43C5">
        <w:rPr>
          <w:i/>
          <w:iCs/>
        </w:rPr>
        <w:t>PEC</w:t>
      </w:r>
      <w:r>
        <w:t xml:space="preserve">, Mr. Snell’s testimony was not corroborated by other expert witnesses or other direct evidence. The only corroboration was by way of eyewitness sightings. As detailed in </w:t>
      </w:r>
      <w:r w:rsidR="007B43C5">
        <w:rPr>
          <w:i/>
          <w:iCs/>
        </w:rPr>
        <w:t>PEC</w:t>
      </w:r>
      <w:r>
        <w:t xml:space="preserve">, absent direct evidence, there are few circumstances under which further expert evidence will suffice to prove the existence of habitat. In this case, the evidence required meaningful corroboration, which was not met by the pre-offence sightings. The 2007 and 2017 sightings have very limited probative value when balanced with the remaining evidence, such as the MNRF surveys, which stated that the Site was likely not being used as </w:t>
      </w:r>
      <w:r w:rsidR="00F83A16">
        <w:t>Turtle</w:t>
      </w:r>
      <w:r>
        <w:t xml:space="preserve"> habitat. Evidence </w:t>
      </w:r>
      <w:r>
        <w:lastRenderedPageBreak/>
        <w:t xml:space="preserve">must not be interpreted in a vacuum. The evidence failed to establish beyond a reasonable doubt that the impugned area consisted of </w:t>
      </w:r>
      <w:r w:rsidR="00F83A16">
        <w:t>Turtle</w:t>
      </w:r>
      <w:r>
        <w:t xml:space="preserve"> habitat at the time of the offence. As a result, the Trial Justice erred in convicting CHL. </w:t>
      </w:r>
    </w:p>
    <w:p w14:paraId="5C85895A" w14:textId="0FFC5D0F" w:rsidR="00CC4FB7" w:rsidRPr="00D625CD" w:rsidRDefault="00C02E8B" w:rsidP="00CC4FB7">
      <w:pPr>
        <w:pStyle w:val="WSParaNum"/>
        <w:numPr>
          <w:ilvl w:val="0"/>
          <w:numId w:val="0"/>
        </w:numPr>
        <w:spacing w:line="240" w:lineRule="auto"/>
        <w:ind w:left="720"/>
        <w:rPr>
          <w:sz w:val="20"/>
          <w:szCs w:val="20"/>
        </w:rPr>
      </w:pPr>
      <w:r>
        <w:rPr>
          <w:i/>
          <w:iCs/>
          <w:sz w:val="20"/>
          <w:szCs w:val="20"/>
        </w:rPr>
        <w:t>PEC</w:t>
      </w:r>
      <w:r w:rsidR="007B43C5">
        <w:rPr>
          <w:i/>
          <w:iCs/>
          <w:sz w:val="20"/>
          <w:szCs w:val="20"/>
        </w:rPr>
        <w:t xml:space="preserve"> </w:t>
      </w:r>
      <w:r w:rsidR="007B43C5" w:rsidRPr="007B43C5">
        <w:rPr>
          <w:sz w:val="20"/>
          <w:szCs w:val="20"/>
        </w:rPr>
        <w:t>at</w:t>
      </w:r>
      <w:r w:rsidR="007B43C5">
        <w:rPr>
          <w:i/>
          <w:iCs/>
          <w:sz w:val="20"/>
          <w:szCs w:val="20"/>
        </w:rPr>
        <w:t xml:space="preserve"> </w:t>
      </w:r>
      <w:r w:rsidR="00CC4FB7" w:rsidRPr="00D625CD">
        <w:rPr>
          <w:sz w:val="20"/>
          <w:szCs w:val="20"/>
        </w:rPr>
        <w:t>para 61</w:t>
      </w:r>
      <w:r w:rsidR="00CC4FB7">
        <w:rPr>
          <w:sz w:val="20"/>
          <w:szCs w:val="20"/>
        </w:rPr>
        <w:t>.</w:t>
      </w:r>
    </w:p>
    <w:p w14:paraId="09F33397" w14:textId="77777777" w:rsidR="00CC4FB7" w:rsidRPr="00D625CD" w:rsidRDefault="00CC4FB7" w:rsidP="00CC4FB7">
      <w:pPr>
        <w:pStyle w:val="WSParaNum"/>
        <w:numPr>
          <w:ilvl w:val="0"/>
          <w:numId w:val="0"/>
        </w:numPr>
        <w:spacing w:line="240" w:lineRule="auto"/>
        <w:ind w:left="720"/>
        <w:rPr>
          <w:sz w:val="20"/>
          <w:szCs w:val="20"/>
        </w:rPr>
      </w:pPr>
      <w:r w:rsidRPr="00D625CD">
        <w:rPr>
          <w:sz w:val="20"/>
          <w:szCs w:val="20"/>
        </w:rPr>
        <w:t>OCJ p 14 line 20.</w:t>
      </w:r>
    </w:p>
    <w:p w14:paraId="520EDEED" w14:textId="77777777" w:rsidR="00CC4FB7" w:rsidRPr="00FE3380" w:rsidRDefault="00CC4FB7" w:rsidP="00FE3380">
      <w:pPr>
        <w:pStyle w:val="Subtitle"/>
        <w:jc w:val="left"/>
        <w:rPr>
          <w:rFonts w:ascii="Times New Roman" w:hAnsi="Times New Roman"/>
          <w:i/>
          <w:iCs/>
          <w:u w:val="single"/>
        </w:rPr>
      </w:pPr>
      <w:bookmarkStart w:id="14" w:name="_Toc220019282"/>
      <w:r w:rsidRPr="00FE3380">
        <w:rPr>
          <w:rFonts w:ascii="Times New Roman" w:hAnsi="Times New Roman"/>
        </w:rPr>
        <w:t>(iii)</w:t>
      </w:r>
      <w:r w:rsidRPr="00FE3380">
        <w:rPr>
          <w:rFonts w:ascii="Times New Roman" w:hAnsi="Times New Roman"/>
        </w:rPr>
        <w:tab/>
      </w:r>
      <w:r w:rsidRPr="00FE3380">
        <w:rPr>
          <w:rFonts w:ascii="Times New Roman" w:hAnsi="Times New Roman"/>
          <w:i/>
          <w:iCs/>
          <w:u w:val="single"/>
        </w:rPr>
        <w:t>The OCJ did not create a contemporaneity requirement to convict under ESA s 10(1)(a).</w:t>
      </w:r>
      <w:bookmarkEnd w:id="14"/>
    </w:p>
    <w:p w14:paraId="1F8B1758" w14:textId="2096480F" w:rsidR="00CC4FB7" w:rsidRDefault="00CC4FB7" w:rsidP="00CC4FB7">
      <w:pPr>
        <w:pStyle w:val="WSParaNum"/>
      </w:pPr>
      <w:r w:rsidRPr="003A2676">
        <w:t xml:space="preserve">The OCJ properly interpreted the definition of habitat in accordance with the legislation, which does not import a contemporaneity requirement. The </w:t>
      </w:r>
      <w:r w:rsidRPr="001148E9">
        <w:rPr>
          <w:i/>
          <w:iCs/>
        </w:rPr>
        <w:t xml:space="preserve">ESA </w:t>
      </w:r>
      <w:r w:rsidRPr="003A2676">
        <w:t xml:space="preserve">is clear on what habitat is and is not. The Appellant purports that the </w:t>
      </w:r>
      <w:r w:rsidRPr="001148E9">
        <w:rPr>
          <w:i/>
          <w:iCs/>
        </w:rPr>
        <w:t>ESA</w:t>
      </w:r>
      <w:r w:rsidRPr="003A2676">
        <w:t xml:space="preserve"> attracts an expansive interpretation, and that the OCJ’s treatment of the 2007, 2017, and 2020 </w:t>
      </w:r>
      <w:r w:rsidR="00F83A16">
        <w:t>Turtle</w:t>
      </w:r>
      <w:r w:rsidRPr="003A2676">
        <w:t xml:space="preserve"> sightings created a contemporaneity requirement for the evidence required to establish habitat</w:t>
      </w:r>
      <w:r>
        <w:t xml:space="preserve">. </w:t>
      </w:r>
      <w:r w:rsidRPr="003A2676">
        <w:t>With respect, the OCJ did no such thing.</w:t>
      </w:r>
    </w:p>
    <w:p w14:paraId="360B5E5D" w14:textId="782E428E" w:rsidR="00CC4FB7" w:rsidRPr="001148E9" w:rsidRDefault="00CC4FB7" w:rsidP="00CC4FB7">
      <w:pPr>
        <w:pStyle w:val="WSParaNum"/>
        <w:numPr>
          <w:ilvl w:val="0"/>
          <w:numId w:val="0"/>
        </w:numPr>
        <w:ind w:firstLine="720"/>
        <w:rPr>
          <w:sz w:val="20"/>
          <w:szCs w:val="20"/>
        </w:rPr>
      </w:pPr>
      <w:r w:rsidRPr="001148E9">
        <w:rPr>
          <w:sz w:val="20"/>
          <w:szCs w:val="20"/>
        </w:rPr>
        <w:t>Appellant</w:t>
      </w:r>
      <w:r w:rsidR="007B43C5">
        <w:rPr>
          <w:sz w:val="20"/>
          <w:szCs w:val="20"/>
        </w:rPr>
        <w:t xml:space="preserve"> at</w:t>
      </w:r>
      <w:r w:rsidRPr="001148E9">
        <w:rPr>
          <w:sz w:val="20"/>
          <w:szCs w:val="20"/>
        </w:rPr>
        <w:t xml:space="preserve"> para 23.</w:t>
      </w:r>
    </w:p>
    <w:p w14:paraId="6D2FF5FE" w14:textId="77777777" w:rsidR="00CC4FB7" w:rsidRDefault="00CC4FB7" w:rsidP="00CC4FB7">
      <w:pPr>
        <w:pStyle w:val="WSParaNum"/>
      </w:pPr>
      <w:r w:rsidRPr="003A2676">
        <w:t>The proper interpretation of s 2 of the</w:t>
      </w:r>
      <w:r w:rsidRPr="001148E9">
        <w:rPr>
          <w:i/>
          <w:iCs/>
        </w:rPr>
        <w:t xml:space="preserve"> ESA</w:t>
      </w:r>
      <w:r w:rsidRPr="003A2676">
        <w:t xml:space="preserve"> makes clear that habitat must be proven at the time of the offence. This is not a contemporaneity requirement, it is the basic principle that the elements of the offence must be met at the time of the offence, not ten years prior or two years later.</w:t>
      </w:r>
    </w:p>
    <w:p w14:paraId="1B45B933" w14:textId="7D36005B" w:rsidR="008C63D1" w:rsidRDefault="00CC4FB7" w:rsidP="00CC4FB7">
      <w:pPr>
        <w:pStyle w:val="WSParaNum"/>
      </w:pPr>
      <w:r w:rsidRPr="003A2676">
        <w:t>The OCJ makes no reference to a contemporaneity requirement, nor does it imply a contemporaneity requirement. The OCJ’s decision aligns with the modern principle of statutory interpretation, where provisions are interpreted within the</w:t>
      </w:r>
      <w:r w:rsidR="00E24BC6">
        <w:t>ir</w:t>
      </w:r>
      <w:r w:rsidRPr="003A2676">
        <w:t xml:space="preserve"> legislative scheme. In considering the statutory carve out under s 2(2) of the </w:t>
      </w:r>
      <w:r w:rsidRPr="003A2676">
        <w:rPr>
          <w:i/>
          <w:iCs/>
        </w:rPr>
        <w:t>ESA</w:t>
      </w:r>
      <w:r w:rsidRPr="003A2676">
        <w:t xml:space="preserve">, the OCJ was not importing a contemporaneity requirement. Instead, the OCJ was applying the fundamental principle that to convict CHL, the Site was required to be habitat under s 2 of the </w:t>
      </w:r>
      <w:r w:rsidRPr="003A2676">
        <w:rPr>
          <w:i/>
          <w:iCs/>
        </w:rPr>
        <w:t>ESA</w:t>
      </w:r>
      <w:r w:rsidRPr="003A2676">
        <w:t xml:space="preserve"> at the time of the offence. The potential existence of habitat at an area near the site before or after the offence fails to meet this requirement. The Crown failed to establish habitat at the time of the offence beyond a reasonable doubt, and the OCJ correctly acquitted CHL.</w:t>
      </w:r>
    </w:p>
    <w:p w14:paraId="4995FD2E" w14:textId="391C4C53" w:rsidR="00FE3380" w:rsidRPr="00FE3380" w:rsidRDefault="00FE3380" w:rsidP="00FE3380">
      <w:pPr>
        <w:pStyle w:val="Heading2"/>
        <w:numPr>
          <w:ilvl w:val="0"/>
          <w:numId w:val="0"/>
        </w:numPr>
        <w:ind w:left="720" w:hanging="720"/>
        <w:rPr>
          <w:rFonts w:ascii="Times New Roman" w:hAnsi="Times New Roman"/>
          <w:i w:val="0"/>
          <w:iCs w:val="0"/>
          <w:sz w:val="24"/>
          <w:szCs w:val="24"/>
        </w:rPr>
      </w:pPr>
      <w:bookmarkStart w:id="15" w:name="_Toc220019283"/>
      <w:r w:rsidRPr="00FE3380">
        <w:rPr>
          <w:rFonts w:ascii="Times New Roman" w:hAnsi="Times New Roman"/>
          <w:i w:val="0"/>
          <w:iCs w:val="0"/>
          <w:sz w:val="24"/>
          <w:szCs w:val="24"/>
        </w:rPr>
        <w:t>C.</w:t>
      </w:r>
      <w:r w:rsidRPr="00FE3380">
        <w:rPr>
          <w:rFonts w:ascii="Times New Roman" w:hAnsi="Times New Roman"/>
          <w:i w:val="0"/>
          <w:iCs w:val="0"/>
          <w:sz w:val="24"/>
          <w:szCs w:val="24"/>
        </w:rPr>
        <w:tab/>
        <w:t xml:space="preserve">The OCJ correctly held that the Trial Justice erred by relying on the General Habitat Description to support a conviction under s 10(1) of the </w:t>
      </w:r>
      <w:r w:rsidRPr="00C02E8B">
        <w:rPr>
          <w:rFonts w:ascii="Times New Roman" w:hAnsi="Times New Roman"/>
          <w:sz w:val="24"/>
          <w:szCs w:val="24"/>
        </w:rPr>
        <w:t>ESA</w:t>
      </w:r>
      <w:bookmarkEnd w:id="15"/>
    </w:p>
    <w:p w14:paraId="5ADB062A" w14:textId="7D386784" w:rsidR="00CC4FB7" w:rsidRDefault="00CC4FB7" w:rsidP="00CC4FB7">
      <w:pPr>
        <w:pStyle w:val="WSParaNum"/>
      </w:pPr>
      <w:r>
        <w:t xml:space="preserve">The OCJ correctly held </w:t>
      </w:r>
      <w:r w:rsidR="007B43C5">
        <w:t xml:space="preserve">that </w:t>
      </w:r>
      <w:r>
        <w:t>the GHD</w:t>
      </w:r>
      <w:r w:rsidR="007B43C5">
        <w:t xml:space="preserve"> </w:t>
      </w:r>
      <w:r>
        <w:t xml:space="preserve">was not a legal instrument and could not support a conviction under s 10(1)(a) of the </w:t>
      </w:r>
      <w:r w:rsidRPr="00C02E8B">
        <w:rPr>
          <w:i/>
          <w:iCs/>
        </w:rPr>
        <w:t>ESA</w:t>
      </w:r>
      <w:r>
        <w:t xml:space="preserve">. This is due to its unauthoritative nature, as well as the fact it could not establish the Site as </w:t>
      </w:r>
      <w:r w:rsidR="00F83A16">
        <w:t>Turtle habitat</w:t>
      </w:r>
      <w:r>
        <w:t>. A review of the OCJ’s decisions shows:</w:t>
      </w:r>
    </w:p>
    <w:p w14:paraId="1F885CFD" w14:textId="77777777" w:rsidR="00CC4FB7" w:rsidRDefault="00CC4FB7" w:rsidP="007B43C5">
      <w:pPr>
        <w:pStyle w:val="WSParaNum"/>
        <w:numPr>
          <w:ilvl w:val="5"/>
          <w:numId w:val="4"/>
        </w:numPr>
        <w:spacing w:line="240" w:lineRule="auto"/>
      </w:pPr>
      <w:r>
        <w:lastRenderedPageBreak/>
        <w:t>The GHD is a general, non-Site-specific document.</w:t>
      </w:r>
    </w:p>
    <w:p w14:paraId="4D6426AF" w14:textId="77777777" w:rsidR="00CC4FB7" w:rsidRDefault="00CC4FB7" w:rsidP="007B43C5">
      <w:pPr>
        <w:pStyle w:val="WSParaNum"/>
        <w:numPr>
          <w:ilvl w:val="5"/>
          <w:numId w:val="4"/>
        </w:numPr>
        <w:spacing w:line="240" w:lineRule="auto"/>
      </w:pPr>
      <w:r>
        <w:t>As the GHD is unspecific to the Site, it cannot be used to support a conviction under s 10(1)(a) of the ESA.</w:t>
      </w:r>
    </w:p>
    <w:p w14:paraId="162CDA13" w14:textId="1633CF1C" w:rsidR="00CC4FB7" w:rsidRPr="003215A1" w:rsidRDefault="00CC4FB7" w:rsidP="003215A1">
      <w:pPr>
        <w:pStyle w:val="Heading3"/>
        <w:numPr>
          <w:ilvl w:val="0"/>
          <w:numId w:val="0"/>
        </w:numPr>
        <w:ind w:left="720" w:hanging="720"/>
        <w:rPr>
          <w:rFonts w:ascii="Times New Roman" w:hAnsi="Times New Roman"/>
          <w:b w:val="0"/>
          <w:bCs w:val="0"/>
          <w:i/>
          <w:iCs/>
          <w:sz w:val="24"/>
          <w:szCs w:val="24"/>
          <w:u w:val="single"/>
        </w:rPr>
      </w:pPr>
      <w:bookmarkStart w:id="16" w:name="_Toc220019284"/>
      <w:r w:rsidRPr="003215A1">
        <w:rPr>
          <w:rFonts w:ascii="Times New Roman" w:hAnsi="Times New Roman"/>
          <w:b w:val="0"/>
          <w:bCs w:val="0"/>
          <w:sz w:val="24"/>
          <w:szCs w:val="24"/>
        </w:rPr>
        <w:t>(i)</w:t>
      </w:r>
      <w:r w:rsidRPr="003215A1">
        <w:rPr>
          <w:rFonts w:ascii="Times New Roman" w:hAnsi="Times New Roman"/>
          <w:b w:val="0"/>
          <w:bCs w:val="0"/>
          <w:sz w:val="24"/>
          <w:szCs w:val="24"/>
        </w:rPr>
        <w:tab/>
      </w:r>
      <w:r w:rsidRPr="003215A1">
        <w:rPr>
          <w:rFonts w:ascii="Times New Roman" w:hAnsi="Times New Roman"/>
          <w:b w:val="0"/>
          <w:bCs w:val="0"/>
          <w:i/>
          <w:iCs/>
          <w:sz w:val="24"/>
          <w:szCs w:val="24"/>
          <w:u w:val="single"/>
        </w:rPr>
        <w:t xml:space="preserve"> The General Habitat Description is a general, non-Site-specific document</w:t>
      </w:r>
      <w:bookmarkEnd w:id="16"/>
    </w:p>
    <w:p w14:paraId="51B6BDDA" w14:textId="74CAAA31" w:rsidR="00CC4FB7" w:rsidRDefault="00CC4FB7" w:rsidP="00CC4FB7">
      <w:pPr>
        <w:pStyle w:val="WSParaNum"/>
      </w:pPr>
      <w:r w:rsidRPr="001148E9">
        <w:t xml:space="preserve">A GHD is a technical, general-use document that provides insight on the habitat area of a protected species under the </w:t>
      </w:r>
      <w:r w:rsidRPr="007E7907">
        <w:rPr>
          <w:i/>
          <w:iCs/>
        </w:rPr>
        <w:t>ESA</w:t>
      </w:r>
      <w:r w:rsidR="007B43C5">
        <w:t xml:space="preserve">. </w:t>
      </w:r>
      <w:r w:rsidRPr="001148E9">
        <w:t xml:space="preserve">It was created by the executive branch of the Ontario government based on scientific research. It is a compilation of research, not subordinate legislation. It is not a legislatively authoritative, legally binding document and does not provide site-specific evidence for the purposes of the </w:t>
      </w:r>
      <w:r w:rsidRPr="007E7907">
        <w:rPr>
          <w:i/>
          <w:iCs/>
        </w:rPr>
        <w:t>ESA</w:t>
      </w:r>
      <w:r w:rsidRPr="001148E9">
        <w:t>.</w:t>
      </w:r>
    </w:p>
    <w:p w14:paraId="6A9E41D0" w14:textId="0722633F" w:rsidR="00CC4FB7" w:rsidRPr="001148E9" w:rsidRDefault="00C02E8B" w:rsidP="00CC4FB7">
      <w:pPr>
        <w:pStyle w:val="WSParaNum"/>
        <w:numPr>
          <w:ilvl w:val="0"/>
          <w:numId w:val="0"/>
        </w:numPr>
        <w:spacing w:line="240" w:lineRule="auto"/>
        <w:ind w:left="567"/>
        <w:rPr>
          <w:sz w:val="20"/>
          <w:szCs w:val="20"/>
        </w:rPr>
      </w:pPr>
      <w:r>
        <w:rPr>
          <w:sz w:val="20"/>
          <w:szCs w:val="20"/>
        </w:rPr>
        <w:t>GHD</w:t>
      </w:r>
    </w:p>
    <w:p w14:paraId="544FBECC" w14:textId="5A260D93" w:rsidR="00CC4FB7" w:rsidRDefault="00CC4FB7" w:rsidP="00CC4FB7">
      <w:pPr>
        <w:pStyle w:val="WSParaNum"/>
      </w:pPr>
      <w:r w:rsidRPr="001148E9">
        <w:t>The GHD does not and cannot provide site-specific habitat information for the Site of the offence. It only categorizes habitat to provide greater clarity on the species’ habitat</w:t>
      </w:r>
      <w:r>
        <w:t>,</w:t>
      </w:r>
      <w:r w:rsidRPr="001148E9">
        <w:t xml:space="preserve"> such as wetland information, and is broad in its scope.</w:t>
      </w:r>
    </w:p>
    <w:p w14:paraId="12578A14" w14:textId="6F3A92BC" w:rsidR="00CC4FB7" w:rsidRDefault="00CC4FB7" w:rsidP="00CC4FB7">
      <w:pPr>
        <w:pStyle w:val="WSParaNum"/>
      </w:pPr>
      <w:r w:rsidRPr="001148E9">
        <w:t>The admissibility of the GHD is inconsequential to this appeal.</w:t>
      </w:r>
      <w:r w:rsidR="00E24BC6">
        <w:t xml:space="preserve"> I</w:t>
      </w:r>
      <w:r w:rsidRPr="001148E9">
        <w:t>f the GHD were admissible under the public document hearsay exception, it does not replace site-specific evidence. Evidence cannot be interpreted in a vacuum. It must be interpreted in the context of the other evidence. If the GHD was adduced for the truth of its contents, its contents are not site-specific enough to support a conviction beyond a reasonable doubt.</w:t>
      </w:r>
    </w:p>
    <w:p w14:paraId="4358DF4E" w14:textId="53D0A296" w:rsidR="00CC4FB7" w:rsidRPr="001148E9" w:rsidRDefault="00CC4FB7" w:rsidP="00CC4FB7">
      <w:pPr>
        <w:pStyle w:val="WSParaNum"/>
        <w:numPr>
          <w:ilvl w:val="0"/>
          <w:numId w:val="0"/>
        </w:numPr>
        <w:ind w:firstLine="720"/>
        <w:rPr>
          <w:sz w:val="20"/>
          <w:szCs w:val="20"/>
        </w:rPr>
      </w:pPr>
      <w:r w:rsidRPr="001148E9">
        <w:rPr>
          <w:sz w:val="20"/>
          <w:szCs w:val="20"/>
        </w:rPr>
        <w:t>Appellant</w:t>
      </w:r>
      <w:r w:rsidR="005503EC">
        <w:rPr>
          <w:sz w:val="20"/>
          <w:szCs w:val="20"/>
        </w:rPr>
        <w:t xml:space="preserve"> p</w:t>
      </w:r>
      <w:r w:rsidRPr="001148E9">
        <w:rPr>
          <w:sz w:val="20"/>
          <w:szCs w:val="20"/>
        </w:rPr>
        <w:t xml:space="preserve"> 11.</w:t>
      </w:r>
    </w:p>
    <w:p w14:paraId="437B9C76" w14:textId="7D710D93" w:rsidR="00CC4FB7" w:rsidRDefault="00CC4FB7" w:rsidP="00CC4FB7">
      <w:pPr>
        <w:pStyle w:val="WSParaNum"/>
      </w:pPr>
      <w:r w:rsidRPr="001148E9">
        <w:t xml:space="preserve">It was unnecessary for the OCJ to describe the constitution of a legal instrument or legal document because it was clear that the GHD was narrative evidence. Narrative evidence is not adduced to prove a live issue, but to provide contextual information. The GHD does not prove the Site was habitat, it merely provided background context on the conditions of </w:t>
      </w:r>
      <w:r w:rsidR="00F83A16">
        <w:t xml:space="preserve">Turtle </w:t>
      </w:r>
      <w:r w:rsidRPr="001148E9">
        <w:t xml:space="preserve">habitat in Ontario.  </w:t>
      </w:r>
    </w:p>
    <w:p w14:paraId="782E2EA2" w14:textId="736B8D6C" w:rsidR="00CC4FB7" w:rsidRPr="001148E9" w:rsidRDefault="00CC4FB7" w:rsidP="00CC4FB7">
      <w:pPr>
        <w:pStyle w:val="WSParaNum"/>
        <w:numPr>
          <w:ilvl w:val="0"/>
          <w:numId w:val="0"/>
        </w:numPr>
        <w:ind w:firstLine="720"/>
        <w:rPr>
          <w:sz w:val="20"/>
          <w:szCs w:val="20"/>
        </w:rPr>
      </w:pPr>
      <w:r w:rsidRPr="00C02E8B">
        <w:rPr>
          <w:i/>
          <w:iCs/>
          <w:sz w:val="20"/>
          <w:szCs w:val="20"/>
        </w:rPr>
        <w:t>White</w:t>
      </w:r>
      <w:r w:rsidR="007B43C5">
        <w:rPr>
          <w:sz w:val="20"/>
          <w:szCs w:val="20"/>
        </w:rPr>
        <w:t xml:space="preserve"> at </w:t>
      </w:r>
      <w:r w:rsidRPr="001148E9">
        <w:rPr>
          <w:sz w:val="20"/>
          <w:szCs w:val="20"/>
        </w:rPr>
        <w:t>paras 47-48.</w:t>
      </w:r>
    </w:p>
    <w:p w14:paraId="1EBFFFE7" w14:textId="3C966DB5" w:rsidR="00CC4FB7" w:rsidRDefault="00CC4FB7" w:rsidP="00CC4FB7">
      <w:pPr>
        <w:pStyle w:val="WSParaNum"/>
      </w:pPr>
      <w:r w:rsidRPr="001148E9">
        <w:t xml:space="preserve">Therefore, the OCJ was right to discuss the GHD’s legal nature. For the purposes of the trial, the GHD was an educational tool that provided background context on the </w:t>
      </w:r>
      <w:r w:rsidR="00F83A16">
        <w:t>Turtle</w:t>
      </w:r>
      <w:r w:rsidRPr="001148E9">
        <w:t xml:space="preserve"> habitat in Ontario. However, the GHD’s role should not be expanded</w:t>
      </w:r>
      <w:r w:rsidR="009C2F8D">
        <w:t xml:space="preserve"> or overstated</w:t>
      </w:r>
      <w:r w:rsidRPr="001148E9">
        <w:t>. It was a general informational document</w:t>
      </w:r>
      <w:r w:rsidR="009C2F8D">
        <w:t xml:space="preserve"> discussing the entire province</w:t>
      </w:r>
      <w:r w:rsidRPr="001148E9">
        <w:t xml:space="preserve">. It was not site-specific, nor did it have </w:t>
      </w:r>
      <w:r w:rsidRPr="001148E9">
        <w:lastRenderedPageBreak/>
        <w:t>any legislative authority. The Trial Justice was entitled to consider the GHD, but its probative value remains low.</w:t>
      </w:r>
    </w:p>
    <w:p w14:paraId="46C90EEB" w14:textId="5C9D21F0" w:rsidR="00CC4FB7" w:rsidRPr="003215A1" w:rsidRDefault="00CC4FB7" w:rsidP="003215A1">
      <w:pPr>
        <w:pStyle w:val="Heading3"/>
        <w:numPr>
          <w:ilvl w:val="0"/>
          <w:numId w:val="0"/>
        </w:numPr>
        <w:ind w:left="720" w:hanging="720"/>
        <w:rPr>
          <w:rFonts w:ascii="Times New Roman" w:hAnsi="Times New Roman"/>
          <w:b w:val="0"/>
          <w:bCs w:val="0"/>
          <w:sz w:val="24"/>
          <w:szCs w:val="24"/>
        </w:rPr>
      </w:pPr>
      <w:bookmarkStart w:id="17" w:name="_Toc220019285"/>
      <w:r w:rsidRPr="003215A1">
        <w:rPr>
          <w:rFonts w:ascii="Times New Roman" w:hAnsi="Times New Roman"/>
          <w:b w:val="0"/>
          <w:bCs w:val="0"/>
          <w:sz w:val="24"/>
          <w:szCs w:val="24"/>
        </w:rPr>
        <w:t>(ii)</w:t>
      </w:r>
      <w:r w:rsidRPr="003215A1">
        <w:rPr>
          <w:rFonts w:ascii="Times New Roman" w:hAnsi="Times New Roman"/>
          <w:b w:val="0"/>
          <w:bCs w:val="0"/>
          <w:sz w:val="24"/>
          <w:szCs w:val="24"/>
        </w:rPr>
        <w:tab/>
      </w:r>
      <w:r w:rsidRPr="003215A1">
        <w:rPr>
          <w:rFonts w:ascii="Times New Roman" w:hAnsi="Times New Roman"/>
          <w:b w:val="0"/>
          <w:bCs w:val="0"/>
          <w:i/>
          <w:iCs/>
          <w:sz w:val="24"/>
          <w:szCs w:val="24"/>
          <w:u w:val="single"/>
        </w:rPr>
        <w:t xml:space="preserve"> The OCJ correctly held the GHD was not site-specific and thus could not support a conviction under s 10(1).</w:t>
      </w:r>
      <w:bookmarkEnd w:id="17"/>
    </w:p>
    <w:p w14:paraId="2A4E2A95" w14:textId="0214148D" w:rsidR="00CC4FB7" w:rsidRDefault="00CC4FB7" w:rsidP="00CC4FB7">
      <w:pPr>
        <w:pStyle w:val="WSParaNum"/>
      </w:pPr>
      <w:r w:rsidRPr="001148E9">
        <w:t xml:space="preserve">The GHD </w:t>
      </w:r>
      <w:r w:rsidR="009C2F8D">
        <w:t>was</w:t>
      </w:r>
      <w:r w:rsidRPr="001148E9">
        <w:t xml:space="preserve"> not specific to the Site. Its contents discuss wetlands across the province of Ontario. To convict beyond a reasonable doubt, there </w:t>
      </w:r>
      <w:r w:rsidR="009C2F8D">
        <w:t>must</w:t>
      </w:r>
      <w:r w:rsidRPr="001148E9">
        <w:t xml:space="preserve"> be more specific information about whether the Site itself was “habitat”. Due to a lack of hard data, expert testimony provides an essential role in environmental litigation. However, Mr. Snell’s testimony in this case incorporated and relied upon the GHD.</w:t>
      </w:r>
      <w:r w:rsidRPr="007E7907">
        <w:rPr>
          <w:i/>
          <w:iCs/>
        </w:rPr>
        <w:t xml:space="preserve"> </w:t>
      </w:r>
      <w:r w:rsidR="007B43C5" w:rsidRPr="007B43C5">
        <w:t>In</w:t>
      </w:r>
      <w:r w:rsidR="007B43C5">
        <w:rPr>
          <w:i/>
          <w:iCs/>
        </w:rPr>
        <w:t xml:space="preserve"> PEC,</w:t>
      </w:r>
      <w:r w:rsidRPr="001148E9">
        <w:t xml:space="preserve"> multiple experts </w:t>
      </w:r>
      <w:r w:rsidR="009C2F8D">
        <w:t xml:space="preserve">agreed </w:t>
      </w:r>
      <w:r w:rsidRPr="001148E9">
        <w:t>on a specific area. This case had one.</w:t>
      </w:r>
    </w:p>
    <w:p w14:paraId="73692F2C" w14:textId="0D79BD40" w:rsidR="007B43C5" w:rsidRPr="009C2F8D" w:rsidRDefault="007B43C5" w:rsidP="007B43C5">
      <w:pPr>
        <w:pStyle w:val="WSParaNum"/>
        <w:numPr>
          <w:ilvl w:val="0"/>
          <w:numId w:val="0"/>
        </w:numPr>
        <w:spacing w:line="240" w:lineRule="auto"/>
        <w:ind w:firstLine="720"/>
        <w:rPr>
          <w:sz w:val="20"/>
          <w:szCs w:val="20"/>
        </w:rPr>
      </w:pPr>
      <w:r w:rsidRPr="007B43C5">
        <w:rPr>
          <w:i/>
          <w:iCs/>
          <w:sz w:val="20"/>
          <w:szCs w:val="20"/>
        </w:rPr>
        <w:t>PEC</w:t>
      </w:r>
      <w:r w:rsidR="009C2F8D">
        <w:rPr>
          <w:sz w:val="20"/>
          <w:szCs w:val="20"/>
        </w:rPr>
        <w:t>.</w:t>
      </w:r>
    </w:p>
    <w:p w14:paraId="13C46E79" w14:textId="39584EA2" w:rsidR="00CC4FB7" w:rsidRDefault="00CC4FB7" w:rsidP="00CC4FB7">
      <w:pPr>
        <w:pStyle w:val="WSParaNum"/>
      </w:pPr>
      <w:r w:rsidRPr="001148E9">
        <w:t>Credible site-specific expert evidence is required to prove that an area is a species’ habitat, which was not provided in this case</w:t>
      </w:r>
      <w:r w:rsidR="00C02E8B">
        <w:t xml:space="preserve">. </w:t>
      </w:r>
      <w:r w:rsidRPr="001148E9">
        <w:t xml:space="preserve">Mr. Snell’s testimony was non-specific to the Site, which is insufficient to prove beyond a reasonable doubt that the Site was </w:t>
      </w:r>
      <w:r w:rsidR="00F83A16">
        <w:t>Turtle</w:t>
      </w:r>
      <w:r w:rsidRPr="001148E9">
        <w:t xml:space="preserve"> habitat at the time of the offence. There is no precedent to treat the GHD authority as a site-specific resource.</w:t>
      </w:r>
    </w:p>
    <w:p w14:paraId="71CED159" w14:textId="425B7365" w:rsidR="00CC4FB7" w:rsidRDefault="00CC4FB7" w:rsidP="00CC4FB7">
      <w:pPr>
        <w:pStyle w:val="WSParaNum"/>
      </w:pPr>
      <w:r w:rsidRPr="00CB65AA">
        <w:t xml:space="preserve">The Trial Justice relied on the GHD </w:t>
      </w:r>
      <w:r w:rsidR="007B43C5">
        <w:t>throughout</w:t>
      </w:r>
      <w:r w:rsidRPr="00CB65AA">
        <w:t xml:space="preserve"> their decisions. The OCJ </w:t>
      </w:r>
      <w:r w:rsidR="007B43C5">
        <w:t>rebutted</w:t>
      </w:r>
      <w:r w:rsidRPr="00CB65AA">
        <w:t>:</w:t>
      </w:r>
    </w:p>
    <w:p w14:paraId="264248C8" w14:textId="77777777" w:rsidR="00CC4FB7" w:rsidRDefault="00CC4FB7" w:rsidP="00C02E8B">
      <w:pPr>
        <w:pStyle w:val="WSParaNum"/>
        <w:numPr>
          <w:ilvl w:val="0"/>
          <w:numId w:val="0"/>
        </w:numPr>
        <w:spacing w:line="240" w:lineRule="auto"/>
        <w:ind w:left="567"/>
        <w:rPr>
          <w:sz w:val="20"/>
          <w:szCs w:val="20"/>
        </w:rPr>
      </w:pPr>
      <w:r w:rsidRPr="001148E9">
        <w:rPr>
          <w:sz w:val="20"/>
          <w:szCs w:val="20"/>
        </w:rPr>
        <w:t>…Her Worship also relied heavily on the GHD document…which is not a legal instrument and generic description of sites…while this Court is mindful that the GHD of Blanding’s turtles is a document produced by the Province of Ontario to provide greater clarity on the area of habitat protected for species as set out in the three categories of habitat it is not a legal document.</w:t>
      </w:r>
    </w:p>
    <w:p w14:paraId="57EEE776" w14:textId="7A4DA7E3" w:rsidR="00CC4FB7" w:rsidRPr="001148E9" w:rsidRDefault="00CC4FB7" w:rsidP="00CC4FB7">
      <w:pPr>
        <w:pStyle w:val="WSParaNum"/>
        <w:numPr>
          <w:ilvl w:val="0"/>
          <w:numId w:val="0"/>
        </w:numPr>
        <w:ind w:left="567"/>
        <w:rPr>
          <w:sz w:val="20"/>
          <w:szCs w:val="20"/>
        </w:rPr>
      </w:pPr>
      <w:r>
        <w:rPr>
          <w:sz w:val="20"/>
          <w:szCs w:val="20"/>
        </w:rPr>
        <w:t>OCJ p 10 line</w:t>
      </w:r>
      <w:r w:rsidR="005503EC">
        <w:rPr>
          <w:sz w:val="20"/>
          <w:szCs w:val="20"/>
        </w:rPr>
        <w:t>s</w:t>
      </w:r>
      <w:r>
        <w:rPr>
          <w:sz w:val="20"/>
          <w:szCs w:val="20"/>
        </w:rPr>
        <w:t xml:space="preserve"> 20-30.</w:t>
      </w:r>
    </w:p>
    <w:p w14:paraId="03328CA9" w14:textId="6F1CC8E0" w:rsidR="00CC4FB7" w:rsidRDefault="00CC4FB7" w:rsidP="00CC4FB7">
      <w:pPr>
        <w:pStyle w:val="WSParaNum"/>
      </w:pPr>
      <w:r w:rsidRPr="00CB65AA">
        <w:t xml:space="preserve">The </w:t>
      </w:r>
      <w:r>
        <w:t>OCJ establishes tha</w:t>
      </w:r>
      <w:r w:rsidRPr="00CB65AA">
        <w:t xml:space="preserve">t the GHD does not conclusively demonstrate the Site was </w:t>
      </w:r>
      <w:r w:rsidR="00F83A16">
        <w:t>Turtle</w:t>
      </w:r>
      <w:r w:rsidRPr="00CB65AA">
        <w:t xml:space="preserve"> habitat at the time of the offence. Read in conjunction with the </w:t>
      </w:r>
      <w:r w:rsidRPr="007B43C5">
        <w:rPr>
          <w:i/>
          <w:iCs/>
        </w:rPr>
        <w:t>ESA</w:t>
      </w:r>
      <w:r w:rsidRPr="00CB65AA">
        <w:t xml:space="preserve">, the GHD does not provide site-specific information, and cannot form the basis for a conviction. It does not prove beyond a reasonable doubt that the Site was </w:t>
      </w:r>
      <w:r w:rsidR="00F83A16">
        <w:t>Turtle</w:t>
      </w:r>
      <w:r w:rsidRPr="00CB65AA">
        <w:t xml:space="preserve"> habitat at the time of the incident.</w:t>
      </w:r>
    </w:p>
    <w:p w14:paraId="621BE24A" w14:textId="6A518C46" w:rsidR="008C63D1" w:rsidRDefault="00CC4FB7" w:rsidP="00CC4FB7">
      <w:pPr>
        <w:pStyle w:val="WSParaNum"/>
      </w:pPr>
      <w:r w:rsidRPr="00CB65AA">
        <w:t xml:space="preserve">A GHD for an endangered species is helpful to learn </w:t>
      </w:r>
      <w:r w:rsidR="009C2F8D">
        <w:t>general information</w:t>
      </w:r>
      <w:r w:rsidRPr="00CB65AA">
        <w:t xml:space="preserve">, but not to </w:t>
      </w:r>
      <w:r>
        <w:t>establish that the Site was habitat</w:t>
      </w:r>
      <w:r w:rsidRPr="00CB65AA">
        <w:t xml:space="preserve"> </w:t>
      </w:r>
      <w:r>
        <w:t xml:space="preserve">such that there could be </w:t>
      </w:r>
      <w:r w:rsidRPr="00CB65AA">
        <w:t>a conviction beyond a reasonable doubt. It does not explicitly state the Site was habitat, nor does it allude to the Site being habitat. It is circumstantial and contextual. Without further direct evidence</w:t>
      </w:r>
      <w:r>
        <w:t xml:space="preserve"> on the Site’s status as habitat</w:t>
      </w:r>
      <w:r w:rsidRPr="00CB65AA">
        <w:t>, the GHD is insufficient.</w:t>
      </w:r>
    </w:p>
    <w:p w14:paraId="407D7BBC" w14:textId="4D306D0F" w:rsidR="002D0A80" w:rsidRPr="003215A1" w:rsidRDefault="00A20537" w:rsidP="003215A1">
      <w:pPr>
        <w:pStyle w:val="Heading2"/>
        <w:numPr>
          <w:ilvl w:val="0"/>
          <w:numId w:val="0"/>
        </w:numPr>
        <w:ind w:left="720" w:hanging="720"/>
        <w:rPr>
          <w:rFonts w:ascii="Times New Roman" w:hAnsi="Times New Roman"/>
          <w:i w:val="0"/>
          <w:iCs w:val="0"/>
          <w:sz w:val="24"/>
          <w:szCs w:val="24"/>
        </w:rPr>
      </w:pPr>
      <w:bookmarkStart w:id="18" w:name="_Toc220019286"/>
      <w:r w:rsidRPr="003215A1">
        <w:rPr>
          <w:rFonts w:ascii="Times New Roman" w:hAnsi="Times New Roman"/>
          <w:i w:val="0"/>
          <w:iCs w:val="0"/>
          <w:sz w:val="24"/>
          <w:szCs w:val="24"/>
        </w:rPr>
        <w:lastRenderedPageBreak/>
        <w:t xml:space="preserve">D. </w:t>
      </w:r>
      <w:r w:rsidRPr="003215A1">
        <w:rPr>
          <w:rFonts w:ascii="Times New Roman" w:hAnsi="Times New Roman"/>
          <w:i w:val="0"/>
          <w:iCs w:val="0"/>
          <w:sz w:val="24"/>
          <w:szCs w:val="24"/>
        </w:rPr>
        <w:tab/>
        <w:t>The OCJ Correctly Interpreted and Applied the Definition of ‘Habitat’</w:t>
      </w:r>
      <w:bookmarkEnd w:id="18"/>
    </w:p>
    <w:p w14:paraId="132D10F9" w14:textId="4F907ABC" w:rsidR="001912CA" w:rsidRDefault="001912CA" w:rsidP="001912CA">
      <w:pPr>
        <w:pStyle w:val="WSParaNum"/>
      </w:pPr>
      <w:r>
        <w:t xml:space="preserve">The OCJ Decision shows proper consideration of the definition of ‘habitat’, specifically </w:t>
      </w:r>
      <w:r w:rsidRPr="001912CA">
        <w:rPr>
          <w:i/>
          <w:iCs/>
        </w:rPr>
        <w:t>ESA</w:t>
      </w:r>
      <w:r>
        <w:t xml:space="preserve"> s 2(1)(b), including indirect dependence on the Site by the </w:t>
      </w:r>
      <w:r w:rsidR="00F83A16">
        <w:t>Turtle</w:t>
      </w:r>
      <w:r>
        <w:t xml:space="preserve">. </w:t>
      </w:r>
      <w:r w:rsidRPr="002F34BA">
        <w:t xml:space="preserve">The OCJ’s focus on the lack of evidence of the </w:t>
      </w:r>
      <w:r w:rsidR="00F83A16">
        <w:t>T</w:t>
      </w:r>
      <w:r w:rsidRPr="002F34BA">
        <w:t xml:space="preserve">urtle’s presence anywhere near the Site in the summer of 2018, reveals that the OCJ </w:t>
      </w:r>
      <w:r w:rsidR="002F34BA" w:rsidRPr="002F34BA">
        <w:t>properly understood</w:t>
      </w:r>
      <w:r w:rsidRPr="002F34BA">
        <w:t xml:space="preserve"> and applied s 2(1)(b) in its </w:t>
      </w:r>
      <w:r w:rsidR="002F34BA" w:rsidRPr="002F34BA">
        <w:t>full statutory</w:t>
      </w:r>
      <w:r w:rsidRPr="002F34BA">
        <w:t xml:space="preserve"> context</w:t>
      </w:r>
      <w:r w:rsidR="002F34BA" w:rsidRPr="002F34BA">
        <w:t>.</w:t>
      </w:r>
      <w:r w:rsidRPr="002F34BA">
        <w:t xml:space="preserve"> </w:t>
      </w:r>
      <w:r w:rsidR="002F34BA" w:rsidRPr="002F34BA">
        <w:t>When</w:t>
      </w:r>
      <w:r w:rsidRPr="002F34BA">
        <w:t xml:space="preserve"> read </w:t>
      </w:r>
      <w:r w:rsidR="002F34BA" w:rsidRPr="002F34BA">
        <w:t>together with</w:t>
      </w:r>
      <w:r w:rsidRPr="002F34BA">
        <w:t xml:space="preserve"> s 2(2) </w:t>
      </w:r>
      <w:r w:rsidR="002C7D7F" w:rsidRPr="002F34BA">
        <w:t xml:space="preserve">it can be seen that the OCJ properly interpreted </w:t>
      </w:r>
      <w:r w:rsidR="002F34BA" w:rsidRPr="002F34BA">
        <w:t>‘habitat’ under</w:t>
      </w:r>
      <w:r w:rsidRPr="002F34BA">
        <w:t xml:space="preserve"> the </w:t>
      </w:r>
      <w:r w:rsidRPr="002F34BA">
        <w:rPr>
          <w:i/>
          <w:iCs/>
        </w:rPr>
        <w:t>ESA</w:t>
      </w:r>
      <w:r w:rsidRPr="002F34BA">
        <w:t>.</w:t>
      </w:r>
      <w:r>
        <w:rPr>
          <w:shd w:val="clear" w:color="auto" w:fill="FDE9D9"/>
        </w:rPr>
        <w:t xml:space="preserve"> </w:t>
      </w:r>
    </w:p>
    <w:p w14:paraId="2DBCD574" w14:textId="3C8E851F" w:rsidR="001912CA" w:rsidRPr="007215AC" w:rsidRDefault="001912CA" w:rsidP="007215AC">
      <w:pPr>
        <w:pStyle w:val="WSParaNum"/>
        <w:numPr>
          <w:ilvl w:val="0"/>
          <w:numId w:val="0"/>
        </w:numPr>
        <w:spacing w:line="240" w:lineRule="auto"/>
        <w:ind w:firstLine="720"/>
        <w:rPr>
          <w:sz w:val="20"/>
          <w:szCs w:val="20"/>
        </w:rPr>
      </w:pPr>
      <w:r w:rsidRPr="007215AC">
        <w:rPr>
          <w:sz w:val="20"/>
          <w:szCs w:val="20"/>
        </w:rPr>
        <w:t xml:space="preserve">OCJ </w:t>
      </w:r>
      <w:r w:rsidR="007215AC">
        <w:rPr>
          <w:sz w:val="20"/>
          <w:szCs w:val="20"/>
        </w:rPr>
        <w:t>p 15 lines 5-10</w:t>
      </w:r>
    </w:p>
    <w:p w14:paraId="2900BB95" w14:textId="63900DAC" w:rsidR="002D0A80" w:rsidRDefault="002F34BA" w:rsidP="001912CA">
      <w:pPr>
        <w:pStyle w:val="WSParaNum"/>
      </w:pPr>
      <w:r>
        <w:t>The OCJ’s reasons</w:t>
      </w:r>
      <w:r w:rsidR="001912CA">
        <w:t xml:space="preserve"> </w:t>
      </w:r>
      <w:r>
        <w:t xml:space="preserve">demonstrate </w:t>
      </w:r>
      <w:r w:rsidR="001912CA">
        <w:t xml:space="preserve">proper interpretation of ‘habitat’ by (i) correctly interpreting </w:t>
      </w:r>
      <w:r w:rsidR="00A4758B">
        <w:t xml:space="preserve">the concept of </w:t>
      </w:r>
      <w:r w:rsidR="001912CA">
        <w:t xml:space="preserve">dependence </w:t>
      </w:r>
      <w:r w:rsidR="00A4758B">
        <w:t xml:space="preserve">in </w:t>
      </w:r>
      <w:r w:rsidR="00A4758B" w:rsidRPr="002F57D8">
        <w:rPr>
          <w:i/>
          <w:iCs/>
        </w:rPr>
        <w:t>ESA</w:t>
      </w:r>
      <w:r w:rsidR="00A4758B">
        <w:t xml:space="preserve"> s 2(1)(b) </w:t>
      </w:r>
      <w:r w:rsidR="001912CA">
        <w:t xml:space="preserve">by </w:t>
      </w:r>
      <w:r w:rsidR="002F57D8">
        <w:t>‘</w:t>
      </w:r>
      <w:r w:rsidR="001912CA">
        <w:t>existing members</w:t>
      </w:r>
      <w:r w:rsidR="002F57D8">
        <w:t xml:space="preserve"> of the species’</w:t>
      </w:r>
      <w:r w:rsidR="001912CA">
        <w:t xml:space="preserve">, (ii) </w:t>
      </w:r>
      <w:r w:rsidR="00EA1F72">
        <w:t xml:space="preserve">applying an interpretation that is consistent with the purpose of the </w:t>
      </w:r>
      <w:r w:rsidR="00EA1F72" w:rsidRPr="002F57D8">
        <w:rPr>
          <w:i/>
          <w:iCs/>
        </w:rPr>
        <w:t>ESA</w:t>
      </w:r>
      <w:r w:rsidR="00EA1F72">
        <w:t xml:space="preserve">, </w:t>
      </w:r>
      <w:r w:rsidR="001912CA">
        <w:t xml:space="preserve">and (iii) </w:t>
      </w:r>
      <w:r w:rsidR="00EA1F72">
        <w:t>applying an interpretation that is not absurd.</w:t>
      </w:r>
    </w:p>
    <w:p w14:paraId="3D810E75" w14:textId="1B1468FC" w:rsidR="00546E32" w:rsidRPr="003215A1" w:rsidRDefault="00546E32" w:rsidP="003215A1">
      <w:pPr>
        <w:pStyle w:val="Heading3"/>
        <w:numPr>
          <w:ilvl w:val="0"/>
          <w:numId w:val="0"/>
        </w:numPr>
        <w:ind w:left="720" w:hanging="720"/>
        <w:rPr>
          <w:rFonts w:ascii="Times New Roman" w:hAnsi="Times New Roman"/>
          <w:b w:val="0"/>
          <w:bCs w:val="0"/>
          <w:sz w:val="24"/>
          <w:szCs w:val="24"/>
        </w:rPr>
      </w:pPr>
      <w:bookmarkStart w:id="19" w:name="_Toc220019287"/>
      <w:r w:rsidRPr="003215A1">
        <w:rPr>
          <w:rFonts w:ascii="Times New Roman" w:hAnsi="Times New Roman"/>
          <w:b w:val="0"/>
          <w:bCs w:val="0"/>
          <w:sz w:val="24"/>
          <w:szCs w:val="24"/>
        </w:rPr>
        <w:t>(i)</w:t>
      </w:r>
      <w:r w:rsidRPr="003215A1">
        <w:rPr>
          <w:rFonts w:ascii="Times New Roman" w:hAnsi="Times New Roman"/>
          <w:b w:val="0"/>
          <w:bCs w:val="0"/>
          <w:sz w:val="24"/>
          <w:szCs w:val="24"/>
        </w:rPr>
        <w:tab/>
      </w:r>
      <w:r w:rsidRPr="003215A1">
        <w:rPr>
          <w:rFonts w:ascii="Times New Roman" w:hAnsi="Times New Roman"/>
          <w:b w:val="0"/>
          <w:bCs w:val="0"/>
          <w:i/>
          <w:iCs/>
          <w:sz w:val="24"/>
          <w:szCs w:val="24"/>
          <w:u w:val="single"/>
        </w:rPr>
        <w:t>The OCJ correctly held that the Site was not ‘habitat’ due to the lack of evidence of dependence by ‘existing members of the species’</w:t>
      </w:r>
      <w:bookmarkEnd w:id="19"/>
    </w:p>
    <w:p w14:paraId="6F26974A" w14:textId="1BB1A197" w:rsidR="002F57D8" w:rsidRDefault="00546E32" w:rsidP="001912CA">
      <w:pPr>
        <w:pStyle w:val="WSParaNum"/>
      </w:pPr>
      <w:r>
        <w:t xml:space="preserve">The OCJ gave sufficient consideration to the part of the definition of ‘habitat’ in s 2(1)(b) of the </w:t>
      </w:r>
      <w:r w:rsidRPr="00F83A16">
        <w:rPr>
          <w:i/>
          <w:iCs/>
        </w:rPr>
        <w:t>ESA</w:t>
      </w:r>
      <w:r>
        <w:t xml:space="preserve">, which includes the concept of a species’ indirect dependence on an area to carry on its life processes. The OCJ found that the Site was not habitat due to the lack of evidence at trial, not due to an error by the OCJ. </w:t>
      </w:r>
    </w:p>
    <w:p w14:paraId="3A369376" w14:textId="497A5224" w:rsidR="00546E32" w:rsidRDefault="00546E32" w:rsidP="001912CA">
      <w:pPr>
        <w:pStyle w:val="WSParaNum"/>
      </w:pPr>
      <w:r>
        <w:t xml:space="preserve">For the Site to be ‘habitat’, the </w:t>
      </w:r>
      <w:r w:rsidRPr="00546E32">
        <w:rPr>
          <w:i/>
          <w:iCs/>
        </w:rPr>
        <w:t>ESA</w:t>
      </w:r>
      <w:r>
        <w:t xml:space="preserve"> is clear that the </w:t>
      </w:r>
      <w:r w:rsidR="00F83A16">
        <w:t>Turtle</w:t>
      </w:r>
      <w:r>
        <w:t xml:space="preserve"> must use the Site for a life process. </w:t>
      </w:r>
    </w:p>
    <w:p w14:paraId="00D918C3" w14:textId="77777777" w:rsidR="00546E32" w:rsidRDefault="00546E32" w:rsidP="00546E32">
      <w:pPr>
        <w:pStyle w:val="WSParaNum"/>
      </w:pPr>
      <w:r>
        <w:t xml:space="preserve">‘Habitat’ is defined in the </w:t>
      </w:r>
      <w:r w:rsidRPr="00546E32">
        <w:rPr>
          <w:i/>
          <w:iCs/>
        </w:rPr>
        <w:t>ESA</w:t>
      </w:r>
      <w:r>
        <w:t xml:space="preserve"> as follows: </w:t>
      </w:r>
    </w:p>
    <w:p w14:paraId="23979A34" w14:textId="77777777" w:rsidR="00546E32" w:rsidRDefault="00546E32" w:rsidP="00546E32">
      <w:pPr>
        <w:pStyle w:val="WSParaNum"/>
        <w:numPr>
          <w:ilvl w:val="0"/>
          <w:numId w:val="0"/>
        </w:numPr>
        <w:spacing w:line="240" w:lineRule="auto"/>
        <w:ind w:firstLine="720"/>
      </w:pPr>
      <w:r w:rsidRPr="00546E32">
        <w:rPr>
          <w:b/>
          <w:bCs/>
        </w:rPr>
        <w:t>2</w:t>
      </w:r>
      <w:r>
        <w:t xml:space="preserve"> (1) “habitat” means,</w:t>
      </w:r>
    </w:p>
    <w:p w14:paraId="0A037A90" w14:textId="1FF95696" w:rsidR="00546E32" w:rsidRDefault="00546E32" w:rsidP="00546E32">
      <w:pPr>
        <w:pStyle w:val="WSParaNum"/>
        <w:numPr>
          <w:ilvl w:val="0"/>
          <w:numId w:val="0"/>
        </w:numPr>
        <w:spacing w:line="240" w:lineRule="auto"/>
        <w:ind w:left="1440"/>
      </w:pPr>
      <w:r>
        <w:t xml:space="preserve">(a) </w:t>
      </w:r>
      <w:r w:rsidR="005503EC">
        <w:t>…</w:t>
      </w:r>
    </w:p>
    <w:p w14:paraId="428191BC" w14:textId="77777777" w:rsidR="00546E32" w:rsidRDefault="00546E32" w:rsidP="00546E32">
      <w:pPr>
        <w:pStyle w:val="WSParaNum"/>
        <w:numPr>
          <w:ilvl w:val="0"/>
          <w:numId w:val="0"/>
        </w:numPr>
        <w:spacing w:line="240" w:lineRule="auto"/>
        <w:ind w:left="1440"/>
      </w:pPr>
      <w:r>
        <w:t>(b) with respect to any other species of animal, plant or other organism, an area on which the species depends, directly or indirectly, to carry on its life processes, including life processes such as reproduction, rearing, hibernation, migration or feeding,</w:t>
      </w:r>
    </w:p>
    <w:p w14:paraId="3B20B057" w14:textId="313C3C6E" w:rsidR="00546E32" w:rsidRDefault="00546E32" w:rsidP="00546E32">
      <w:pPr>
        <w:pStyle w:val="WSParaNum"/>
        <w:numPr>
          <w:ilvl w:val="0"/>
          <w:numId w:val="0"/>
        </w:numPr>
        <w:spacing w:line="240" w:lineRule="auto"/>
        <w:ind w:left="720"/>
      </w:pPr>
      <w:r>
        <w:t>and includes places in the area described in clause (a) or (b), whichever is applicable, that are used by members of the species as dens, nests, hibernacula or other residences</w:t>
      </w:r>
    </w:p>
    <w:p w14:paraId="2A0C4A5B" w14:textId="58BB87B5" w:rsidR="00546E32" w:rsidRDefault="00546E32" w:rsidP="00546E32">
      <w:pPr>
        <w:pStyle w:val="WSParaNum"/>
        <w:numPr>
          <w:ilvl w:val="0"/>
          <w:numId w:val="0"/>
        </w:numPr>
        <w:spacing w:line="240" w:lineRule="auto"/>
        <w:ind w:left="720"/>
      </w:pPr>
      <w:r w:rsidRPr="00546E32">
        <w:rPr>
          <w:b/>
          <w:bCs/>
        </w:rPr>
        <w:t>2</w:t>
      </w:r>
      <w:r>
        <w:t xml:space="preserve"> (2) For greater certainty, clause (b) of the definition of “habitat” in subsection (1) does not include an area where the species formerly occurred or has the potential to be reintroduced unless existing members of the species depend on that area to carry on their life processes.</w:t>
      </w:r>
    </w:p>
    <w:p w14:paraId="03E3BF0C" w14:textId="77777777" w:rsidR="00546E32" w:rsidRDefault="00546E32" w:rsidP="00546E32">
      <w:pPr>
        <w:pStyle w:val="WSParaNum"/>
        <w:numPr>
          <w:ilvl w:val="0"/>
          <w:numId w:val="0"/>
        </w:numPr>
        <w:spacing w:line="240" w:lineRule="auto"/>
        <w:ind w:left="720"/>
      </w:pPr>
    </w:p>
    <w:p w14:paraId="2FF7C610" w14:textId="6A3D827D" w:rsidR="00546E32" w:rsidRDefault="00546E32" w:rsidP="00546E32">
      <w:pPr>
        <w:pStyle w:val="WSParaNum"/>
      </w:pPr>
      <w:r>
        <w:lastRenderedPageBreak/>
        <w:t xml:space="preserve">Without regulations prescribing the habitat of the </w:t>
      </w:r>
      <w:r w:rsidR="00F83A16">
        <w:t>Turtle</w:t>
      </w:r>
      <w:r>
        <w:t xml:space="preserve">, clause (a) of s 2(1) is of no effect, leaving clause (b) the relevant definition of habitat applicable to the Blanding’s turtle. </w:t>
      </w:r>
    </w:p>
    <w:p w14:paraId="7AA67EE9" w14:textId="0728B178" w:rsidR="00546E32" w:rsidRPr="007215AC" w:rsidRDefault="000A22F2" w:rsidP="000A22F2">
      <w:pPr>
        <w:pStyle w:val="WSParaNum"/>
        <w:numPr>
          <w:ilvl w:val="0"/>
          <w:numId w:val="0"/>
        </w:numPr>
        <w:ind w:firstLine="720"/>
        <w:rPr>
          <w:sz w:val="20"/>
          <w:szCs w:val="20"/>
        </w:rPr>
      </w:pPr>
      <w:r w:rsidRPr="00DF7B13">
        <w:rPr>
          <w:i/>
          <w:iCs/>
          <w:sz w:val="20"/>
          <w:szCs w:val="20"/>
        </w:rPr>
        <w:t>R v Consolidated Homes Ltd</w:t>
      </w:r>
      <w:r w:rsidRPr="000A22F2">
        <w:rPr>
          <w:sz w:val="20"/>
          <w:szCs w:val="20"/>
        </w:rPr>
        <w:t>., 2025 ONCA 41</w:t>
      </w:r>
      <w:r w:rsidR="00546E32" w:rsidRPr="007215AC">
        <w:rPr>
          <w:sz w:val="20"/>
          <w:szCs w:val="20"/>
        </w:rPr>
        <w:t xml:space="preserve"> </w:t>
      </w:r>
      <w:r w:rsidR="007215AC" w:rsidRPr="007215AC">
        <w:rPr>
          <w:sz w:val="20"/>
          <w:szCs w:val="20"/>
        </w:rPr>
        <w:t xml:space="preserve">at </w:t>
      </w:r>
      <w:r w:rsidR="00546E32" w:rsidRPr="007215AC">
        <w:rPr>
          <w:sz w:val="20"/>
          <w:szCs w:val="20"/>
        </w:rPr>
        <w:t>para 5</w:t>
      </w:r>
    </w:p>
    <w:p w14:paraId="1E4F2B24" w14:textId="6791C81E" w:rsidR="00546E32" w:rsidRDefault="00D33180" w:rsidP="00546E32">
      <w:pPr>
        <w:pStyle w:val="WSParaNum"/>
      </w:pPr>
      <w:r>
        <w:t xml:space="preserve">The consideration of s 2(1)(b) is apparent by the OCJ’s frequent reference to the provision, stated correctly in full at page 11 of the transcript. Furthermore, Mr. Snell’s testimony was a significant factor in the OCJ’s decision to acquit CHL. Mr. Snell did not provide evidence of the presence of </w:t>
      </w:r>
      <w:r w:rsidR="00F83A16">
        <w:t>Turtles</w:t>
      </w:r>
      <w:r>
        <w:t xml:space="preserve"> anywhere near the Site around the time of the offence. </w:t>
      </w:r>
      <w:r w:rsidR="007F47FB">
        <w:t xml:space="preserve">Looking for evidence for any presence around the time of the offence suggest that the OCJ was cognizant that s 2(1)(b) is not the exclusive definition of ‘habitat’ in the </w:t>
      </w:r>
      <w:r w:rsidR="007F47FB" w:rsidRPr="007F47FB">
        <w:rPr>
          <w:i/>
          <w:iCs/>
        </w:rPr>
        <w:t>ESA</w:t>
      </w:r>
      <w:r w:rsidR="007F47FB">
        <w:t xml:space="preserve">. Section 2(2) requires of s 2(1)(b) the indirect dependence is by “existing members of the species”, the evidence </w:t>
      </w:r>
      <w:r w:rsidR="00180996">
        <w:t xml:space="preserve">must </w:t>
      </w:r>
      <w:r w:rsidR="007F47FB">
        <w:t>show indirect dependence closer to the time of the offence, which it did not in this case</w:t>
      </w:r>
    </w:p>
    <w:p w14:paraId="595F3D8B" w14:textId="120C8FA8" w:rsidR="007F47FB" w:rsidRPr="007215AC" w:rsidRDefault="007F47FB" w:rsidP="007215AC">
      <w:pPr>
        <w:pStyle w:val="WSParaNum"/>
        <w:numPr>
          <w:ilvl w:val="0"/>
          <w:numId w:val="0"/>
        </w:numPr>
        <w:spacing w:line="240" w:lineRule="auto"/>
        <w:ind w:firstLine="720"/>
        <w:rPr>
          <w:sz w:val="20"/>
          <w:szCs w:val="20"/>
        </w:rPr>
      </w:pPr>
      <w:r w:rsidRPr="007215AC">
        <w:rPr>
          <w:sz w:val="20"/>
          <w:szCs w:val="20"/>
        </w:rPr>
        <w:t xml:space="preserve">OCJ p 11 lines 10-20 </w:t>
      </w:r>
    </w:p>
    <w:p w14:paraId="61B2F036" w14:textId="59F7FD19" w:rsidR="007F47FB" w:rsidRPr="007215AC" w:rsidRDefault="007F47FB" w:rsidP="007215AC">
      <w:pPr>
        <w:pStyle w:val="WSParaNum"/>
        <w:numPr>
          <w:ilvl w:val="0"/>
          <w:numId w:val="0"/>
        </w:numPr>
        <w:spacing w:line="240" w:lineRule="auto"/>
        <w:ind w:firstLine="720"/>
        <w:rPr>
          <w:sz w:val="20"/>
          <w:szCs w:val="20"/>
        </w:rPr>
      </w:pPr>
      <w:r w:rsidRPr="007215AC">
        <w:rPr>
          <w:sz w:val="20"/>
          <w:szCs w:val="20"/>
        </w:rPr>
        <w:t>OCJ p 15</w:t>
      </w:r>
    </w:p>
    <w:p w14:paraId="479B9B9A" w14:textId="15DBEBBB" w:rsidR="00546E32" w:rsidRDefault="007F47FB" w:rsidP="00546E32">
      <w:pPr>
        <w:pStyle w:val="WSParaNum"/>
      </w:pPr>
      <w:r>
        <w:t xml:space="preserve">To properly interpret </w:t>
      </w:r>
      <w:r w:rsidRPr="007F47FB">
        <w:rPr>
          <w:i/>
          <w:iCs/>
        </w:rPr>
        <w:t>ESA</w:t>
      </w:r>
      <w:r>
        <w:t xml:space="preserve"> s 2(1)(b), the OCJ must consider the provision’s entire context, read in its grammatical and ordinary sense harmoniously with the scheme of the </w:t>
      </w:r>
      <w:r w:rsidRPr="007F47FB">
        <w:rPr>
          <w:i/>
          <w:iCs/>
        </w:rPr>
        <w:t>ESA</w:t>
      </w:r>
      <w:r>
        <w:t xml:space="preserve">, the object of the </w:t>
      </w:r>
      <w:r w:rsidRPr="007F47FB">
        <w:rPr>
          <w:i/>
          <w:iCs/>
        </w:rPr>
        <w:t>ESA</w:t>
      </w:r>
      <w:r>
        <w:t xml:space="preserve">, and the intention of the Legislature. </w:t>
      </w:r>
    </w:p>
    <w:p w14:paraId="59B383BD" w14:textId="6189DE9F" w:rsidR="007F47FB" w:rsidRPr="007215AC" w:rsidRDefault="007F47FB" w:rsidP="007215AC">
      <w:pPr>
        <w:pStyle w:val="WSParaNum"/>
        <w:numPr>
          <w:ilvl w:val="0"/>
          <w:numId w:val="0"/>
        </w:numPr>
        <w:spacing w:line="240" w:lineRule="auto"/>
        <w:ind w:firstLine="720"/>
        <w:rPr>
          <w:sz w:val="20"/>
          <w:szCs w:val="20"/>
        </w:rPr>
      </w:pPr>
      <w:r w:rsidRPr="007215AC">
        <w:rPr>
          <w:i/>
          <w:iCs/>
          <w:sz w:val="20"/>
          <w:szCs w:val="20"/>
        </w:rPr>
        <w:t>Rizzo</w:t>
      </w:r>
      <w:r w:rsidRPr="007215AC">
        <w:rPr>
          <w:sz w:val="20"/>
          <w:szCs w:val="20"/>
        </w:rPr>
        <w:t xml:space="preserve"> </w:t>
      </w:r>
      <w:r w:rsidR="007215AC" w:rsidRPr="007215AC">
        <w:rPr>
          <w:sz w:val="20"/>
          <w:szCs w:val="20"/>
        </w:rPr>
        <w:t xml:space="preserve">at </w:t>
      </w:r>
      <w:r w:rsidRPr="007215AC">
        <w:rPr>
          <w:sz w:val="20"/>
          <w:szCs w:val="20"/>
        </w:rPr>
        <w:t xml:space="preserve">para 21 </w:t>
      </w:r>
    </w:p>
    <w:p w14:paraId="56D1C931" w14:textId="420DD8EA" w:rsidR="007F47FB" w:rsidRPr="000A22F2" w:rsidRDefault="000A22F2" w:rsidP="000A22F2">
      <w:pPr>
        <w:pStyle w:val="WSParaNum"/>
        <w:numPr>
          <w:ilvl w:val="0"/>
          <w:numId w:val="0"/>
        </w:numPr>
        <w:ind w:left="720"/>
        <w:rPr>
          <w:i/>
          <w:iCs/>
          <w:sz w:val="20"/>
          <w:szCs w:val="20"/>
        </w:rPr>
      </w:pPr>
      <w:r w:rsidRPr="000A22F2">
        <w:rPr>
          <w:i/>
          <w:iCs/>
          <w:sz w:val="20"/>
          <w:szCs w:val="20"/>
        </w:rPr>
        <w:t>Opitz v. Wrzesnewskyj</w:t>
      </w:r>
      <w:r w:rsidRPr="000A22F2">
        <w:rPr>
          <w:sz w:val="20"/>
          <w:szCs w:val="20"/>
        </w:rPr>
        <w:t>, 2012 SCC 55 (CanLII), [2012] 3 SCR 76</w:t>
      </w:r>
      <w:r>
        <w:rPr>
          <w:i/>
          <w:iCs/>
          <w:sz w:val="20"/>
          <w:szCs w:val="20"/>
        </w:rPr>
        <w:t xml:space="preserve"> </w:t>
      </w:r>
      <w:r w:rsidR="007215AC" w:rsidRPr="007215AC">
        <w:rPr>
          <w:sz w:val="20"/>
          <w:szCs w:val="20"/>
        </w:rPr>
        <w:t xml:space="preserve">at </w:t>
      </w:r>
      <w:r w:rsidR="007F47FB" w:rsidRPr="007215AC">
        <w:rPr>
          <w:sz w:val="20"/>
          <w:szCs w:val="20"/>
        </w:rPr>
        <w:t>para 36</w:t>
      </w:r>
      <w:r>
        <w:rPr>
          <w:sz w:val="20"/>
          <w:szCs w:val="20"/>
        </w:rPr>
        <w:t xml:space="preserve"> </w:t>
      </w:r>
      <w:r w:rsidRPr="000A22F2">
        <w:rPr>
          <w:i/>
          <w:iCs/>
          <w:sz w:val="20"/>
          <w:szCs w:val="20"/>
        </w:rPr>
        <w:t>[Opitz]</w:t>
      </w:r>
    </w:p>
    <w:p w14:paraId="62990282" w14:textId="755E240A" w:rsidR="007F47FB" w:rsidRPr="007215AC" w:rsidRDefault="000A22F2" w:rsidP="007215AC">
      <w:pPr>
        <w:pStyle w:val="WSParaNum"/>
        <w:numPr>
          <w:ilvl w:val="0"/>
          <w:numId w:val="0"/>
        </w:numPr>
        <w:spacing w:line="240" w:lineRule="auto"/>
        <w:ind w:firstLine="720"/>
        <w:rPr>
          <w:sz w:val="20"/>
          <w:szCs w:val="20"/>
        </w:rPr>
      </w:pPr>
      <w:r w:rsidRPr="000A22F2">
        <w:rPr>
          <w:i/>
          <w:iCs/>
          <w:sz w:val="20"/>
          <w:szCs w:val="20"/>
        </w:rPr>
        <w:t xml:space="preserve">MediaQMI inc. v. Kamel, </w:t>
      </w:r>
      <w:r w:rsidRPr="000A22F2">
        <w:rPr>
          <w:sz w:val="20"/>
          <w:szCs w:val="20"/>
        </w:rPr>
        <w:t>2021 SCC 23</w:t>
      </w:r>
      <w:r w:rsidRPr="000A22F2">
        <w:rPr>
          <w:i/>
          <w:iCs/>
          <w:sz w:val="20"/>
          <w:szCs w:val="20"/>
        </w:rPr>
        <w:t xml:space="preserve"> </w:t>
      </w:r>
      <w:r w:rsidR="007215AC" w:rsidRPr="007215AC">
        <w:rPr>
          <w:sz w:val="20"/>
          <w:szCs w:val="20"/>
        </w:rPr>
        <w:t>at para 39</w:t>
      </w:r>
      <w:r>
        <w:rPr>
          <w:sz w:val="20"/>
          <w:szCs w:val="20"/>
        </w:rPr>
        <w:t xml:space="preserve"> </w:t>
      </w:r>
      <w:r w:rsidRPr="000A22F2">
        <w:rPr>
          <w:i/>
          <w:iCs/>
          <w:sz w:val="20"/>
          <w:szCs w:val="20"/>
        </w:rPr>
        <w:t>[QMI]</w:t>
      </w:r>
    </w:p>
    <w:p w14:paraId="674BEEAE" w14:textId="5AF13A97" w:rsidR="008455B3" w:rsidRDefault="008455B3" w:rsidP="008455B3">
      <w:pPr>
        <w:pStyle w:val="WSParaNum"/>
      </w:pPr>
      <w:r>
        <w:t>One rule of statutory interpretation is that terms should not be interpreted without consideration of its surrounding terms. Ruth Sullivan explains this as follows:</w:t>
      </w:r>
    </w:p>
    <w:p w14:paraId="67108990" w14:textId="77777777" w:rsidR="008455B3" w:rsidRDefault="008455B3" w:rsidP="00C12C81">
      <w:pPr>
        <w:pStyle w:val="WSParaNum"/>
        <w:numPr>
          <w:ilvl w:val="0"/>
          <w:numId w:val="0"/>
        </w:numPr>
        <w:spacing w:line="240" w:lineRule="auto"/>
        <w:ind w:left="720"/>
      </w:pPr>
      <w:r>
        <w:t xml:space="preserve">The associated words rule is properly invoked when two or more terms linked by “and” or “or” serve an analogous grammatical and logical function within a provision. This parallelism invites the reader to look for a </w:t>
      </w:r>
      <w:r w:rsidRPr="008455B3">
        <w:rPr>
          <w:u w:val="single"/>
        </w:rPr>
        <w:t>common feature among the terms</w:t>
      </w:r>
      <w:r>
        <w:t xml:space="preserve">. This feature is then relied on to </w:t>
      </w:r>
      <w:r w:rsidRPr="008455B3">
        <w:rPr>
          <w:u w:val="single"/>
        </w:rPr>
        <w:t>resolve ambiguity or limit the scope of the terms</w:t>
      </w:r>
      <w:r>
        <w:t xml:space="preserve">. </w:t>
      </w:r>
    </w:p>
    <w:p w14:paraId="14AA7728" w14:textId="3DE30DC4" w:rsidR="008455B3" w:rsidRDefault="008455B3" w:rsidP="008455B3">
      <w:pPr>
        <w:pStyle w:val="WSParaNum"/>
      </w:pPr>
      <w:r>
        <w:t xml:space="preserve">To properly interpret what constitutes indirect dependence on the Site by the </w:t>
      </w:r>
      <w:r w:rsidR="00F83A16">
        <w:t>Turtle</w:t>
      </w:r>
      <w:r>
        <w:t xml:space="preserve">, the OCJ should consider the uses or life processes the </w:t>
      </w:r>
      <w:r w:rsidRPr="00D816F3">
        <w:rPr>
          <w:i/>
          <w:iCs/>
        </w:rPr>
        <w:t>ESA</w:t>
      </w:r>
      <w:r>
        <w:t xml:space="preserve"> s 2(1)(b) prescribes: </w:t>
      </w:r>
      <w:r w:rsidRPr="008455B3">
        <w:t xml:space="preserve">“reproduction, rearing, hibernation, migration or feeding”. </w:t>
      </w:r>
      <w:r w:rsidR="00180996">
        <w:t>The</w:t>
      </w:r>
      <w:r>
        <w:t xml:space="preserve"> OCJ</w:t>
      </w:r>
      <w:r w:rsidRPr="008455B3">
        <w:t xml:space="preserve"> </w:t>
      </w:r>
      <w:r>
        <w:t>should</w:t>
      </w:r>
      <w:r w:rsidRPr="008455B3">
        <w:t xml:space="preserve"> also consider places listed in </w:t>
      </w:r>
      <w:r w:rsidRPr="00D816F3">
        <w:rPr>
          <w:i/>
          <w:iCs/>
        </w:rPr>
        <w:t>ESA</w:t>
      </w:r>
      <w:r>
        <w:t xml:space="preserve"> </w:t>
      </w:r>
      <w:r w:rsidRPr="008455B3">
        <w:t xml:space="preserve">s 2(1)(b), namely, “dens, nests, hibernacula or other residences”. </w:t>
      </w:r>
      <w:r w:rsidR="00D816F3">
        <w:t xml:space="preserve">The common thread across these processes and residences </w:t>
      </w:r>
      <w:r w:rsidR="00707D46">
        <w:t xml:space="preserve">is that each requires the species to be present and interacting with their habitat. </w:t>
      </w:r>
    </w:p>
    <w:p w14:paraId="4BF1205D" w14:textId="398E4A08" w:rsidR="007215AC" w:rsidRPr="007215AC" w:rsidRDefault="00707D46" w:rsidP="007215AC">
      <w:pPr>
        <w:pStyle w:val="WSParaNum"/>
        <w:numPr>
          <w:ilvl w:val="0"/>
          <w:numId w:val="0"/>
        </w:numPr>
        <w:spacing w:line="240" w:lineRule="auto"/>
        <w:ind w:firstLine="720"/>
        <w:rPr>
          <w:sz w:val="20"/>
          <w:szCs w:val="20"/>
        </w:rPr>
      </w:pPr>
      <w:r w:rsidRPr="007215AC">
        <w:rPr>
          <w:i/>
          <w:iCs/>
          <w:sz w:val="20"/>
          <w:szCs w:val="20"/>
        </w:rPr>
        <w:lastRenderedPageBreak/>
        <w:t>Opitz</w:t>
      </w:r>
      <w:r w:rsidR="007215AC" w:rsidRPr="007215AC">
        <w:rPr>
          <w:sz w:val="20"/>
          <w:szCs w:val="20"/>
        </w:rPr>
        <w:t xml:space="preserve"> at</w:t>
      </w:r>
      <w:r w:rsidRPr="007215AC">
        <w:rPr>
          <w:sz w:val="20"/>
          <w:szCs w:val="20"/>
        </w:rPr>
        <w:t xml:space="preserve"> para 40</w:t>
      </w:r>
    </w:p>
    <w:p w14:paraId="1B05D9F6" w14:textId="0A6B0211" w:rsidR="00707D46" w:rsidRPr="009C4613" w:rsidRDefault="000A22F2" w:rsidP="009C4613">
      <w:pPr>
        <w:pStyle w:val="WSParaNum"/>
        <w:numPr>
          <w:ilvl w:val="0"/>
          <w:numId w:val="0"/>
        </w:numPr>
        <w:spacing w:line="240" w:lineRule="auto"/>
        <w:ind w:firstLine="720"/>
        <w:rPr>
          <w:sz w:val="20"/>
          <w:szCs w:val="20"/>
        </w:rPr>
      </w:pPr>
      <w:r w:rsidRPr="000A22F2">
        <w:rPr>
          <w:sz w:val="20"/>
          <w:szCs w:val="20"/>
        </w:rPr>
        <w:t xml:space="preserve">R. Sullivan, Construction of Statutes, 7th ed (LexisNexis Canada 2022) </w:t>
      </w:r>
      <w:r w:rsidR="009C4613" w:rsidRPr="009C4613">
        <w:rPr>
          <w:sz w:val="20"/>
          <w:szCs w:val="20"/>
        </w:rPr>
        <w:t>§</w:t>
      </w:r>
      <w:r w:rsidR="00707D46" w:rsidRPr="009C4613">
        <w:rPr>
          <w:sz w:val="20"/>
          <w:szCs w:val="20"/>
        </w:rPr>
        <w:t>8.06</w:t>
      </w:r>
      <w:r w:rsidR="005503EC">
        <w:rPr>
          <w:sz w:val="20"/>
          <w:szCs w:val="20"/>
        </w:rPr>
        <w:t>,</w:t>
      </w:r>
      <w:r w:rsidR="00707D46" w:rsidRPr="009C4613">
        <w:rPr>
          <w:sz w:val="20"/>
          <w:szCs w:val="20"/>
        </w:rPr>
        <w:t xml:space="preserve"> </w:t>
      </w:r>
      <w:r w:rsidRPr="000A22F2">
        <w:rPr>
          <w:sz w:val="20"/>
          <w:szCs w:val="20"/>
        </w:rPr>
        <w:t>[Sullivan]</w:t>
      </w:r>
      <w:r>
        <w:rPr>
          <w:sz w:val="20"/>
          <w:szCs w:val="20"/>
        </w:rPr>
        <w:t xml:space="preserve">, </w:t>
      </w:r>
      <w:r w:rsidR="00707D46" w:rsidRPr="009C4613">
        <w:rPr>
          <w:sz w:val="20"/>
          <w:szCs w:val="20"/>
        </w:rPr>
        <w:t xml:space="preserve">emphasis added </w:t>
      </w:r>
    </w:p>
    <w:p w14:paraId="0509A066" w14:textId="33EF91C2" w:rsidR="00707D46" w:rsidRDefault="00707D46" w:rsidP="00707D46">
      <w:pPr>
        <w:pStyle w:val="WSParaNum"/>
      </w:pPr>
      <w:r>
        <w:t xml:space="preserve">Accordingly, the proper interpretation required the OCJ to determine the prescribed purpose of the </w:t>
      </w:r>
      <w:r w:rsidR="00F83A16">
        <w:t>Turtle’s</w:t>
      </w:r>
      <w:r>
        <w:t xml:space="preserve"> dependence, directly or indirectly, on the Site. </w:t>
      </w:r>
      <w:r w:rsidRPr="00707D46">
        <w:t xml:space="preserve">The list of prescribed purposes and dwellings required the courts to determine whether the </w:t>
      </w:r>
      <w:r w:rsidR="00F83A16">
        <w:t>Turtle’s</w:t>
      </w:r>
      <w:r w:rsidRPr="00707D46">
        <w:t xml:space="preserve"> dependence on the Site was for a prescribed purpose. The expert witnesses at trial </w:t>
      </w:r>
      <w:r w:rsidR="00180996">
        <w:t>must</w:t>
      </w:r>
      <w:r w:rsidRPr="00707D46">
        <w:t xml:space="preserve"> identify this specific requirement in order to prove that the Site is ‘habitat’; the OCJ’s review of the Trial Decision focused particularly on Mr. Snell’s evidence, who could not confirm</w:t>
      </w:r>
      <w:r>
        <w:t xml:space="preserve"> dependence for any prescribed activity listed in </w:t>
      </w:r>
      <w:r w:rsidRPr="00965B07">
        <w:rPr>
          <w:i/>
          <w:iCs/>
        </w:rPr>
        <w:t>ESA</w:t>
      </w:r>
      <w:r>
        <w:t xml:space="preserve"> </w:t>
      </w:r>
      <w:r w:rsidR="00965B07">
        <w:t xml:space="preserve">s 2(1)(b) at the Site. </w:t>
      </w:r>
    </w:p>
    <w:p w14:paraId="6E2D1E7F" w14:textId="415CFB71" w:rsidR="00965B07" w:rsidRPr="009C4613" w:rsidRDefault="00965B07" w:rsidP="009C4613">
      <w:pPr>
        <w:pStyle w:val="WSParaNum"/>
        <w:numPr>
          <w:ilvl w:val="0"/>
          <w:numId w:val="0"/>
        </w:numPr>
        <w:spacing w:line="240" w:lineRule="auto"/>
        <w:ind w:firstLine="720"/>
        <w:rPr>
          <w:sz w:val="20"/>
          <w:szCs w:val="20"/>
        </w:rPr>
      </w:pPr>
      <w:r w:rsidRPr="009C4613">
        <w:rPr>
          <w:sz w:val="20"/>
          <w:szCs w:val="20"/>
        </w:rPr>
        <w:t>OCJ</w:t>
      </w:r>
      <w:r w:rsidR="009C4613" w:rsidRPr="009C4613">
        <w:rPr>
          <w:sz w:val="20"/>
          <w:szCs w:val="20"/>
        </w:rPr>
        <w:t xml:space="preserve"> pp 12-14</w:t>
      </w:r>
    </w:p>
    <w:p w14:paraId="2E316DA0" w14:textId="6CD7D21E" w:rsidR="008455B3" w:rsidRDefault="00965B07" w:rsidP="008455B3">
      <w:pPr>
        <w:pStyle w:val="WSParaNum"/>
      </w:pPr>
      <w:r w:rsidRPr="00965B07">
        <w:t xml:space="preserve">In addition to being restricted by the use(s), the scope of the definition of ‘habitat’ is also restricted by users. The Site can only be habitat under the </w:t>
      </w:r>
      <w:r w:rsidRPr="00965B07">
        <w:rPr>
          <w:i/>
          <w:iCs/>
        </w:rPr>
        <w:t>ESA</w:t>
      </w:r>
      <w:r w:rsidRPr="00965B07">
        <w:t xml:space="preserve"> if it would constitute habitat according to s 2(1)(b)’s prescribed uses, and the users are ‘existing members’ of the Blanding’s turtle according to s 2(2). Existing members of the species must be present somewhere</w:t>
      </w:r>
      <w:r>
        <w:t xml:space="preserve"> in the vicinity of the Site. </w:t>
      </w:r>
      <w:r w:rsidR="00180996">
        <w:t xml:space="preserve">An interpretation that finds the temporal connection between the last sighting and the offence unlimited would be contrary to </w:t>
      </w:r>
      <w:r w:rsidR="00180996" w:rsidRPr="00835795">
        <w:rPr>
          <w:i/>
          <w:iCs/>
        </w:rPr>
        <w:t>ESA</w:t>
      </w:r>
      <w:r w:rsidR="00180996">
        <w:t xml:space="preserve"> s 2(2) which requires dependence by existing members of the </w:t>
      </w:r>
      <w:r w:rsidR="00F83A16">
        <w:t>Turtle</w:t>
      </w:r>
      <w:r w:rsidR="00180996">
        <w:t xml:space="preserve">. </w:t>
      </w:r>
      <w:r w:rsidR="00835795">
        <w:t xml:space="preserve">An interpretation that finds this spatial closeness to the offence boundless is absurd and contrary to the purpose of the </w:t>
      </w:r>
      <w:r w:rsidR="00835795" w:rsidRPr="00835795">
        <w:rPr>
          <w:i/>
          <w:iCs/>
        </w:rPr>
        <w:t>ESA</w:t>
      </w:r>
      <w:r w:rsidR="00835795">
        <w:t xml:space="preserve">.  The evidence of </w:t>
      </w:r>
      <w:r w:rsidR="00F83A16">
        <w:t>Turtles</w:t>
      </w:r>
      <w:r w:rsidR="00835795">
        <w:t xml:space="preserve"> </w:t>
      </w:r>
      <w:r w:rsidR="004967B8">
        <w:t xml:space="preserve">in the vicinity must be around the time of the offence, otherwise the species may, at the time of the offence, have formerly existed or have been reintroduced. Both of which are explicitly excluded in </w:t>
      </w:r>
      <w:r w:rsidR="004967B8" w:rsidRPr="004967B8">
        <w:rPr>
          <w:i/>
          <w:iCs/>
        </w:rPr>
        <w:t>ESA</w:t>
      </w:r>
      <w:r w:rsidR="004967B8">
        <w:t xml:space="preserve"> s 2(2). </w:t>
      </w:r>
    </w:p>
    <w:p w14:paraId="0315ADA6" w14:textId="7AB1562F" w:rsidR="004967B8" w:rsidRDefault="004967B8" w:rsidP="008455B3">
      <w:pPr>
        <w:pStyle w:val="WSParaNum"/>
      </w:pPr>
      <w:r w:rsidRPr="004967B8">
        <w:t xml:space="preserve">In the alternative, even if the OCJ had misinterpreted the definition of habitat in </w:t>
      </w:r>
      <w:r w:rsidRPr="004967B8">
        <w:rPr>
          <w:i/>
          <w:iCs/>
        </w:rPr>
        <w:t>ESA</w:t>
      </w:r>
      <w:r w:rsidRPr="004967B8">
        <w:t xml:space="preserve"> s 2(1)(b), that error did not materially affect the outcome due to the evidence failing to meet s 2(2). Section 2(1)(b) </w:t>
      </w:r>
      <w:r w:rsidR="00D55DA8">
        <w:t>alone is</w:t>
      </w:r>
      <w:r w:rsidRPr="004967B8">
        <w:t xml:space="preserve"> not a complete definition of ‘habitat’ in the </w:t>
      </w:r>
      <w:r w:rsidRPr="00D55DA8">
        <w:rPr>
          <w:i/>
          <w:iCs/>
        </w:rPr>
        <w:t>ESA</w:t>
      </w:r>
      <w:r w:rsidRPr="004967B8">
        <w:t>; a court must consider it alongside s 2(2)</w:t>
      </w:r>
      <w:r w:rsidR="00D55DA8">
        <w:t xml:space="preserve"> as it clarifies the definition</w:t>
      </w:r>
      <w:r w:rsidRPr="004967B8">
        <w:t xml:space="preserve">. Without considering the indirect dependence portion of </w:t>
      </w:r>
      <w:r w:rsidRPr="00D55DA8">
        <w:rPr>
          <w:i/>
          <w:iCs/>
        </w:rPr>
        <w:t>ESA</w:t>
      </w:r>
      <w:r w:rsidRPr="004967B8">
        <w:t xml:space="preserve"> s 2(1)(b), the evidence could not establish the presence of existing individuals of the </w:t>
      </w:r>
      <w:r w:rsidR="00F83A16">
        <w:t>Turtle</w:t>
      </w:r>
      <w:r w:rsidRPr="004967B8">
        <w:t xml:space="preserve"> species in summer 2018. For this reason, the site is not habitat under </w:t>
      </w:r>
      <w:r w:rsidRPr="00D55DA8">
        <w:rPr>
          <w:i/>
          <w:iCs/>
        </w:rPr>
        <w:t>ESA</w:t>
      </w:r>
      <w:r w:rsidRPr="004967B8">
        <w:t xml:space="preserve"> s 2(2).</w:t>
      </w:r>
    </w:p>
    <w:p w14:paraId="5AB3F615" w14:textId="3F2D3E1A" w:rsidR="00D55DA8" w:rsidRDefault="00D55DA8" w:rsidP="00D55DA8">
      <w:pPr>
        <w:pStyle w:val="WSParaNum"/>
      </w:pPr>
      <w:r>
        <w:t xml:space="preserve">The Appellants have submitted a bulletin from the MNRF, which is not helpful here. First, the bulletin is of little practical use to interpret the </w:t>
      </w:r>
      <w:r w:rsidRPr="00D55DA8">
        <w:rPr>
          <w:i/>
          <w:iCs/>
        </w:rPr>
        <w:t>ESA</w:t>
      </w:r>
      <w:r>
        <w:t xml:space="preserve">, as the words of the statute drive its interpretation, not a non-legislative policy document. Second, this evidence was not introduced at trial. Introducing new evidence on appeal is exceptional and subject to the discretion of the </w:t>
      </w:r>
      <w:r>
        <w:lastRenderedPageBreak/>
        <w:t xml:space="preserve">SEMCC. The Appellant fails to meet the rigorous test to admit fresh evidence on appeal for several reasons, including that the bulletin is irrelevant to any decisive issue in this case because it does not relate to </w:t>
      </w:r>
      <w:r w:rsidR="00F83A16">
        <w:t>Turtle</w:t>
      </w:r>
      <w:r>
        <w:t xml:space="preserve"> habitat or watersheds. </w:t>
      </w:r>
    </w:p>
    <w:p w14:paraId="44D0B5B8" w14:textId="77777777" w:rsidR="000A22F2" w:rsidRDefault="000A22F2" w:rsidP="009C4613">
      <w:pPr>
        <w:pStyle w:val="WSParaNum"/>
        <w:numPr>
          <w:ilvl w:val="0"/>
          <w:numId w:val="0"/>
        </w:numPr>
        <w:spacing w:line="240" w:lineRule="auto"/>
        <w:ind w:firstLine="720"/>
        <w:rPr>
          <w:i/>
          <w:iCs/>
          <w:sz w:val="20"/>
          <w:szCs w:val="20"/>
        </w:rPr>
      </w:pPr>
      <w:r w:rsidRPr="000A22F2">
        <w:rPr>
          <w:i/>
          <w:iCs/>
          <w:sz w:val="20"/>
          <w:szCs w:val="20"/>
        </w:rPr>
        <w:t xml:space="preserve">Palmer v The Queen 1980 CanLII 8 (SCC) [1980] 1 S.C.R 759. </w:t>
      </w:r>
    </w:p>
    <w:p w14:paraId="2C08B191" w14:textId="20610384" w:rsidR="00D55DA8" w:rsidRPr="009C4613" w:rsidRDefault="00D55DA8" w:rsidP="009C4613">
      <w:pPr>
        <w:pStyle w:val="WSParaNum"/>
        <w:numPr>
          <w:ilvl w:val="0"/>
          <w:numId w:val="0"/>
        </w:numPr>
        <w:spacing w:line="240" w:lineRule="auto"/>
        <w:ind w:firstLine="720"/>
        <w:rPr>
          <w:sz w:val="20"/>
          <w:szCs w:val="20"/>
        </w:rPr>
      </w:pPr>
      <w:r w:rsidRPr="009C4613">
        <w:rPr>
          <w:sz w:val="20"/>
          <w:szCs w:val="20"/>
        </w:rPr>
        <w:t xml:space="preserve">Appellant </w:t>
      </w:r>
      <w:r w:rsidR="009C4613" w:rsidRPr="009C4613">
        <w:rPr>
          <w:sz w:val="20"/>
          <w:szCs w:val="20"/>
        </w:rPr>
        <w:t xml:space="preserve">at </w:t>
      </w:r>
      <w:r w:rsidRPr="009C4613">
        <w:rPr>
          <w:sz w:val="20"/>
          <w:szCs w:val="20"/>
        </w:rPr>
        <w:t>para 54</w:t>
      </w:r>
    </w:p>
    <w:p w14:paraId="49F462E5" w14:textId="300969A1" w:rsidR="00D55DA8" w:rsidRDefault="00D55DA8" w:rsidP="00D55DA8">
      <w:pPr>
        <w:pStyle w:val="WSParaNum"/>
      </w:pPr>
      <w:r w:rsidRPr="00D55DA8">
        <w:t xml:space="preserve">The OCJ properly interpreted the definition of ‘habitat’, including the plain meaning of “existing members of the species”, by reviewing the Trial record for some evidence of the presence of </w:t>
      </w:r>
      <w:r w:rsidR="00F83A16">
        <w:t>Turtles</w:t>
      </w:r>
      <w:r w:rsidRPr="00D55DA8">
        <w:t xml:space="preserve"> closer to</w:t>
      </w:r>
      <w:r>
        <w:t xml:space="preserve"> the date of the offence than the sightings in 2017 and 2020. </w:t>
      </w:r>
    </w:p>
    <w:p w14:paraId="3CEFD196" w14:textId="252CA5BC" w:rsidR="00EA1F72" w:rsidRPr="003215A1" w:rsidRDefault="00EA1F72" w:rsidP="003215A1">
      <w:pPr>
        <w:pStyle w:val="Heading3"/>
        <w:numPr>
          <w:ilvl w:val="0"/>
          <w:numId w:val="0"/>
        </w:numPr>
        <w:ind w:left="720" w:hanging="720"/>
        <w:rPr>
          <w:rFonts w:ascii="Times New Roman" w:hAnsi="Times New Roman"/>
          <w:b w:val="0"/>
          <w:bCs w:val="0"/>
          <w:i/>
          <w:iCs/>
          <w:sz w:val="24"/>
          <w:szCs w:val="24"/>
          <w:u w:val="single"/>
        </w:rPr>
      </w:pPr>
      <w:bookmarkStart w:id="20" w:name="_Toc220019288"/>
      <w:r w:rsidRPr="003215A1">
        <w:rPr>
          <w:rFonts w:ascii="Times New Roman" w:hAnsi="Times New Roman"/>
          <w:b w:val="0"/>
          <w:bCs w:val="0"/>
          <w:sz w:val="24"/>
          <w:szCs w:val="24"/>
        </w:rPr>
        <w:t>(ii)</w:t>
      </w:r>
      <w:r w:rsidRPr="003215A1">
        <w:rPr>
          <w:rFonts w:ascii="Times New Roman" w:hAnsi="Times New Roman"/>
          <w:b w:val="0"/>
          <w:bCs w:val="0"/>
          <w:sz w:val="24"/>
          <w:szCs w:val="24"/>
        </w:rPr>
        <w:tab/>
      </w:r>
      <w:r w:rsidR="00F864FA" w:rsidRPr="003215A1">
        <w:rPr>
          <w:rFonts w:ascii="Times New Roman" w:hAnsi="Times New Roman"/>
          <w:b w:val="0"/>
          <w:bCs w:val="0"/>
          <w:i/>
          <w:iCs/>
          <w:sz w:val="24"/>
          <w:szCs w:val="24"/>
          <w:u w:val="single"/>
        </w:rPr>
        <w:t>The OCJ’s interpretation of s 2(1)(b) aligns with and balances the ESA’s multiple objectives of conservation and sustainable development</w:t>
      </w:r>
      <w:bookmarkEnd w:id="20"/>
    </w:p>
    <w:p w14:paraId="5DDE79C8" w14:textId="5CB6D9E4" w:rsidR="00D42EB0" w:rsidRDefault="00D42EB0" w:rsidP="00D42EB0">
      <w:pPr>
        <w:pStyle w:val="WSParaNum"/>
      </w:pPr>
      <w:r>
        <w:t xml:space="preserve">The OCJ’s interpretation of s 2(1)(b) better aligns with the multiple purposes of the </w:t>
      </w:r>
      <w:r w:rsidRPr="00D42EB0">
        <w:rPr>
          <w:i/>
          <w:iCs/>
        </w:rPr>
        <w:t>ESA</w:t>
      </w:r>
      <w:r>
        <w:t xml:space="preserve">. Looking at s 2(1)(b) in its broader context within the </w:t>
      </w:r>
      <w:r w:rsidRPr="00D42EB0">
        <w:rPr>
          <w:i/>
          <w:iCs/>
        </w:rPr>
        <w:t>ESA</w:t>
      </w:r>
      <w:r>
        <w:t xml:space="preserve">, the </w:t>
      </w:r>
      <w:r w:rsidRPr="00D42EB0">
        <w:rPr>
          <w:i/>
          <w:iCs/>
        </w:rPr>
        <w:t>ESA’s</w:t>
      </w:r>
      <w:r>
        <w:t xml:space="preserve"> preamble and permit scheme reveal that species protection is not the singular purpose behind the </w:t>
      </w:r>
      <w:r w:rsidRPr="00D42EB0">
        <w:rPr>
          <w:i/>
          <w:iCs/>
        </w:rPr>
        <w:t>ESA</w:t>
      </w:r>
      <w:r>
        <w:t xml:space="preserve">. Rather, the </w:t>
      </w:r>
      <w:r w:rsidRPr="00D42EB0">
        <w:rPr>
          <w:i/>
          <w:iCs/>
        </w:rPr>
        <w:t>ESA</w:t>
      </w:r>
      <w:r>
        <w:t xml:space="preserve"> is directed at balancing species protection with social and economic considerations. </w:t>
      </w:r>
    </w:p>
    <w:p w14:paraId="3AF2DFC6" w14:textId="25852EA7" w:rsidR="00D42EB0" w:rsidRPr="009C4613" w:rsidRDefault="00DF7B13" w:rsidP="009C4613">
      <w:pPr>
        <w:pStyle w:val="WSParaNum"/>
        <w:numPr>
          <w:ilvl w:val="0"/>
          <w:numId w:val="0"/>
        </w:numPr>
        <w:spacing w:line="240" w:lineRule="auto"/>
        <w:ind w:firstLine="720"/>
        <w:rPr>
          <w:sz w:val="20"/>
          <w:szCs w:val="20"/>
        </w:rPr>
      </w:pPr>
      <w:r w:rsidRPr="00DF7B13">
        <w:rPr>
          <w:i/>
          <w:iCs/>
          <w:sz w:val="20"/>
          <w:szCs w:val="20"/>
        </w:rPr>
        <w:t>Wildlands League v Lieutenant Governor in Council</w:t>
      </w:r>
      <w:r w:rsidRPr="00DF7B13">
        <w:rPr>
          <w:sz w:val="20"/>
          <w:szCs w:val="20"/>
        </w:rPr>
        <w:t xml:space="preserve">, 2015 ONSC 2942 </w:t>
      </w:r>
      <w:r w:rsidR="009C4613" w:rsidRPr="009C4613">
        <w:rPr>
          <w:sz w:val="20"/>
          <w:szCs w:val="20"/>
        </w:rPr>
        <w:t xml:space="preserve">at para </w:t>
      </w:r>
      <w:r w:rsidR="00D42EB0" w:rsidRPr="009C4613">
        <w:rPr>
          <w:sz w:val="20"/>
          <w:szCs w:val="20"/>
        </w:rPr>
        <w:t xml:space="preserve">48 </w:t>
      </w:r>
      <w:r w:rsidRPr="00DF7B13">
        <w:rPr>
          <w:sz w:val="20"/>
          <w:szCs w:val="20"/>
        </w:rPr>
        <w:t>[</w:t>
      </w:r>
      <w:r w:rsidRPr="00DF7B13">
        <w:rPr>
          <w:i/>
          <w:iCs/>
          <w:sz w:val="20"/>
          <w:szCs w:val="20"/>
        </w:rPr>
        <w:t>Wildlands ONSC</w:t>
      </w:r>
      <w:r w:rsidRPr="00DF7B13">
        <w:rPr>
          <w:sz w:val="20"/>
          <w:szCs w:val="20"/>
        </w:rPr>
        <w:t>]</w:t>
      </w:r>
    </w:p>
    <w:p w14:paraId="1B8759B6" w14:textId="77777777" w:rsidR="009C434B" w:rsidRDefault="009C434B" w:rsidP="009C434B">
      <w:pPr>
        <w:pStyle w:val="WSParaNum"/>
      </w:pPr>
      <w:r>
        <w:t xml:space="preserve">The Appellants submit that the OCJ had an obligation to read the </w:t>
      </w:r>
      <w:r w:rsidRPr="009C434B">
        <w:rPr>
          <w:i/>
          <w:iCs/>
        </w:rPr>
        <w:t>ESA</w:t>
      </w:r>
      <w:r>
        <w:t xml:space="preserve"> generously in light of its purpose of “environmental protection”.  </w:t>
      </w:r>
    </w:p>
    <w:p w14:paraId="32895111" w14:textId="5CAAE56D" w:rsidR="009C434B" w:rsidRPr="009C4613" w:rsidRDefault="009C434B" w:rsidP="009C4613">
      <w:pPr>
        <w:pStyle w:val="WSParaNum"/>
        <w:numPr>
          <w:ilvl w:val="0"/>
          <w:numId w:val="0"/>
        </w:numPr>
        <w:spacing w:line="240" w:lineRule="auto"/>
        <w:ind w:firstLine="720"/>
        <w:rPr>
          <w:sz w:val="20"/>
          <w:szCs w:val="20"/>
        </w:rPr>
      </w:pPr>
      <w:r w:rsidRPr="009C4613">
        <w:rPr>
          <w:sz w:val="20"/>
          <w:szCs w:val="20"/>
        </w:rPr>
        <w:t xml:space="preserve">Appellant para 62 </w:t>
      </w:r>
    </w:p>
    <w:p w14:paraId="0C1023DC" w14:textId="58F7CA9F" w:rsidR="009C434B" w:rsidRDefault="009C434B" w:rsidP="009C434B">
      <w:pPr>
        <w:pStyle w:val="WSParaNum"/>
      </w:pPr>
      <w:r>
        <w:t xml:space="preserve">The Respondent submits the </w:t>
      </w:r>
      <w:r w:rsidRPr="009C434B">
        <w:rPr>
          <w:i/>
          <w:iCs/>
        </w:rPr>
        <w:t>ESA’s</w:t>
      </w:r>
      <w:r>
        <w:t xml:space="preserve"> purpose is not exclusively environmental protection and in the interpretating </w:t>
      </w:r>
      <w:r w:rsidRPr="009C434B">
        <w:rPr>
          <w:i/>
          <w:iCs/>
        </w:rPr>
        <w:t>ESA</w:t>
      </w:r>
      <w:r>
        <w:t xml:space="preserve"> s 2(1)(b), the OCJ correctly considered species protection against economic factors.</w:t>
      </w:r>
    </w:p>
    <w:p w14:paraId="7B68DCF5" w14:textId="6C441CC2" w:rsidR="00DD00FF" w:rsidRDefault="00D42EB0" w:rsidP="00D42EB0">
      <w:pPr>
        <w:pStyle w:val="WSParaNum"/>
      </w:pPr>
      <w:r>
        <w:t xml:space="preserve">According to the modern principle of statutory interpretation, the OCJ and Trial Justice’s duty was to find harmony between the words of s 2(1)(b) and the intended purposes of the </w:t>
      </w:r>
      <w:r w:rsidRPr="00DD00FF">
        <w:rPr>
          <w:i/>
          <w:iCs/>
        </w:rPr>
        <w:t>ESA</w:t>
      </w:r>
      <w:r>
        <w:t xml:space="preserve">, without disregarding the actual words of the legislation. </w:t>
      </w:r>
      <w:r w:rsidR="00DD00FF">
        <w:t xml:space="preserve">A harmonious interpretation is one that gives effect to the </w:t>
      </w:r>
      <w:r w:rsidR="00DD00FF" w:rsidRPr="00DD00FF">
        <w:rPr>
          <w:i/>
          <w:iCs/>
        </w:rPr>
        <w:t>ESA’s</w:t>
      </w:r>
      <w:r w:rsidR="00DD00FF">
        <w:t xml:space="preserve"> competing purposes, one which does not inflate the scope of the definition of ‘habitat’ beyond its contextual limits. </w:t>
      </w:r>
    </w:p>
    <w:p w14:paraId="4B01A210" w14:textId="2868322F" w:rsidR="00DD00FF" w:rsidRPr="009C4613" w:rsidRDefault="00DD00FF" w:rsidP="009C4613">
      <w:pPr>
        <w:pStyle w:val="WSParaNum"/>
        <w:numPr>
          <w:ilvl w:val="0"/>
          <w:numId w:val="0"/>
        </w:numPr>
        <w:spacing w:line="240" w:lineRule="auto"/>
        <w:ind w:left="720"/>
        <w:rPr>
          <w:sz w:val="20"/>
          <w:szCs w:val="20"/>
        </w:rPr>
      </w:pPr>
      <w:r w:rsidRPr="009C4613">
        <w:rPr>
          <w:sz w:val="20"/>
          <w:szCs w:val="20"/>
        </w:rPr>
        <w:t xml:space="preserve">Sullivan </w:t>
      </w:r>
      <w:r w:rsidR="009C4613" w:rsidRPr="009C4613">
        <w:rPr>
          <w:sz w:val="20"/>
          <w:szCs w:val="20"/>
        </w:rPr>
        <w:t>§</w:t>
      </w:r>
      <w:r w:rsidRPr="009C4613">
        <w:rPr>
          <w:sz w:val="20"/>
          <w:szCs w:val="20"/>
        </w:rPr>
        <w:t xml:space="preserve">7.02 </w:t>
      </w:r>
    </w:p>
    <w:p w14:paraId="49B2BCF5" w14:textId="319AA91A" w:rsidR="00DD00FF" w:rsidRDefault="00250C73" w:rsidP="00D42EB0">
      <w:pPr>
        <w:pStyle w:val="WSParaNum"/>
      </w:pPr>
      <w:r>
        <w:t xml:space="preserve">First, the </w:t>
      </w:r>
      <w:r w:rsidRPr="00250C73">
        <w:rPr>
          <w:i/>
          <w:iCs/>
        </w:rPr>
        <w:t>ESA</w:t>
      </w:r>
      <w:r>
        <w:t xml:space="preserve">, like most legislation, has more than one objective. The stated purposes in s 1 of the </w:t>
      </w:r>
      <w:r w:rsidRPr="00250C73">
        <w:rPr>
          <w:i/>
          <w:iCs/>
        </w:rPr>
        <w:t>ESA</w:t>
      </w:r>
      <w:r>
        <w:t xml:space="preserve"> are to identify and protect species at risk and their habitats and promote stewardship efforts. </w:t>
      </w:r>
    </w:p>
    <w:p w14:paraId="4D62401B" w14:textId="30EC035C" w:rsidR="00C12C81" w:rsidRDefault="00C12C81" w:rsidP="00D42EB0">
      <w:pPr>
        <w:pStyle w:val="WSParaNum"/>
      </w:pPr>
      <w:r>
        <w:lastRenderedPageBreak/>
        <w:t xml:space="preserve">The preamble of the </w:t>
      </w:r>
      <w:r w:rsidRPr="00C12C81">
        <w:rPr>
          <w:i/>
          <w:iCs/>
        </w:rPr>
        <w:t>ESA</w:t>
      </w:r>
      <w:r>
        <w:t xml:space="preserve"> reflects a multifaceted legislative scheme: </w:t>
      </w:r>
    </w:p>
    <w:p w14:paraId="4BFCF3B4" w14:textId="7B606014" w:rsidR="00C12C81" w:rsidRDefault="00C12C81" w:rsidP="00C12C81">
      <w:pPr>
        <w:pStyle w:val="WSParaNum"/>
        <w:numPr>
          <w:ilvl w:val="0"/>
          <w:numId w:val="0"/>
        </w:numPr>
        <w:spacing w:line="240" w:lineRule="auto"/>
        <w:ind w:left="720"/>
      </w:pPr>
      <w:r w:rsidRPr="00C12C81">
        <w:t>The people of Ontario wish to do their part in protecting species that are at risk, with appropriate regard to social, economic and cultural considerations.</w:t>
      </w:r>
    </w:p>
    <w:p w14:paraId="729F0F6E" w14:textId="77777777" w:rsidR="00C12C81" w:rsidRDefault="00C12C81" w:rsidP="003215A1">
      <w:pPr>
        <w:pStyle w:val="WSParaNum"/>
        <w:numPr>
          <w:ilvl w:val="0"/>
          <w:numId w:val="0"/>
        </w:numPr>
        <w:spacing w:line="240" w:lineRule="auto"/>
        <w:ind w:left="720"/>
      </w:pPr>
    </w:p>
    <w:p w14:paraId="7271D813" w14:textId="6DD1EF2B" w:rsidR="00C12C81" w:rsidRDefault="00A14B8C" w:rsidP="00D42EB0">
      <w:pPr>
        <w:pStyle w:val="WSParaNum"/>
      </w:pPr>
      <w:r>
        <w:t xml:space="preserve">Species protection and sustainable development are two objectives of the </w:t>
      </w:r>
      <w:r w:rsidRPr="00A14B8C">
        <w:rPr>
          <w:i/>
          <w:iCs/>
        </w:rPr>
        <w:t>ESA</w:t>
      </w:r>
      <w:r>
        <w:t xml:space="preserve"> that need to be balanced. </w:t>
      </w:r>
      <w:r w:rsidR="00FB2F54">
        <w:t xml:space="preserve">The Ontario Superior Court, affirmed by </w:t>
      </w:r>
      <w:r w:rsidR="007B43C5">
        <w:t>ONCA</w:t>
      </w:r>
      <w:r w:rsidR="00FB2F54">
        <w:t xml:space="preserve">, held the </w:t>
      </w:r>
      <w:r w:rsidR="00FB2F54" w:rsidRPr="00FB2F54">
        <w:rPr>
          <w:i/>
          <w:iCs/>
        </w:rPr>
        <w:t>ESA</w:t>
      </w:r>
      <w:r w:rsidR="00FB2F54">
        <w:t xml:space="preserve"> seeks to protect diversity in a manner that respects the broader social, economic, and cultural considerations that play a role in our society. </w:t>
      </w:r>
    </w:p>
    <w:p w14:paraId="799EDA28" w14:textId="2C0DFA21" w:rsidR="00FB2F54" w:rsidRPr="002C4379" w:rsidRDefault="00FB2F54" w:rsidP="002C4379">
      <w:pPr>
        <w:pStyle w:val="WSParaNum"/>
        <w:numPr>
          <w:ilvl w:val="0"/>
          <w:numId w:val="0"/>
        </w:numPr>
        <w:spacing w:line="240" w:lineRule="auto"/>
        <w:ind w:left="720"/>
        <w:rPr>
          <w:sz w:val="20"/>
          <w:szCs w:val="20"/>
        </w:rPr>
      </w:pPr>
      <w:r w:rsidRPr="002C4379">
        <w:rPr>
          <w:i/>
          <w:iCs/>
          <w:sz w:val="20"/>
          <w:szCs w:val="20"/>
        </w:rPr>
        <w:t>Wildlands</w:t>
      </w:r>
      <w:r w:rsidRPr="002C4379">
        <w:rPr>
          <w:sz w:val="20"/>
          <w:szCs w:val="20"/>
        </w:rPr>
        <w:t xml:space="preserve"> ONSC </w:t>
      </w:r>
      <w:r w:rsidR="009C4613" w:rsidRPr="002C4379">
        <w:rPr>
          <w:sz w:val="20"/>
          <w:szCs w:val="20"/>
        </w:rPr>
        <w:t xml:space="preserve">at </w:t>
      </w:r>
      <w:r w:rsidRPr="002C4379">
        <w:rPr>
          <w:sz w:val="20"/>
          <w:szCs w:val="20"/>
        </w:rPr>
        <w:t xml:space="preserve">para 48 </w:t>
      </w:r>
    </w:p>
    <w:p w14:paraId="5D0E348A" w14:textId="5B84A25E" w:rsidR="009C4613" w:rsidRPr="002C4379" w:rsidRDefault="00DF7B13" w:rsidP="002C4379">
      <w:pPr>
        <w:pStyle w:val="WSParaNum"/>
        <w:numPr>
          <w:ilvl w:val="0"/>
          <w:numId w:val="0"/>
        </w:numPr>
        <w:spacing w:line="240" w:lineRule="auto"/>
        <w:ind w:left="720"/>
        <w:rPr>
          <w:sz w:val="20"/>
          <w:szCs w:val="20"/>
        </w:rPr>
      </w:pPr>
      <w:r w:rsidRPr="00DF7B13">
        <w:rPr>
          <w:i/>
          <w:iCs/>
          <w:sz w:val="20"/>
          <w:szCs w:val="20"/>
        </w:rPr>
        <w:t>Wildlands League v. Ontario (Natural Resources and Forestry),</w:t>
      </w:r>
      <w:r w:rsidRPr="00DF7B13">
        <w:rPr>
          <w:sz w:val="20"/>
          <w:szCs w:val="20"/>
        </w:rPr>
        <w:t xml:space="preserve"> 2016 ONCA 741 </w:t>
      </w:r>
      <w:r w:rsidR="009C4613" w:rsidRPr="002C4379">
        <w:rPr>
          <w:sz w:val="20"/>
          <w:szCs w:val="20"/>
        </w:rPr>
        <w:t xml:space="preserve">at para </w:t>
      </w:r>
      <w:r w:rsidR="002C4379" w:rsidRPr="002C4379">
        <w:rPr>
          <w:sz w:val="20"/>
          <w:szCs w:val="20"/>
        </w:rPr>
        <w:t>11</w:t>
      </w:r>
      <w:r w:rsidRPr="00DF7B13">
        <w:rPr>
          <w:sz w:val="20"/>
          <w:szCs w:val="20"/>
        </w:rPr>
        <w:t>[Wildlands ONCA]</w:t>
      </w:r>
    </w:p>
    <w:p w14:paraId="0C60E32C" w14:textId="2596C2C4" w:rsidR="00A14B8C" w:rsidRDefault="00A14B8C" w:rsidP="00D42EB0">
      <w:pPr>
        <w:pStyle w:val="WSParaNum"/>
      </w:pPr>
      <w:r>
        <w:t xml:space="preserve">The permit provisions of the </w:t>
      </w:r>
      <w:r w:rsidRPr="00FB2F54">
        <w:rPr>
          <w:i/>
          <w:iCs/>
        </w:rPr>
        <w:t>ESA</w:t>
      </w:r>
      <w:r>
        <w:t xml:space="preserve"> reflects how the </w:t>
      </w:r>
      <w:r w:rsidRPr="00FB2F54">
        <w:rPr>
          <w:i/>
          <w:iCs/>
        </w:rPr>
        <w:t>ESA</w:t>
      </w:r>
      <w:r>
        <w:t xml:space="preserve"> strikes that balance. </w:t>
      </w:r>
      <w:r w:rsidR="00FB2F54">
        <w:t xml:space="preserve">Where an activity might result in a significant social or economic benefit to Ontario, the Minister </w:t>
      </w:r>
      <w:r w:rsidR="009C434B">
        <w:t xml:space="preserve">may find the harm to a species or habitat acceptable. </w:t>
      </w:r>
    </w:p>
    <w:p w14:paraId="27C4BDD8" w14:textId="288A8268" w:rsidR="002C4379" w:rsidRPr="002C4379" w:rsidRDefault="009C434B" w:rsidP="002C4379">
      <w:pPr>
        <w:pStyle w:val="WSParaNum"/>
        <w:numPr>
          <w:ilvl w:val="0"/>
          <w:numId w:val="0"/>
        </w:numPr>
        <w:spacing w:line="240" w:lineRule="auto"/>
        <w:ind w:left="720"/>
        <w:rPr>
          <w:sz w:val="20"/>
          <w:szCs w:val="20"/>
        </w:rPr>
      </w:pPr>
      <w:r w:rsidRPr="002C4379">
        <w:rPr>
          <w:i/>
          <w:iCs/>
          <w:sz w:val="20"/>
          <w:szCs w:val="20"/>
        </w:rPr>
        <w:t>ESA</w:t>
      </w:r>
      <w:r w:rsidRPr="002C4379">
        <w:rPr>
          <w:sz w:val="20"/>
          <w:szCs w:val="20"/>
        </w:rPr>
        <w:t xml:space="preserve"> s 17</w:t>
      </w:r>
    </w:p>
    <w:p w14:paraId="7AC40307" w14:textId="0E0143A8" w:rsidR="009C434B" w:rsidRPr="002C4379" w:rsidRDefault="009C434B" w:rsidP="002C4379">
      <w:pPr>
        <w:pStyle w:val="WSParaNum"/>
        <w:numPr>
          <w:ilvl w:val="0"/>
          <w:numId w:val="0"/>
        </w:numPr>
        <w:spacing w:line="240" w:lineRule="auto"/>
        <w:ind w:left="720"/>
        <w:rPr>
          <w:sz w:val="20"/>
          <w:szCs w:val="20"/>
        </w:rPr>
      </w:pPr>
      <w:r w:rsidRPr="002C4379">
        <w:rPr>
          <w:i/>
          <w:iCs/>
          <w:sz w:val="20"/>
          <w:szCs w:val="20"/>
        </w:rPr>
        <w:t>Wildlands</w:t>
      </w:r>
      <w:r w:rsidRPr="002C4379">
        <w:rPr>
          <w:sz w:val="20"/>
          <w:szCs w:val="20"/>
        </w:rPr>
        <w:t xml:space="preserve"> ONCA </w:t>
      </w:r>
      <w:r w:rsidR="002C4379" w:rsidRPr="002C4379">
        <w:rPr>
          <w:sz w:val="20"/>
          <w:szCs w:val="20"/>
        </w:rPr>
        <w:t xml:space="preserve">at </w:t>
      </w:r>
      <w:r w:rsidRPr="002C4379">
        <w:rPr>
          <w:sz w:val="20"/>
          <w:szCs w:val="20"/>
        </w:rPr>
        <w:t xml:space="preserve">para 19 </w:t>
      </w:r>
    </w:p>
    <w:p w14:paraId="3AA9F77B" w14:textId="530F23B6" w:rsidR="009C434B" w:rsidRDefault="009C434B" w:rsidP="00180996">
      <w:pPr>
        <w:pStyle w:val="WSParaNum"/>
      </w:pPr>
      <w:r w:rsidRPr="009C434B">
        <w:t>The</w:t>
      </w:r>
      <w:r w:rsidR="00180996" w:rsidRPr="00180996">
        <w:t xml:space="preserve"> </w:t>
      </w:r>
      <w:r w:rsidR="00180996">
        <w:t xml:space="preserve">Site – a 0.4 acre area of piles of soil slated for condominium development – was grubbed to prevent illegal dumping. Housing is an important social and economic objective recognized by the </w:t>
      </w:r>
      <w:r w:rsidR="00180996" w:rsidRPr="00180996">
        <w:rPr>
          <w:i/>
          <w:iCs/>
        </w:rPr>
        <w:t>ESA</w:t>
      </w:r>
      <w:r w:rsidR="00180996">
        <w:t xml:space="preserve">, ‘habitat’ at this Site </w:t>
      </w:r>
      <w:r w:rsidR="00420CF7">
        <w:t xml:space="preserve">must be evaluated </w:t>
      </w:r>
      <w:r w:rsidR="00180996">
        <w:t xml:space="preserve">within this context while still accounting for the need to protect the </w:t>
      </w:r>
      <w:r w:rsidR="00F83A16">
        <w:t>Turtles.</w:t>
      </w:r>
      <w:r w:rsidR="00180996">
        <w:t xml:space="preserve"> </w:t>
      </w:r>
    </w:p>
    <w:p w14:paraId="5FBA7779" w14:textId="2EE53F27" w:rsidR="002C4379" w:rsidRPr="002C4379" w:rsidRDefault="009C434B" w:rsidP="002C4379">
      <w:pPr>
        <w:pStyle w:val="WSParaNum"/>
        <w:numPr>
          <w:ilvl w:val="0"/>
          <w:numId w:val="0"/>
        </w:numPr>
        <w:spacing w:line="240" w:lineRule="auto"/>
        <w:ind w:left="720"/>
        <w:rPr>
          <w:sz w:val="20"/>
          <w:szCs w:val="20"/>
        </w:rPr>
      </w:pPr>
      <w:r w:rsidRPr="002C4379">
        <w:rPr>
          <w:sz w:val="20"/>
          <w:szCs w:val="20"/>
        </w:rPr>
        <w:t xml:space="preserve">OCJ </w:t>
      </w:r>
      <w:r w:rsidR="002C4379" w:rsidRPr="002C4379">
        <w:rPr>
          <w:sz w:val="20"/>
          <w:szCs w:val="20"/>
        </w:rPr>
        <w:t>p 3 lines 5-10</w:t>
      </w:r>
    </w:p>
    <w:p w14:paraId="0649BD41" w14:textId="2B99CA78" w:rsidR="009C434B" w:rsidRDefault="00420CF7" w:rsidP="00D42EB0">
      <w:pPr>
        <w:pStyle w:val="WSParaNum"/>
      </w:pPr>
      <w:r>
        <w:t>The</w:t>
      </w:r>
      <w:r w:rsidR="009C434B" w:rsidRPr="009C434B">
        <w:t xml:space="preserve"> OCJ and Trial Justice should interpret </w:t>
      </w:r>
      <w:r w:rsidR="009C434B" w:rsidRPr="009C434B">
        <w:rPr>
          <w:i/>
          <w:iCs/>
        </w:rPr>
        <w:t>ESA</w:t>
      </w:r>
      <w:r w:rsidR="009C434B" w:rsidRPr="009C434B">
        <w:t xml:space="preserve"> s 2(1)(b) in a way that is consistent with or promotes the purpose of the </w:t>
      </w:r>
      <w:r w:rsidR="009C434B" w:rsidRPr="009C434B">
        <w:rPr>
          <w:i/>
          <w:iCs/>
        </w:rPr>
        <w:t>ESA</w:t>
      </w:r>
      <w:r w:rsidR="009C434B" w:rsidRPr="009C434B">
        <w:t xml:space="preserve">. The Trial Justice’s interpretation erroneously gives effect to only one purpose of the </w:t>
      </w:r>
      <w:r w:rsidR="009C434B" w:rsidRPr="009C434B">
        <w:rPr>
          <w:i/>
          <w:iCs/>
        </w:rPr>
        <w:t>ESA</w:t>
      </w:r>
      <w:r w:rsidR="009C434B">
        <w:t xml:space="preserve"> </w:t>
      </w:r>
      <w:r w:rsidR="009C434B" w:rsidRPr="009C434B">
        <w:t xml:space="preserve">but ignores any consideration of the </w:t>
      </w:r>
      <w:r w:rsidR="009C434B" w:rsidRPr="009C434B">
        <w:rPr>
          <w:i/>
          <w:iCs/>
        </w:rPr>
        <w:t>ESA’s</w:t>
      </w:r>
      <w:r w:rsidR="009C434B" w:rsidRPr="009C434B">
        <w:t xml:space="preserve"> social and economic development purpose.</w:t>
      </w:r>
    </w:p>
    <w:p w14:paraId="00DB5C23" w14:textId="22FFE128" w:rsidR="009C434B" w:rsidRPr="002C4379" w:rsidRDefault="009C434B" w:rsidP="002C4379">
      <w:pPr>
        <w:pStyle w:val="WSParaNum"/>
        <w:numPr>
          <w:ilvl w:val="0"/>
          <w:numId w:val="0"/>
        </w:numPr>
        <w:spacing w:line="240" w:lineRule="auto"/>
        <w:ind w:left="720"/>
        <w:rPr>
          <w:sz w:val="20"/>
          <w:szCs w:val="20"/>
        </w:rPr>
      </w:pPr>
      <w:r w:rsidRPr="002C4379">
        <w:rPr>
          <w:sz w:val="20"/>
          <w:szCs w:val="20"/>
        </w:rPr>
        <w:t xml:space="preserve">Sullivan </w:t>
      </w:r>
      <w:r w:rsidR="002C4379" w:rsidRPr="002C4379">
        <w:rPr>
          <w:sz w:val="20"/>
          <w:szCs w:val="20"/>
        </w:rPr>
        <w:t>§</w:t>
      </w:r>
      <w:r w:rsidRPr="002C4379">
        <w:rPr>
          <w:sz w:val="20"/>
          <w:szCs w:val="20"/>
        </w:rPr>
        <w:t>9.01</w:t>
      </w:r>
    </w:p>
    <w:p w14:paraId="266244F4" w14:textId="2B4A99AF" w:rsidR="009C434B" w:rsidRDefault="009C434B" w:rsidP="00D42EB0">
      <w:pPr>
        <w:pStyle w:val="WSParaNum"/>
      </w:pPr>
      <w:r w:rsidRPr="009C434B">
        <w:t xml:space="preserve">While the Appellant is correct that a purposive interpretation of the </w:t>
      </w:r>
      <w:r w:rsidRPr="00C83342">
        <w:rPr>
          <w:i/>
          <w:iCs/>
        </w:rPr>
        <w:t>ESA</w:t>
      </w:r>
      <w:r w:rsidRPr="009C434B">
        <w:t xml:space="preserve"> should support a reading that best promotes its objective</w:t>
      </w:r>
      <w:r>
        <w:t xml:space="preserve">, the words are paramount and </w:t>
      </w:r>
      <w:r w:rsidRPr="00C83342">
        <w:rPr>
          <w:i/>
          <w:iCs/>
        </w:rPr>
        <w:t>ESA</w:t>
      </w:r>
      <w:r>
        <w:t xml:space="preserve"> s 2(1)(b) should not be interpreted in a manner that achieves </w:t>
      </w:r>
      <w:r w:rsidR="00C83342">
        <w:t xml:space="preserve">species protection “at all costs”. </w:t>
      </w:r>
    </w:p>
    <w:p w14:paraId="2935585A" w14:textId="7B3AC2C9" w:rsidR="002C4379" w:rsidRPr="002C4379" w:rsidRDefault="00C83342" w:rsidP="002C4379">
      <w:pPr>
        <w:pStyle w:val="WSParaNum"/>
        <w:numPr>
          <w:ilvl w:val="0"/>
          <w:numId w:val="0"/>
        </w:numPr>
        <w:spacing w:line="240" w:lineRule="auto"/>
        <w:ind w:left="720"/>
        <w:rPr>
          <w:sz w:val="20"/>
          <w:szCs w:val="20"/>
        </w:rPr>
      </w:pPr>
      <w:r w:rsidRPr="002C4379">
        <w:rPr>
          <w:sz w:val="20"/>
          <w:szCs w:val="20"/>
        </w:rPr>
        <w:t xml:space="preserve">Appellant </w:t>
      </w:r>
      <w:r w:rsidR="002C4379" w:rsidRPr="002C4379">
        <w:rPr>
          <w:sz w:val="20"/>
          <w:szCs w:val="20"/>
        </w:rPr>
        <w:t xml:space="preserve">at </w:t>
      </w:r>
      <w:r w:rsidRPr="002C4379">
        <w:rPr>
          <w:sz w:val="20"/>
          <w:szCs w:val="20"/>
        </w:rPr>
        <w:t>para 63</w:t>
      </w:r>
    </w:p>
    <w:p w14:paraId="76E3AE57" w14:textId="77777777" w:rsidR="000A22F2" w:rsidRDefault="000A22F2" w:rsidP="002C4379">
      <w:pPr>
        <w:pStyle w:val="WSParaNum"/>
        <w:numPr>
          <w:ilvl w:val="0"/>
          <w:numId w:val="0"/>
        </w:numPr>
        <w:spacing w:line="240" w:lineRule="auto"/>
        <w:ind w:left="720"/>
        <w:rPr>
          <w:sz w:val="20"/>
          <w:szCs w:val="20"/>
        </w:rPr>
      </w:pPr>
      <w:r w:rsidRPr="000A22F2">
        <w:rPr>
          <w:sz w:val="20"/>
          <w:szCs w:val="20"/>
        </w:rPr>
        <w:t xml:space="preserve">Mark Mancini “The Purpose Error in the Modern Approach to Statutory Interpretation” ALR 2022 59:4 p 922 </w:t>
      </w:r>
    </w:p>
    <w:p w14:paraId="0A956E99" w14:textId="481F6147" w:rsidR="00C83342" w:rsidRPr="002C4379" w:rsidRDefault="00C83342" w:rsidP="002C4379">
      <w:pPr>
        <w:pStyle w:val="WSParaNum"/>
        <w:numPr>
          <w:ilvl w:val="0"/>
          <w:numId w:val="0"/>
        </w:numPr>
        <w:spacing w:line="240" w:lineRule="auto"/>
        <w:ind w:left="720"/>
        <w:rPr>
          <w:sz w:val="20"/>
          <w:szCs w:val="20"/>
        </w:rPr>
      </w:pPr>
      <w:r w:rsidRPr="002C4379">
        <w:rPr>
          <w:i/>
          <w:iCs/>
          <w:sz w:val="20"/>
          <w:szCs w:val="20"/>
        </w:rPr>
        <w:lastRenderedPageBreak/>
        <w:t>QMI</w:t>
      </w:r>
      <w:r w:rsidRPr="002C4379">
        <w:rPr>
          <w:sz w:val="20"/>
          <w:szCs w:val="20"/>
        </w:rPr>
        <w:t xml:space="preserve"> </w:t>
      </w:r>
      <w:r w:rsidR="002C4379" w:rsidRPr="002C4379">
        <w:rPr>
          <w:sz w:val="20"/>
          <w:szCs w:val="20"/>
        </w:rPr>
        <w:t xml:space="preserve">at </w:t>
      </w:r>
      <w:r w:rsidRPr="002C4379">
        <w:rPr>
          <w:sz w:val="20"/>
          <w:szCs w:val="20"/>
        </w:rPr>
        <w:t xml:space="preserve">para 39 </w:t>
      </w:r>
    </w:p>
    <w:p w14:paraId="20342F5B" w14:textId="0B7B5482" w:rsidR="00C83342" w:rsidRPr="00C83342" w:rsidRDefault="00C83342" w:rsidP="005503EC">
      <w:pPr>
        <w:pStyle w:val="WSParaNum"/>
      </w:pPr>
      <w:r>
        <w:rPr>
          <w:color w:val="000000"/>
        </w:rPr>
        <w:t>The OCJ did not fail to give effect to the full definition of habitat</w:t>
      </w:r>
      <w:r w:rsidR="005503EC">
        <w:rPr>
          <w:color w:val="000000"/>
        </w:rPr>
        <w:t>,</w:t>
      </w:r>
      <w:r>
        <w:rPr>
          <w:color w:val="000000"/>
        </w:rPr>
        <w:t xml:space="preserve"> balanc</w:t>
      </w:r>
      <w:r w:rsidR="005503EC">
        <w:rPr>
          <w:color w:val="000000"/>
        </w:rPr>
        <w:t>ing</w:t>
      </w:r>
      <w:r>
        <w:rPr>
          <w:color w:val="000000"/>
        </w:rPr>
        <w:t xml:space="preserve"> the precautionary approach principle while scrutinizing evidence that did not establish that the Site was habitat at the relevant time. </w:t>
      </w:r>
      <w:r w:rsidR="005503EC" w:rsidRPr="00C0642E">
        <w:t>In conclusion, the</w:t>
      </w:r>
      <w:r w:rsidR="005503EC">
        <w:t xml:space="preserve"> OCJ, unlike the Trial Justice, found that harmony without applying ‘habitat’ to the Site to achieve species protection “at all costs”. </w:t>
      </w:r>
    </w:p>
    <w:p w14:paraId="11E07064" w14:textId="782164A0" w:rsidR="002C4379" w:rsidRPr="002C4379" w:rsidRDefault="00C83342" w:rsidP="002C4379">
      <w:pPr>
        <w:pStyle w:val="WSParaNum"/>
        <w:numPr>
          <w:ilvl w:val="0"/>
          <w:numId w:val="0"/>
        </w:numPr>
        <w:spacing w:line="240" w:lineRule="auto"/>
        <w:ind w:left="720"/>
        <w:rPr>
          <w:sz w:val="20"/>
          <w:szCs w:val="20"/>
        </w:rPr>
      </w:pPr>
      <w:r w:rsidRPr="002C4379">
        <w:rPr>
          <w:sz w:val="20"/>
          <w:szCs w:val="20"/>
        </w:rPr>
        <w:t>OCJ p 15 line 15</w:t>
      </w:r>
    </w:p>
    <w:p w14:paraId="4E9AE00A" w14:textId="57FCC959" w:rsidR="00C83342" w:rsidRPr="002C4379" w:rsidRDefault="00C83342" w:rsidP="002C4379">
      <w:pPr>
        <w:pStyle w:val="WSParaNum"/>
        <w:numPr>
          <w:ilvl w:val="0"/>
          <w:numId w:val="0"/>
        </w:numPr>
        <w:spacing w:line="240" w:lineRule="auto"/>
        <w:ind w:left="720"/>
        <w:rPr>
          <w:sz w:val="20"/>
          <w:szCs w:val="20"/>
        </w:rPr>
      </w:pPr>
      <w:r w:rsidRPr="002C4379">
        <w:rPr>
          <w:i/>
          <w:iCs/>
          <w:sz w:val="20"/>
          <w:szCs w:val="20"/>
        </w:rPr>
        <w:t>QMI</w:t>
      </w:r>
      <w:r w:rsidRPr="002C4379">
        <w:rPr>
          <w:sz w:val="20"/>
          <w:szCs w:val="20"/>
        </w:rPr>
        <w:t xml:space="preserve"> </w:t>
      </w:r>
      <w:r w:rsidR="002C4379" w:rsidRPr="002C4379">
        <w:rPr>
          <w:i/>
          <w:iCs/>
          <w:sz w:val="20"/>
          <w:szCs w:val="20"/>
        </w:rPr>
        <w:t>ibid</w:t>
      </w:r>
    </w:p>
    <w:p w14:paraId="5156D1DB" w14:textId="29333B55" w:rsidR="002C4379" w:rsidRPr="002C4379" w:rsidRDefault="00D42EB0" w:rsidP="002C4379">
      <w:pPr>
        <w:pStyle w:val="WSParaNum"/>
        <w:numPr>
          <w:ilvl w:val="0"/>
          <w:numId w:val="0"/>
        </w:numPr>
        <w:spacing w:line="240" w:lineRule="auto"/>
        <w:ind w:left="720"/>
        <w:rPr>
          <w:sz w:val="20"/>
          <w:szCs w:val="20"/>
        </w:rPr>
      </w:pPr>
      <w:r w:rsidRPr="002C4379">
        <w:rPr>
          <w:sz w:val="20"/>
          <w:szCs w:val="20"/>
        </w:rPr>
        <w:t xml:space="preserve">Sullivan </w:t>
      </w:r>
      <w:r w:rsidR="002C4379" w:rsidRPr="002C4379">
        <w:rPr>
          <w:sz w:val="20"/>
          <w:szCs w:val="20"/>
        </w:rPr>
        <w:t>§</w:t>
      </w:r>
      <w:r w:rsidRPr="002C4379">
        <w:rPr>
          <w:sz w:val="20"/>
          <w:szCs w:val="20"/>
        </w:rPr>
        <w:t>7.02</w:t>
      </w:r>
      <w:r w:rsidR="002C4379" w:rsidRPr="002C4379">
        <w:rPr>
          <w:sz w:val="20"/>
          <w:szCs w:val="20"/>
        </w:rPr>
        <w:t xml:space="preserve"> </w:t>
      </w:r>
    </w:p>
    <w:p w14:paraId="06CCF099" w14:textId="3968F649" w:rsidR="00D55DA8" w:rsidRPr="00420CF7" w:rsidRDefault="00D55DA8" w:rsidP="003215A1">
      <w:pPr>
        <w:pStyle w:val="Heading3"/>
        <w:numPr>
          <w:ilvl w:val="0"/>
          <w:numId w:val="0"/>
        </w:numPr>
        <w:ind w:left="720" w:hanging="720"/>
        <w:rPr>
          <w:rFonts w:ascii="Times New Roman" w:hAnsi="Times New Roman"/>
          <w:b w:val="0"/>
          <w:bCs w:val="0"/>
          <w:i/>
          <w:iCs/>
          <w:sz w:val="24"/>
          <w:szCs w:val="24"/>
          <w:u w:val="single"/>
        </w:rPr>
      </w:pPr>
      <w:bookmarkStart w:id="21" w:name="_Toc220019289"/>
      <w:r w:rsidRPr="00420CF7">
        <w:rPr>
          <w:rFonts w:ascii="Times New Roman" w:hAnsi="Times New Roman"/>
          <w:b w:val="0"/>
          <w:bCs w:val="0"/>
          <w:sz w:val="24"/>
          <w:szCs w:val="24"/>
        </w:rPr>
        <w:t>(ii</w:t>
      </w:r>
      <w:r w:rsidR="00EA1F72" w:rsidRPr="00420CF7">
        <w:rPr>
          <w:rFonts w:ascii="Times New Roman" w:hAnsi="Times New Roman"/>
          <w:b w:val="0"/>
          <w:bCs w:val="0"/>
          <w:sz w:val="24"/>
          <w:szCs w:val="24"/>
        </w:rPr>
        <w:t>i</w:t>
      </w:r>
      <w:r w:rsidRPr="00420CF7">
        <w:rPr>
          <w:rFonts w:ascii="Times New Roman" w:hAnsi="Times New Roman"/>
          <w:b w:val="0"/>
          <w:bCs w:val="0"/>
          <w:sz w:val="24"/>
          <w:szCs w:val="24"/>
        </w:rPr>
        <w:t>)</w:t>
      </w:r>
      <w:r w:rsidRPr="00420CF7">
        <w:rPr>
          <w:rFonts w:ascii="Times New Roman" w:hAnsi="Times New Roman"/>
          <w:b w:val="0"/>
          <w:bCs w:val="0"/>
          <w:sz w:val="24"/>
          <w:szCs w:val="24"/>
        </w:rPr>
        <w:tab/>
      </w:r>
      <w:r w:rsidRPr="00420CF7">
        <w:rPr>
          <w:rFonts w:ascii="Times New Roman" w:hAnsi="Times New Roman"/>
          <w:b w:val="0"/>
          <w:bCs w:val="0"/>
          <w:i/>
          <w:iCs/>
          <w:sz w:val="24"/>
          <w:szCs w:val="24"/>
          <w:u w:val="single"/>
        </w:rPr>
        <w:t>The OCJ was correct to reject the Trial Justice’s interpretation of s 2(1)(b), as it would result in an absurdity</w:t>
      </w:r>
      <w:bookmarkEnd w:id="21"/>
      <w:r w:rsidRPr="00420CF7">
        <w:rPr>
          <w:rFonts w:ascii="Times New Roman" w:hAnsi="Times New Roman"/>
          <w:b w:val="0"/>
          <w:bCs w:val="0"/>
          <w:i/>
          <w:iCs/>
          <w:sz w:val="24"/>
          <w:szCs w:val="24"/>
          <w:u w:val="single"/>
        </w:rPr>
        <w:t xml:space="preserve"> </w:t>
      </w:r>
    </w:p>
    <w:p w14:paraId="7F36D64D" w14:textId="1A1686CD" w:rsidR="00D55DA8" w:rsidRDefault="00D55DA8" w:rsidP="00D55DA8">
      <w:pPr>
        <w:pStyle w:val="WSParaNum"/>
      </w:pPr>
      <w:r>
        <w:t xml:space="preserve">The Trial Justice interpreted the indirect dependence component of </w:t>
      </w:r>
      <w:r w:rsidRPr="00391929">
        <w:rPr>
          <w:i/>
          <w:iCs/>
        </w:rPr>
        <w:t>ESA</w:t>
      </w:r>
      <w:r>
        <w:t xml:space="preserve"> s 2(1)(b) to mean, based on Mr. Snell’s testimony, that an area that the </w:t>
      </w:r>
      <w:r w:rsidR="00F83A16">
        <w:t>Turtles</w:t>
      </w:r>
      <w:r>
        <w:t xml:space="preserve"> could potentially rely on is ‘habitat’. The Appellants also rely on this potential habitat interpretation. </w:t>
      </w:r>
    </w:p>
    <w:p w14:paraId="75C83511" w14:textId="11158F8D" w:rsidR="00D55DA8" w:rsidRPr="005503EC" w:rsidRDefault="00D55DA8" w:rsidP="005503EC">
      <w:pPr>
        <w:pStyle w:val="WSParaNum"/>
        <w:numPr>
          <w:ilvl w:val="0"/>
          <w:numId w:val="0"/>
        </w:numPr>
        <w:spacing w:line="240" w:lineRule="auto"/>
        <w:ind w:firstLine="720"/>
        <w:rPr>
          <w:sz w:val="20"/>
          <w:szCs w:val="20"/>
        </w:rPr>
      </w:pPr>
      <w:r w:rsidRPr="005503EC">
        <w:rPr>
          <w:sz w:val="20"/>
          <w:szCs w:val="20"/>
        </w:rPr>
        <w:t>Trial</w:t>
      </w:r>
      <w:r w:rsidR="00CC4FB7" w:rsidRPr="005503EC">
        <w:rPr>
          <w:sz w:val="20"/>
          <w:szCs w:val="20"/>
        </w:rPr>
        <w:t xml:space="preserve"> </w:t>
      </w:r>
      <w:r w:rsidRPr="005503EC">
        <w:rPr>
          <w:sz w:val="20"/>
          <w:szCs w:val="20"/>
        </w:rPr>
        <w:t xml:space="preserve">p 10 line 5 </w:t>
      </w:r>
    </w:p>
    <w:p w14:paraId="0B882302" w14:textId="33B383FB" w:rsidR="00835795" w:rsidRDefault="00D55DA8" w:rsidP="005503EC">
      <w:pPr>
        <w:pStyle w:val="WSParaNum"/>
        <w:numPr>
          <w:ilvl w:val="0"/>
          <w:numId w:val="0"/>
        </w:numPr>
        <w:spacing w:line="240" w:lineRule="auto"/>
        <w:ind w:firstLine="720"/>
      </w:pPr>
      <w:r w:rsidRPr="005503EC">
        <w:rPr>
          <w:sz w:val="20"/>
          <w:szCs w:val="20"/>
        </w:rPr>
        <w:t xml:space="preserve">Appellant </w:t>
      </w:r>
      <w:r w:rsidR="005503EC">
        <w:rPr>
          <w:sz w:val="20"/>
          <w:szCs w:val="20"/>
        </w:rPr>
        <w:t xml:space="preserve">at </w:t>
      </w:r>
      <w:r w:rsidRPr="005503EC">
        <w:rPr>
          <w:sz w:val="20"/>
          <w:szCs w:val="20"/>
        </w:rPr>
        <w:t>para 49-51</w:t>
      </w:r>
      <w:r w:rsidRPr="005503EC">
        <w:rPr>
          <w:sz w:val="20"/>
          <w:szCs w:val="20"/>
        </w:rPr>
        <w:tab/>
      </w:r>
      <w:r>
        <w:tab/>
      </w:r>
      <w:r>
        <w:tab/>
      </w:r>
      <w:r>
        <w:tab/>
      </w:r>
      <w:r>
        <w:tab/>
      </w:r>
      <w:r>
        <w:tab/>
      </w:r>
      <w:r>
        <w:tab/>
      </w:r>
      <w:r>
        <w:tab/>
      </w:r>
      <w:r>
        <w:tab/>
      </w:r>
      <w:r>
        <w:tab/>
      </w:r>
    </w:p>
    <w:p w14:paraId="7D95EADA" w14:textId="62C6EA29" w:rsidR="00D55DA8" w:rsidRDefault="00391929" w:rsidP="008455B3">
      <w:pPr>
        <w:pStyle w:val="WSParaNum"/>
      </w:pPr>
      <w:r w:rsidRPr="00391929">
        <w:t>The Respondent respectfully submits this interpretation is incorrect.</w:t>
      </w:r>
      <w:r>
        <w:t xml:space="preserve"> Conflating “indirect” with “potential” is contrary to the plain text of the definition. Furthermore, that interpretation of </w:t>
      </w:r>
      <w:r w:rsidRPr="00391929">
        <w:rPr>
          <w:i/>
          <w:iCs/>
        </w:rPr>
        <w:t>ESA</w:t>
      </w:r>
      <w:r>
        <w:t xml:space="preserve"> s 2(1)(b) would produce absurd results </w:t>
      </w:r>
      <w:r w:rsidR="00A15631">
        <w:t xml:space="preserve">by rendering any area capable of supporting </w:t>
      </w:r>
      <w:r w:rsidR="00F83A16">
        <w:t>Turtles</w:t>
      </w:r>
      <w:r w:rsidR="00A15631">
        <w:t xml:space="preserve"> as ‘habitat’ for the purposes of prosecuting developers under the </w:t>
      </w:r>
      <w:r w:rsidRPr="00391929">
        <w:rPr>
          <w:i/>
          <w:iCs/>
        </w:rPr>
        <w:t>ESA</w:t>
      </w:r>
      <w:r>
        <w:t xml:space="preserve">.   </w:t>
      </w:r>
    </w:p>
    <w:p w14:paraId="7C0AA0C0" w14:textId="77777777" w:rsidR="00391929" w:rsidRDefault="00391929" w:rsidP="00391929">
      <w:pPr>
        <w:pStyle w:val="WSParaNum"/>
      </w:pPr>
      <w:r>
        <w:t xml:space="preserve">First, legislatures are presumed to say what they mean and mean what they say. If the Legislature had intended that the definition include areas that have the potential to be habitat, it would have included the term “potential”.  </w:t>
      </w:r>
    </w:p>
    <w:p w14:paraId="6213B9B9" w14:textId="2D725810" w:rsidR="00391929" w:rsidRPr="005503EC" w:rsidRDefault="00391929" w:rsidP="005503EC">
      <w:pPr>
        <w:pStyle w:val="WSParaNum"/>
        <w:numPr>
          <w:ilvl w:val="0"/>
          <w:numId w:val="0"/>
        </w:numPr>
        <w:spacing w:line="240" w:lineRule="auto"/>
        <w:ind w:left="720"/>
        <w:rPr>
          <w:sz w:val="20"/>
          <w:szCs w:val="20"/>
        </w:rPr>
      </w:pPr>
      <w:r w:rsidRPr="005503EC">
        <w:rPr>
          <w:sz w:val="20"/>
          <w:szCs w:val="20"/>
        </w:rPr>
        <w:t xml:space="preserve">Sullivan </w:t>
      </w:r>
      <w:r w:rsidR="005503EC" w:rsidRPr="005503EC">
        <w:rPr>
          <w:sz w:val="20"/>
          <w:szCs w:val="20"/>
        </w:rPr>
        <w:t>§</w:t>
      </w:r>
      <w:r w:rsidRPr="005503EC">
        <w:rPr>
          <w:sz w:val="20"/>
          <w:szCs w:val="20"/>
        </w:rPr>
        <w:t xml:space="preserve">8.02 </w:t>
      </w:r>
    </w:p>
    <w:p w14:paraId="2FD9E867" w14:textId="7C319648" w:rsidR="00391929" w:rsidRDefault="00391929" w:rsidP="00391929">
      <w:pPr>
        <w:pStyle w:val="WSParaNum"/>
      </w:pPr>
      <w:r>
        <w:t xml:space="preserve">Second, it is a </w:t>
      </w:r>
      <w:r w:rsidR="005503EC">
        <w:t>well-established</w:t>
      </w:r>
      <w:r>
        <w:t xml:space="preserve"> rule of statutory interpretation that the legislature does not intend to produce absurd consequences. Interpretations are absurd when they are unreasonable, inequitable, illogical, or lead to consequences that are ridiculous, pointless, or inconvenient. Consequences that produce disproportionate hardship should also be considered absurd:</w:t>
      </w:r>
    </w:p>
    <w:p w14:paraId="4B780AAE" w14:textId="6E664193" w:rsidR="00391929" w:rsidRDefault="00391929" w:rsidP="005503EC">
      <w:pPr>
        <w:pStyle w:val="WSParaNum"/>
        <w:numPr>
          <w:ilvl w:val="0"/>
          <w:numId w:val="0"/>
        </w:numPr>
        <w:spacing w:line="240" w:lineRule="auto"/>
        <w:ind w:left="720"/>
      </w:pPr>
      <w:r>
        <w:t>While the legislature often imposes burdens and obligations on persons as part of the means by which its objects are achieved, when these seem greatly disproportionate to any advantages to be gained, and still more when these appear to serve no purpose at all, they may be judged absurd.</w:t>
      </w:r>
    </w:p>
    <w:p w14:paraId="37AFCD5D" w14:textId="19B07257" w:rsidR="00391929" w:rsidRDefault="00EA1F72" w:rsidP="005503EC">
      <w:pPr>
        <w:pStyle w:val="WSParaNum"/>
        <w:numPr>
          <w:ilvl w:val="0"/>
          <w:numId w:val="0"/>
        </w:numPr>
      </w:pPr>
      <w:r w:rsidRPr="00EA1F72">
        <w:lastRenderedPageBreak/>
        <w:t xml:space="preserve">By enacting the </w:t>
      </w:r>
      <w:r w:rsidRPr="00EA1F72">
        <w:rPr>
          <w:i/>
          <w:iCs/>
        </w:rPr>
        <w:t>ESA</w:t>
      </w:r>
      <w:r w:rsidRPr="00EA1F72">
        <w:t xml:space="preserve">, the Legislature clearly considered species conservation to be an important goal. The potential habitat interpretation </w:t>
      </w:r>
      <w:r>
        <w:t>will</w:t>
      </w:r>
      <w:r w:rsidRPr="00EA1F72">
        <w:t>, however</w:t>
      </w:r>
      <w:r>
        <w:t xml:space="preserve">, significantly undermine </w:t>
      </w:r>
      <w:r w:rsidR="00A15631">
        <w:t xml:space="preserve">the </w:t>
      </w:r>
      <w:r w:rsidR="00A15631" w:rsidRPr="00A15631">
        <w:rPr>
          <w:i/>
          <w:iCs/>
        </w:rPr>
        <w:t>ESA’s</w:t>
      </w:r>
      <w:r w:rsidR="00A15631">
        <w:t xml:space="preserve"> overall</w:t>
      </w:r>
      <w:r>
        <w:t xml:space="preserve"> objective. </w:t>
      </w:r>
    </w:p>
    <w:p w14:paraId="1E0F8ABD" w14:textId="6800F17E" w:rsidR="00EA1F72" w:rsidRPr="005503EC" w:rsidRDefault="00EA1F72" w:rsidP="005503EC">
      <w:pPr>
        <w:pStyle w:val="WSParaNum"/>
        <w:numPr>
          <w:ilvl w:val="0"/>
          <w:numId w:val="0"/>
        </w:numPr>
        <w:spacing w:line="240" w:lineRule="auto"/>
        <w:ind w:firstLine="720"/>
        <w:rPr>
          <w:sz w:val="20"/>
          <w:szCs w:val="20"/>
        </w:rPr>
      </w:pPr>
      <w:r w:rsidRPr="005503EC">
        <w:rPr>
          <w:i/>
          <w:iCs/>
          <w:sz w:val="20"/>
          <w:szCs w:val="20"/>
        </w:rPr>
        <w:t>Rizzo</w:t>
      </w:r>
      <w:r w:rsidRPr="005503EC">
        <w:rPr>
          <w:sz w:val="20"/>
          <w:szCs w:val="20"/>
        </w:rPr>
        <w:t xml:space="preserve"> </w:t>
      </w:r>
      <w:r w:rsidR="005503EC" w:rsidRPr="005503EC">
        <w:rPr>
          <w:sz w:val="20"/>
          <w:szCs w:val="20"/>
        </w:rPr>
        <w:t xml:space="preserve">at paras </w:t>
      </w:r>
      <w:r w:rsidRPr="005503EC">
        <w:rPr>
          <w:sz w:val="20"/>
          <w:szCs w:val="20"/>
        </w:rPr>
        <w:t>27-29</w:t>
      </w:r>
    </w:p>
    <w:p w14:paraId="43D91F0E" w14:textId="77777777" w:rsidR="00DF7B13" w:rsidRPr="00DF7B13" w:rsidRDefault="00DF7B13" w:rsidP="005503EC">
      <w:pPr>
        <w:pStyle w:val="WSParaNum"/>
        <w:numPr>
          <w:ilvl w:val="0"/>
          <w:numId w:val="0"/>
        </w:numPr>
        <w:spacing w:line="240" w:lineRule="auto"/>
        <w:ind w:firstLine="720"/>
        <w:rPr>
          <w:sz w:val="20"/>
          <w:szCs w:val="20"/>
        </w:rPr>
      </w:pPr>
      <w:r w:rsidRPr="00DF7B13">
        <w:rPr>
          <w:i/>
          <w:iCs/>
          <w:sz w:val="20"/>
          <w:szCs w:val="20"/>
        </w:rPr>
        <w:t xml:space="preserve">Tran v. Canada (Public Safety and Emergency Preparedness), </w:t>
      </w:r>
      <w:r w:rsidRPr="00DF7B13">
        <w:rPr>
          <w:sz w:val="20"/>
          <w:szCs w:val="20"/>
        </w:rPr>
        <w:t>2017 SCC 50 at para 31</w:t>
      </w:r>
    </w:p>
    <w:p w14:paraId="1AEC81A1" w14:textId="18CB21B7" w:rsidR="00EA1F72" w:rsidRPr="005503EC" w:rsidRDefault="00EA1F72" w:rsidP="005503EC">
      <w:pPr>
        <w:pStyle w:val="WSParaNum"/>
        <w:numPr>
          <w:ilvl w:val="0"/>
          <w:numId w:val="0"/>
        </w:numPr>
        <w:spacing w:line="240" w:lineRule="auto"/>
        <w:ind w:firstLine="720"/>
        <w:rPr>
          <w:sz w:val="20"/>
          <w:szCs w:val="20"/>
        </w:rPr>
      </w:pPr>
      <w:r w:rsidRPr="005503EC">
        <w:rPr>
          <w:sz w:val="20"/>
          <w:szCs w:val="20"/>
        </w:rPr>
        <w:t xml:space="preserve">Sullivan </w:t>
      </w:r>
      <w:r w:rsidR="005503EC" w:rsidRPr="005503EC">
        <w:rPr>
          <w:sz w:val="20"/>
          <w:szCs w:val="20"/>
        </w:rPr>
        <w:t>§</w:t>
      </w:r>
      <w:r w:rsidRPr="005503EC">
        <w:rPr>
          <w:sz w:val="20"/>
          <w:szCs w:val="20"/>
        </w:rPr>
        <w:t>10.03</w:t>
      </w:r>
    </w:p>
    <w:p w14:paraId="054C3A57" w14:textId="08EFB215" w:rsidR="00EA1F72" w:rsidRPr="005503EC" w:rsidRDefault="00EA1F72" w:rsidP="005503EC">
      <w:pPr>
        <w:pStyle w:val="WSParaNum"/>
        <w:numPr>
          <w:ilvl w:val="0"/>
          <w:numId w:val="0"/>
        </w:numPr>
        <w:spacing w:line="240" w:lineRule="auto"/>
        <w:ind w:firstLine="720"/>
        <w:rPr>
          <w:sz w:val="20"/>
          <w:szCs w:val="20"/>
        </w:rPr>
      </w:pPr>
      <w:r w:rsidRPr="005503EC">
        <w:rPr>
          <w:i/>
          <w:iCs/>
          <w:sz w:val="20"/>
          <w:szCs w:val="20"/>
        </w:rPr>
        <w:t>Wildlands</w:t>
      </w:r>
      <w:r w:rsidRPr="005503EC">
        <w:rPr>
          <w:sz w:val="20"/>
          <w:szCs w:val="20"/>
        </w:rPr>
        <w:t xml:space="preserve"> ONSC </w:t>
      </w:r>
      <w:r w:rsidR="005503EC" w:rsidRPr="005503EC">
        <w:rPr>
          <w:sz w:val="20"/>
          <w:szCs w:val="20"/>
        </w:rPr>
        <w:t xml:space="preserve">at </w:t>
      </w:r>
      <w:r w:rsidRPr="005503EC">
        <w:rPr>
          <w:sz w:val="20"/>
          <w:szCs w:val="20"/>
        </w:rPr>
        <w:t>para 89</w:t>
      </w:r>
    </w:p>
    <w:p w14:paraId="42781A12" w14:textId="77777777" w:rsidR="00EA1F72" w:rsidRDefault="00EA1F72" w:rsidP="00EA1F72">
      <w:pPr>
        <w:pStyle w:val="WSParaNum"/>
      </w:pPr>
      <w:r>
        <w:t xml:space="preserve">Designating areas with habitat potential as habitat under the </w:t>
      </w:r>
      <w:r w:rsidRPr="00EA1F72">
        <w:rPr>
          <w:i/>
          <w:iCs/>
        </w:rPr>
        <w:t>ESA</w:t>
      </w:r>
      <w:r>
        <w:t xml:space="preserve"> would impose significant hardship on developers in the Province. In such a circumstance, large areas of Ontario could be habitat, and the associated financial insecurity and risks of litigation would stall many development projects due to the amount of land adjacent to or connected to watersheds.</w:t>
      </w:r>
    </w:p>
    <w:p w14:paraId="23D87741" w14:textId="5F336F3A" w:rsidR="00EA1F72" w:rsidRDefault="00EA1F72" w:rsidP="00EA1F72">
      <w:pPr>
        <w:pStyle w:val="WSParaNum"/>
      </w:pPr>
      <w:r w:rsidRPr="00EA1F72">
        <w:t xml:space="preserve">An interpretation of ‘habitat’ that captures areas where a species is not present would create serious ambiguity in how and where s 10(1) of the </w:t>
      </w:r>
      <w:r w:rsidRPr="00EA1F72">
        <w:rPr>
          <w:i/>
          <w:iCs/>
        </w:rPr>
        <w:t>ESA</w:t>
      </w:r>
      <w:r w:rsidRPr="00EA1F72">
        <w:t xml:space="preserve"> applies. That ambiguity would be unreasonable and inconvenient, outweigh the advantages of protecting species and is not reflected in the language of the statute.</w:t>
      </w:r>
    </w:p>
    <w:p w14:paraId="0A4FCB48" w14:textId="721C2F37" w:rsidR="00C83342" w:rsidRPr="003215A1" w:rsidRDefault="00C83342" w:rsidP="003215A1">
      <w:pPr>
        <w:pStyle w:val="Heading2"/>
        <w:numPr>
          <w:ilvl w:val="0"/>
          <w:numId w:val="0"/>
        </w:numPr>
        <w:ind w:left="720" w:hanging="720"/>
        <w:rPr>
          <w:rFonts w:ascii="Times New Roman" w:hAnsi="Times New Roman"/>
          <w:i w:val="0"/>
          <w:iCs w:val="0"/>
          <w:sz w:val="24"/>
          <w:szCs w:val="24"/>
        </w:rPr>
      </w:pPr>
      <w:bookmarkStart w:id="22" w:name="_Toc220019290"/>
      <w:r w:rsidRPr="003215A1">
        <w:rPr>
          <w:rFonts w:ascii="Times New Roman" w:hAnsi="Times New Roman"/>
          <w:i w:val="0"/>
          <w:iCs w:val="0"/>
          <w:sz w:val="24"/>
          <w:szCs w:val="24"/>
        </w:rPr>
        <w:t>E.</w:t>
      </w:r>
      <w:r w:rsidRPr="003215A1">
        <w:rPr>
          <w:rFonts w:ascii="Times New Roman" w:hAnsi="Times New Roman"/>
          <w:i w:val="0"/>
          <w:iCs w:val="0"/>
          <w:sz w:val="24"/>
          <w:szCs w:val="24"/>
        </w:rPr>
        <w:tab/>
      </w:r>
      <w:r w:rsidR="006A4665" w:rsidRPr="003215A1">
        <w:rPr>
          <w:rFonts w:ascii="Times New Roman" w:hAnsi="Times New Roman"/>
          <w:i w:val="0"/>
          <w:iCs w:val="0"/>
          <w:sz w:val="24"/>
          <w:szCs w:val="24"/>
        </w:rPr>
        <w:t>CHL would not have been convicted if the amended definition of ‘habitat’ was in force when they were charged and tried</w:t>
      </w:r>
      <w:bookmarkEnd w:id="22"/>
    </w:p>
    <w:p w14:paraId="5EA7BC32" w14:textId="408F6901" w:rsidR="006A4665" w:rsidRDefault="006A4665" w:rsidP="006A4665">
      <w:pPr>
        <w:pStyle w:val="WSParaNum"/>
      </w:pPr>
      <w:r>
        <w:t xml:space="preserve">The Respondent maintains that CHL should not have been convicted at trial. However, if the amended definition was in force in 2018, CHL would not have been convicted at trial. </w:t>
      </w:r>
    </w:p>
    <w:p w14:paraId="2FD3AE4C" w14:textId="5AA5BACD" w:rsidR="00EA1F72" w:rsidRDefault="006A4665" w:rsidP="006A4665">
      <w:pPr>
        <w:pStyle w:val="WSParaNum"/>
      </w:pPr>
      <w:r>
        <w:t xml:space="preserve">The definition of ‘habitat’, amended by s 2(3) of the </w:t>
      </w:r>
      <w:r w:rsidRPr="00C0642E">
        <w:rPr>
          <w:i/>
          <w:iCs/>
        </w:rPr>
        <w:t xml:space="preserve">Protect Ontario by Unleashing our Economy Act </w:t>
      </w:r>
      <w:r>
        <w:t>(“</w:t>
      </w:r>
      <w:r w:rsidRPr="00C0642E">
        <w:rPr>
          <w:i/>
          <w:iCs/>
        </w:rPr>
        <w:t>POUE</w:t>
      </w:r>
      <w:r>
        <w:t xml:space="preserve">”), 2025 is: </w:t>
      </w:r>
    </w:p>
    <w:p w14:paraId="1ABD0B8D" w14:textId="77777777" w:rsidR="00C0642E" w:rsidRDefault="00C0642E" w:rsidP="00C0642E">
      <w:pPr>
        <w:pStyle w:val="WSParaNum"/>
        <w:numPr>
          <w:ilvl w:val="0"/>
          <w:numId w:val="0"/>
        </w:numPr>
        <w:spacing w:line="240" w:lineRule="auto"/>
        <w:ind w:left="720"/>
      </w:pPr>
      <w:r w:rsidRPr="00C0642E">
        <w:rPr>
          <w:b/>
          <w:bCs/>
        </w:rPr>
        <w:t>2</w:t>
      </w:r>
      <w:r>
        <w:t xml:space="preserve"> (3) The definition of “habitat” in subsection 2 (1) of the Act is repealed and the following substituted:</w:t>
      </w:r>
    </w:p>
    <w:p w14:paraId="6170E348" w14:textId="77777777" w:rsidR="00C0642E" w:rsidRDefault="00C0642E" w:rsidP="00C0642E">
      <w:pPr>
        <w:pStyle w:val="WSParaNum"/>
        <w:numPr>
          <w:ilvl w:val="0"/>
          <w:numId w:val="0"/>
        </w:numPr>
        <w:spacing w:line="240" w:lineRule="auto"/>
        <w:ind w:firstLine="720"/>
      </w:pPr>
      <w:r>
        <w:t>“habitat” means, subject to subsection (3),</w:t>
      </w:r>
    </w:p>
    <w:p w14:paraId="42CC30CD" w14:textId="77777777" w:rsidR="00C0642E" w:rsidRDefault="00C0642E" w:rsidP="00C0642E">
      <w:pPr>
        <w:pStyle w:val="WSParaNum"/>
        <w:numPr>
          <w:ilvl w:val="0"/>
          <w:numId w:val="0"/>
        </w:numPr>
        <w:spacing w:line="240" w:lineRule="auto"/>
        <w:ind w:left="720" w:firstLine="720"/>
      </w:pPr>
      <w:r>
        <w:t>(a)  in respect of an animal species,</w:t>
      </w:r>
    </w:p>
    <w:p w14:paraId="2E78F4AD" w14:textId="77777777" w:rsidR="00C0642E" w:rsidRDefault="00C0642E" w:rsidP="00C0642E">
      <w:pPr>
        <w:pStyle w:val="WSParaNum"/>
        <w:numPr>
          <w:ilvl w:val="0"/>
          <w:numId w:val="0"/>
        </w:numPr>
        <w:spacing w:line="240" w:lineRule="auto"/>
        <w:ind w:left="2160"/>
      </w:pPr>
      <w:r>
        <w:t>(i)  a dwelling-place, such as a den, nest or other similar place, that is occupied or habitually occupied by one or more members of a species for the purposes of breeding, rearing, staging, wintering or hibernating, and</w:t>
      </w:r>
    </w:p>
    <w:p w14:paraId="714F6045" w14:textId="77777777" w:rsidR="00C0642E" w:rsidRDefault="00C0642E" w:rsidP="00C0642E">
      <w:pPr>
        <w:pStyle w:val="WSParaNum"/>
        <w:numPr>
          <w:ilvl w:val="0"/>
          <w:numId w:val="0"/>
        </w:numPr>
        <w:spacing w:line="240" w:lineRule="auto"/>
        <w:ind w:left="2160"/>
      </w:pPr>
      <w:r>
        <w:t>(ii)  the area immediately around a dwelling place described in subclause (i) that is essential for the purposes set out in that subclause.</w:t>
      </w:r>
    </w:p>
    <w:p w14:paraId="42F0E565" w14:textId="77777777" w:rsidR="00C0642E" w:rsidRDefault="00C0642E" w:rsidP="00C0642E">
      <w:pPr>
        <w:pStyle w:val="WSParaNum"/>
      </w:pPr>
      <w:r>
        <w:t xml:space="preserve">The amended definition is exhaustive, narrow, and unambiguous and does not capture the Site.  </w:t>
      </w:r>
    </w:p>
    <w:p w14:paraId="7A7D33C6" w14:textId="7CD7CB56" w:rsidR="00A92B3C" w:rsidRDefault="00A92B3C" w:rsidP="00C0642E">
      <w:pPr>
        <w:pStyle w:val="WSParaNum"/>
      </w:pPr>
      <w:r w:rsidRPr="00A92B3C">
        <w:lastRenderedPageBreak/>
        <w:t xml:space="preserve">In order to be considered ‘habitat’, the Site must have been used as a dwelling or immediately around a dwelling </w:t>
      </w:r>
      <w:r w:rsidR="00A15631">
        <w:t>according to</w:t>
      </w:r>
      <w:r w:rsidRPr="00A92B3C">
        <w:t xml:space="preserve"> </w:t>
      </w:r>
      <w:r w:rsidRPr="00A92B3C">
        <w:rPr>
          <w:i/>
          <w:iCs/>
        </w:rPr>
        <w:t>POUE</w:t>
      </w:r>
      <w:r w:rsidRPr="00A92B3C">
        <w:t xml:space="preserve"> s 2(3)(a)(i). </w:t>
      </w:r>
    </w:p>
    <w:p w14:paraId="40EAEC43" w14:textId="443AA516" w:rsidR="00C0642E" w:rsidRDefault="00C0642E" w:rsidP="00C0642E">
      <w:pPr>
        <w:pStyle w:val="WSParaNum"/>
      </w:pPr>
      <w:r>
        <w:t xml:space="preserve">The amended definition of habitat is an exhaustive definition. It describes the complete meaning of ‘habitat’ and displaces other meanings that might otherwise be used in its ordinary or scientific usage. This is known through the use of “means” and the removal of “including” from the definition. Where “means” occurs alongside “including” in a provision, like in the old definition in s 2(1)(b), </w:t>
      </w:r>
      <w:r w:rsidRPr="00C0642E">
        <w:t xml:space="preserve">the scope of the definition is not obvious as ‘include’ might be expansive or illustrative. By removing “including”, the Legislature intends to use more exact language to limit the areas that might fall under the </w:t>
      </w:r>
      <w:r w:rsidRPr="00C0642E">
        <w:rPr>
          <w:i/>
          <w:iCs/>
        </w:rPr>
        <w:t>ESA’s</w:t>
      </w:r>
      <w:r w:rsidRPr="00C0642E">
        <w:t xml:space="preserve"> definition of habitat. ‘Habitat’ of the </w:t>
      </w:r>
      <w:r w:rsidR="00F83A16">
        <w:t>Turtle</w:t>
      </w:r>
      <w:r w:rsidR="00A15631">
        <w:t xml:space="preserve"> </w:t>
      </w:r>
      <w:r w:rsidRPr="00C0642E">
        <w:t xml:space="preserve">is limited by the examples provided in </w:t>
      </w:r>
      <w:r w:rsidRPr="00C0642E">
        <w:rPr>
          <w:i/>
          <w:iCs/>
        </w:rPr>
        <w:t>POUE</w:t>
      </w:r>
      <w:r w:rsidRPr="00C0642E">
        <w:t xml:space="preserve"> s 2(3)(a).</w:t>
      </w:r>
    </w:p>
    <w:p w14:paraId="1DB580BA" w14:textId="576F7312" w:rsidR="00A92B3C" w:rsidRPr="005503EC" w:rsidRDefault="00A92B3C" w:rsidP="005503EC">
      <w:pPr>
        <w:pStyle w:val="WSParaNum"/>
        <w:numPr>
          <w:ilvl w:val="0"/>
          <w:numId w:val="0"/>
        </w:numPr>
        <w:spacing w:line="240" w:lineRule="auto"/>
        <w:ind w:firstLine="720"/>
        <w:rPr>
          <w:sz w:val="20"/>
          <w:szCs w:val="20"/>
        </w:rPr>
      </w:pPr>
      <w:r w:rsidRPr="005503EC">
        <w:rPr>
          <w:sz w:val="20"/>
          <w:szCs w:val="20"/>
        </w:rPr>
        <w:t xml:space="preserve">Sullivan </w:t>
      </w:r>
      <w:r w:rsidR="005503EC" w:rsidRPr="005503EC">
        <w:rPr>
          <w:sz w:val="20"/>
          <w:szCs w:val="20"/>
        </w:rPr>
        <w:t>§</w:t>
      </w:r>
      <w:r w:rsidRPr="005503EC">
        <w:rPr>
          <w:sz w:val="20"/>
          <w:szCs w:val="20"/>
        </w:rPr>
        <w:t>4.04</w:t>
      </w:r>
    </w:p>
    <w:p w14:paraId="3DFD7814" w14:textId="4495150E" w:rsidR="00A92B3C" w:rsidRDefault="00A92B3C" w:rsidP="00C0642E">
      <w:pPr>
        <w:pStyle w:val="WSParaNum"/>
      </w:pPr>
      <w:r w:rsidRPr="00A92B3C">
        <w:t>The scope of the amended definition is further narrowed by substituting “life processes” with simply “dwelling-place”</w:t>
      </w:r>
      <w:r w:rsidR="00A15631">
        <w:t>. Any</w:t>
      </w:r>
      <w:r w:rsidRPr="00A92B3C">
        <w:t xml:space="preserve"> ambiguity about whether the </w:t>
      </w:r>
      <w:r w:rsidR="00F83A16">
        <w:t>Turtle</w:t>
      </w:r>
      <w:r w:rsidRPr="00A92B3C">
        <w:t xml:space="preserve"> depends on the Site, directly or indirectly, is resolved by the removal of that portion of </w:t>
      </w:r>
      <w:r w:rsidRPr="00A92B3C">
        <w:rPr>
          <w:i/>
          <w:iCs/>
        </w:rPr>
        <w:t>ESA</w:t>
      </w:r>
      <w:r w:rsidRPr="00A92B3C">
        <w:t xml:space="preserve"> s 2(1)(b). Given that the evidence does not clearly establish the presence of the Blanding’s turtle anywhere near the Site in summer 2018, it follows that the Crown cannot prove that the Site was occupied as a dwelling or immediately adjacent to a dwelling under the new definition.</w:t>
      </w:r>
    </w:p>
    <w:p w14:paraId="7BF9B02C" w14:textId="5EA85B7D" w:rsidR="00A92B3C" w:rsidRDefault="00A92B3C" w:rsidP="00A92B3C">
      <w:pPr>
        <w:pStyle w:val="WSParaNum"/>
      </w:pPr>
      <w:r w:rsidRPr="00A92B3C">
        <w:t>If Blanding’s turtle were using the Site as a dwelling, one would expect regular observations of turtles or nests. Yet, despite ongoing work, high visibility from the road, and repeated inspections by environmental professionals in multiple years, no turtles were seen at or immediately adjacent to the Site, and no nest was identified.</w:t>
      </w:r>
    </w:p>
    <w:p w14:paraId="0A11FF40" w14:textId="69C5F263" w:rsidR="00A92B3C" w:rsidRDefault="00A92B3C" w:rsidP="00A92B3C">
      <w:pPr>
        <w:pStyle w:val="WSParaNum"/>
      </w:pPr>
      <w:r>
        <w:t xml:space="preserve">The Appellants submit the Site was immediately adjacent to an active seasonal nesting area. This submission is not supported by the evidence provided at trial and appears to be a mischaracterization of the evidence that could only provide </w:t>
      </w:r>
      <w:r w:rsidR="005503EC">
        <w:t>that the</w:t>
      </w:r>
      <w:r>
        <w:t xml:space="preserve"> Circle Lake region may be used for nesting. Even if any area within or around Circle Lake was used for nesting, this does not prove that a nest was immediately adjacent to the Site.</w:t>
      </w:r>
      <w:r w:rsidRPr="00A92B3C">
        <w:t xml:space="preserve"> </w:t>
      </w:r>
    </w:p>
    <w:p w14:paraId="0667085F" w14:textId="76AAB054" w:rsidR="00A92B3C" w:rsidRPr="005503EC" w:rsidRDefault="00A92B3C" w:rsidP="005503EC">
      <w:pPr>
        <w:pStyle w:val="WSParaNum"/>
        <w:numPr>
          <w:ilvl w:val="0"/>
          <w:numId w:val="0"/>
        </w:numPr>
        <w:spacing w:line="240" w:lineRule="auto"/>
        <w:ind w:firstLine="720"/>
        <w:rPr>
          <w:sz w:val="20"/>
          <w:szCs w:val="20"/>
        </w:rPr>
      </w:pPr>
      <w:r w:rsidRPr="005503EC">
        <w:rPr>
          <w:sz w:val="20"/>
          <w:szCs w:val="20"/>
        </w:rPr>
        <w:t>Appellant</w:t>
      </w:r>
      <w:r w:rsidR="005503EC" w:rsidRPr="005503EC">
        <w:rPr>
          <w:sz w:val="20"/>
          <w:szCs w:val="20"/>
        </w:rPr>
        <w:t xml:space="preserve"> at</w:t>
      </w:r>
      <w:r w:rsidRPr="005503EC">
        <w:rPr>
          <w:sz w:val="20"/>
          <w:szCs w:val="20"/>
        </w:rPr>
        <w:t xml:space="preserve"> para 74</w:t>
      </w:r>
    </w:p>
    <w:p w14:paraId="13BE03CD" w14:textId="0BF823F1" w:rsidR="00A92B3C" w:rsidRDefault="00A92B3C" w:rsidP="00A92B3C">
      <w:pPr>
        <w:pStyle w:val="WSParaNum"/>
      </w:pPr>
      <w:r>
        <w:t xml:space="preserve">Not only did the Crown fail to provide evidence that the </w:t>
      </w:r>
      <w:r w:rsidR="00F83A16">
        <w:t>Turtles</w:t>
      </w:r>
      <w:r>
        <w:t xml:space="preserve"> were nesting at the Site, but the evidence at trial </w:t>
      </w:r>
      <w:r w:rsidR="008E2866">
        <w:t xml:space="preserve">suggests the opposite. </w:t>
      </w:r>
      <w:r w:rsidR="008E2866" w:rsidRPr="008E2866">
        <w:t xml:space="preserve">Since 2010, environmental specialists who should know the markings of a nest have visited the condominium plan area several times often for the </w:t>
      </w:r>
      <w:r w:rsidR="008E2866" w:rsidRPr="008E2866">
        <w:lastRenderedPageBreak/>
        <w:t xml:space="preserve">purpose of finding markings of </w:t>
      </w:r>
      <w:r w:rsidR="00F83A16">
        <w:t>Turtle</w:t>
      </w:r>
      <w:r w:rsidR="008E2866" w:rsidRPr="008E2866">
        <w:t xml:space="preserve"> habitat. It would be extremely unlikely a nest was missed by the experts.</w:t>
      </w:r>
    </w:p>
    <w:p w14:paraId="7F0A4291" w14:textId="29C061F4" w:rsidR="00A92B3C" w:rsidRDefault="008E2866" w:rsidP="00A92B3C">
      <w:pPr>
        <w:pStyle w:val="WSParaNum"/>
      </w:pPr>
      <w:r w:rsidRPr="008E2866">
        <w:t>In conclusion, the evidence falls short of establishing that the Site met the amended definition of ‘habitat’ just as it failed to meet the definition in force in 2018. The amended definition requires some dwelling-place occupied or habitually occupied by the species, or an area surrounding such place. Nothing in the evidence demonstrates such use. For this reason, an application of the narrower and more precise definition would not have resulted in a conviction had it been in force at the time of the offence.</w:t>
      </w:r>
    </w:p>
    <w:p w14:paraId="35F82985" w14:textId="77777777" w:rsidR="008455B3" w:rsidRPr="00D678D8" w:rsidRDefault="008455B3" w:rsidP="008E2866">
      <w:pPr>
        <w:pStyle w:val="WSParaNum"/>
        <w:numPr>
          <w:ilvl w:val="0"/>
          <w:numId w:val="0"/>
        </w:numPr>
      </w:pPr>
    </w:p>
    <w:p w14:paraId="1C290644"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23" w:name="_Toc271703735"/>
      <w:bookmarkStart w:id="24" w:name="_Toc220019291"/>
      <w:r w:rsidRPr="00D678D8">
        <w:rPr>
          <w:rFonts w:ascii="Times New Roman" w:hAnsi="Times New Roman"/>
          <w:sz w:val="24"/>
          <w:szCs w:val="24"/>
        </w:rPr>
        <w:t>SUBMISSIONS IN SUPPORT OF COSTS</w:t>
      </w:r>
      <w:bookmarkEnd w:id="23"/>
      <w:bookmarkEnd w:id="24"/>
    </w:p>
    <w:p w14:paraId="478E9E15" w14:textId="50474FAF" w:rsidR="008E2866" w:rsidRPr="008E2866" w:rsidRDefault="008E2866" w:rsidP="008E2866">
      <w:pPr>
        <w:pStyle w:val="WSParaNum"/>
      </w:pPr>
      <w:r w:rsidRPr="008E2866">
        <w:t xml:space="preserve">The Respondent seeks all costs incurred by </w:t>
      </w:r>
      <w:r w:rsidR="00A454D2">
        <w:t>CHL</w:t>
      </w:r>
      <w:r w:rsidRPr="008E2866">
        <w:t xml:space="preserve"> in this litigation. </w:t>
      </w:r>
    </w:p>
    <w:p w14:paraId="6CE22EF3" w14:textId="4A860634" w:rsidR="00DD6E8C" w:rsidRPr="00D678D8" w:rsidRDefault="00DD6E8C" w:rsidP="008E2866">
      <w:pPr>
        <w:pStyle w:val="WSParaNum"/>
        <w:numPr>
          <w:ilvl w:val="0"/>
          <w:numId w:val="0"/>
        </w:numPr>
        <w:spacing w:before="0" w:after="0"/>
      </w:pPr>
    </w:p>
    <w:p w14:paraId="2B33941B" w14:textId="77777777" w:rsidR="00DD6E8C" w:rsidRPr="00D678D8" w:rsidRDefault="0024187B" w:rsidP="00DD6E8C">
      <w:pPr>
        <w:pStyle w:val="Heading1"/>
        <w:tabs>
          <w:tab w:val="num" w:pos="720"/>
        </w:tabs>
        <w:spacing w:before="0" w:after="0" w:line="360" w:lineRule="auto"/>
        <w:ind w:left="720" w:hanging="720"/>
        <w:rPr>
          <w:rFonts w:ascii="Times New Roman" w:hAnsi="Times New Roman"/>
          <w:sz w:val="24"/>
          <w:szCs w:val="24"/>
        </w:rPr>
      </w:pPr>
      <w:bookmarkStart w:id="25" w:name="_Toc271703736"/>
      <w:bookmarkStart w:id="26" w:name="_Toc220019292"/>
      <w:r w:rsidRPr="00D678D8">
        <w:rPr>
          <w:rFonts w:ascii="Times New Roman" w:hAnsi="Times New Roman"/>
          <w:sz w:val="24"/>
          <w:szCs w:val="24"/>
        </w:rPr>
        <w:t>ORDER</w:t>
      </w:r>
      <w:r w:rsidR="00DD6E8C" w:rsidRPr="00D678D8">
        <w:rPr>
          <w:rFonts w:ascii="Times New Roman" w:hAnsi="Times New Roman"/>
          <w:sz w:val="24"/>
          <w:szCs w:val="24"/>
        </w:rPr>
        <w:t xml:space="preserve"> SOUGHT</w:t>
      </w:r>
      <w:bookmarkEnd w:id="25"/>
      <w:bookmarkEnd w:id="26"/>
    </w:p>
    <w:p w14:paraId="74C589BA" w14:textId="13EB63A7" w:rsidR="00DD6E8C" w:rsidRDefault="008E2866" w:rsidP="00DD6E8C">
      <w:pPr>
        <w:pStyle w:val="WSParaNum"/>
        <w:spacing w:before="0" w:after="0"/>
      </w:pPr>
      <w:r w:rsidRPr="008E2866">
        <w:t xml:space="preserve">The Respondent requests that the SEMCC uphold the OCJ’s decision to acquit </w:t>
      </w:r>
      <w:r w:rsidR="00A454D2">
        <w:t>CHL.</w:t>
      </w:r>
    </w:p>
    <w:p w14:paraId="28E5B6D1" w14:textId="77777777" w:rsidR="008E2866" w:rsidRPr="00D678D8" w:rsidRDefault="008E2866" w:rsidP="008E2866">
      <w:pPr>
        <w:pStyle w:val="WSParaNum"/>
        <w:numPr>
          <w:ilvl w:val="0"/>
          <w:numId w:val="0"/>
        </w:numPr>
        <w:spacing w:before="0" w:after="0"/>
      </w:pPr>
    </w:p>
    <w:p w14:paraId="2967C577" w14:textId="6C8BAEB7" w:rsidR="00DD6E8C" w:rsidRPr="00D678D8" w:rsidRDefault="00DD6E8C" w:rsidP="00DD6E8C">
      <w:pPr>
        <w:spacing w:line="360" w:lineRule="auto"/>
      </w:pPr>
      <w:r w:rsidRPr="00D678D8">
        <w:t>ALL OF WHICH IS</w:t>
      </w:r>
      <w:r w:rsidR="0003757F">
        <w:t xml:space="preserve"> RESPECTFULLY SUBMITTED this </w:t>
      </w:r>
      <w:r w:rsidR="002F57D8">
        <w:t>23</w:t>
      </w:r>
      <w:r w:rsidRPr="00D678D8">
        <w:t xml:space="preserve"> day of</w:t>
      </w:r>
      <w:r w:rsidR="0003757F">
        <w:t xml:space="preserve"> </w:t>
      </w:r>
      <w:r w:rsidR="002F57D8">
        <w:t xml:space="preserve">January, </w:t>
      </w:r>
      <w:r w:rsidR="00915A04">
        <w:t>202</w:t>
      </w:r>
      <w:r w:rsidR="00B72782">
        <w:t>6</w:t>
      </w:r>
      <w:r w:rsidRPr="00D678D8">
        <w:t>.</w:t>
      </w:r>
    </w:p>
    <w:p w14:paraId="0D0F3608" w14:textId="77777777" w:rsidR="00334F22" w:rsidRPr="00D678D8" w:rsidRDefault="00334F22" w:rsidP="00DD6E8C">
      <w:pPr>
        <w:spacing w:line="360" w:lineRule="auto"/>
      </w:pPr>
    </w:p>
    <w:p w14:paraId="1B98958B" w14:textId="77777777" w:rsidR="00334F22" w:rsidRPr="00DD6E8C" w:rsidRDefault="00334F22" w:rsidP="003822BD">
      <w:pPr>
        <w:jc w:val="right"/>
      </w:pPr>
      <w:r>
        <w:t>_______________________________</w:t>
      </w:r>
    </w:p>
    <w:p w14:paraId="47ADB7A8" w14:textId="3B273A53" w:rsidR="00A85602" w:rsidRPr="00DD6E8C" w:rsidRDefault="002F57D8" w:rsidP="003822BD">
      <w:pPr>
        <w:jc w:val="right"/>
      </w:pPr>
      <w:r>
        <w:t>Tessa Sautner</w:t>
      </w:r>
    </w:p>
    <w:p w14:paraId="6E6B90C7" w14:textId="77777777" w:rsidR="00A85602" w:rsidRDefault="00A85602" w:rsidP="003822BD"/>
    <w:p w14:paraId="2F9E1FF3" w14:textId="77777777" w:rsidR="00334F22" w:rsidRDefault="00334F22" w:rsidP="003822BD"/>
    <w:p w14:paraId="603C7847" w14:textId="77777777" w:rsidR="00334F22" w:rsidRPr="00DD6E8C" w:rsidRDefault="00334F22" w:rsidP="003822BD">
      <w:pPr>
        <w:jc w:val="right"/>
      </w:pPr>
      <w:r>
        <w:t>_______________________________</w:t>
      </w:r>
    </w:p>
    <w:p w14:paraId="0ADF352E" w14:textId="0DE05F9E" w:rsidR="00334F22" w:rsidRPr="00DD6E8C" w:rsidRDefault="002F57D8" w:rsidP="003822BD">
      <w:pPr>
        <w:jc w:val="right"/>
      </w:pPr>
      <w:r>
        <w:t>Taylor Labelle</w:t>
      </w:r>
    </w:p>
    <w:p w14:paraId="3007E314" w14:textId="77777777" w:rsidR="00334F22" w:rsidRDefault="00334F22" w:rsidP="003822BD"/>
    <w:p w14:paraId="280DFB98" w14:textId="77777777" w:rsidR="003822BD" w:rsidRDefault="003822BD" w:rsidP="002F57D8"/>
    <w:p w14:paraId="3B79C618" w14:textId="77777777" w:rsidR="003822BD" w:rsidRDefault="003822BD" w:rsidP="003822BD">
      <w:pPr>
        <w:jc w:val="right"/>
      </w:pPr>
      <w:r>
        <w:t xml:space="preserve">Counsel for the </w:t>
      </w:r>
      <w:r w:rsidR="00EE2290">
        <w:t>Respondent</w:t>
      </w:r>
    </w:p>
    <w:p w14:paraId="49B15252" w14:textId="7F55E85D" w:rsidR="003822BD" w:rsidRPr="00A85602" w:rsidRDefault="00E91273" w:rsidP="003822BD">
      <w:pPr>
        <w:jc w:val="right"/>
      </w:pPr>
      <w:r>
        <w:t>Consolidated Homes Ltd.</w:t>
      </w:r>
    </w:p>
    <w:p w14:paraId="32AFF832" w14:textId="77777777" w:rsidR="0044118E" w:rsidRPr="0044118E" w:rsidRDefault="0044118E" w:rsidP="00D921E9">
      <w:pPr>
        <w:pStyle w:val="Heading1"/>
        <w:tabs>
          <w:tab w:val="num" w:pos="720"/>
        </w:tabs>
        <w:spacing w:before="0" w:after="0" w:line="360" w:lineRule="auto"/>
        <w:ind w:left="720" w:hanging="720"/>
        <w:rPr>
          <w:rFonts w:ascii="Times New Roman" w:hAnsi="Times New Roman"/>
          <w:sz w:val="24"/>
          <w:szCs w:val="24"/>
        </w:rPr>
      </w:pPr>
      <w:r w:rsidRPr="0044118E">
        <w:rPr>
          <w:rFonts w:ascii="Times New Roman" w:hAnsi="Times New Roman"/>
          <w:sz w:val="24"/>
          <w:szCs w:val="24"/>
        </w:rPr>
        <w:br w:type="page"/>
      </w:r>
      <w:bookmarkStart w:id="27" w:name="_Toc220019293"/>
      <w:r>
        <w:rPr>
          <w:rFonts w:ascii="Times New Roman" w:hAnsi="Times New Roman"/>
          <w:sz w:val="24"/>
          <w:szCs w:val="24"/>
        </w:rPr>
        <w:lastRenderedPageBreak/>
        <w:t>TABLE OF AUTHORITIES</w:t>
      </w:r>
      <w:bookmarkEnd w:id="27"/>
    </w:p>
    <w:p w14:paraId="23D158ED" w14:textId="77777777" w:rsidR="00D921E9" w:rsidRPr="00D921E9" w:rsidRDefault="00D921E9" w:rsidP="00D921E9">
      <w:pPr>
        <w:spacing w:line="360" w:lineRule="auto"/>
        <w:jc w:val="right"/>
        <w:rPr>
          <w:b/>
        </w:rPr>
      </w:pPr>
      <w:r w:rsidRPr="00D921E9">
        <w:rPr>
          <w:b/>
        </w:rPr>
        <w:t>Paragraph No.</w:t>
      </w:r>
    </w:p>
    <w:tbl>
      <w:tblPr>
        <w:tblW w:w="888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40"/>
        <w:gridCol w:w="4440"/>
      </w:tblGrid>
      <w:tr w:rsidR="008E2866" w14:paraId="160D1B6A" w14:textId="77777777" w:rsidTr="0032381E">
        <w:tc>
          <w:tcPr>
            <w:tcW w:w="4440" w:type="dxa"/>
            <w:tcMar>
              <w:top w:w="100" w:type="dxa"/>
              <w:left w:w="100" w:type="dxa"/>
              <w:bottom w:w="100" w:type="dxa"/>
              <w:right w:w="100" w:type="dxa"/>
            </w:tcMar>
          </w:tcPr>
          <w:p w14:paraId="1218E367" w14:textId="60B7E58C" w:rsidR="008E2866" w:rsidRDefault="008E2866" w:rsidP="0032381E">
            <w:pPr>
              <w:widowControl w:val="0"/>
              <w:pBdr>
                <w:top w:val="nil"/>
                <w:left w:val="nil"/>
                <w:bottom w:val="nil"/>
                <w:right w:val="nil"/>
                <w:between w:val="nil"/>
              </w:pBdr>
              <w:rPr>
                <w:b/>
                <w:bCs/>
              </w:rPr>
            </w:pPr>
            <w:r>
              <w:rPr>
                <w:b/>
                <w:bCs/>
              </w:rPr>
              <w:t>Authority</w:t>
            </w:r>
          </w:p>
        </w:tc>
        <w:tc>
          <w:tcPr>
            <w:tcW w:w="4440" w:type="dxa"/>
            <w:tcMar>
              <w:top w:w="100" w:type="dxa"/>
              <w:left w:w="100" w:type="dxa"/>
              <w:bottom w:w="100" w:type="dxa"/>
              <w:right w:w="100" w:type="dxa"/>
            </w:tcMar>
          </w:tcPr>
          <w:p w14:paraId="5FD8AA60" w14:textId="77777777" w:rsidR="008E2866" w:rsidRDefault="008E2866" w:rsidP="0032381E">
            <w:pPr>
              <w:widowControl w:val="0"/>
              <w:pBdr>
                <w:top w:val="nil"/>
                <w:left w:val="nil"/>
                <w:bottom w:val="nil"/>
                <w:right w:val="nil"/>
                <w:between w:val="nil"/>
              </w:pBdr>
              <w:rPr>
                <w:b/>
                <w:bCs/>
              </w:rPr>
            </w:pPr>
            <w:r>
              <w:rPr>
                <w:b/>
                <w:bCs/>
              </w:rPr>
              <w:t xml:space="preserve">Paragraph No. </w:t>
            </w:r>
          </w:p>
        </w:tc>
      </w:tr>
      <w:tr w:rsidR="00A454D2" w14:paraId="57816359" w14:textId="77777777" w:rsidTr="0032381E">
        <w:tc>
          <w:tcPr>
            <w:tcW w:w="4440" w:type="dxa"/>
            <w:tcMar>
              <w:top w:w="100" w:type="dxa"/>
              <w:left w:w="100" w:type="dxa"/>
              <w:bottom w:w="100" w:type="dxa"/>
              <w:right w:w="100" w:type="dxa"/>
            </w:tcMar>
          </w:tcPr>
          <w:p w14:paraId="5AC09154" w14:textId="18CD6BB8" w:rsidR="00A454D2" w:rsidRDefault="00A454D2" w:rsidP="0032381E">
            <w:pPr>
              <w:widowControl w:val="0"/>
              <w:pBdr>
                <w:top w:val="nil"/>
                <w:left w:val="nil"/>
                <w:bottom w:val="nil"/>
                <w:right w:val="nil"/>
                <w:between w:val="nil"/>
              </w:pBdr>
            </w:pPr>
            <w:r w:rsidRPr="00A454D2">
              <w:t xml:space="preserve">D. Paciocco, P. Paciocco &amp; L. Stuesser, </w:t>
            </w:r>
            <w:r w:rsidRPr="00A454D2">
              <w:rPr>
                <w:i/>
                <w:iCs/>
              </w:rPr>
              <w:t>The Law of Evidence</w:t>
            </w:r>
            <w:r w:rsidRPr="00A454D2">
              <w:t>, 8th ed (University of Toronto Press, 2020) p 36. [Paciocco]</w:t>
            </w:r>
          </w:p>
        </w:tc>
        <w:tc>
          <w:tcPr>
            <w:tcW w:w="4440" w:type="dxa"/>
            <w:tcMar>
              <w:top w:w="100" w:type="dxa"/>
              <w:left w:w="100" w:type="dxa"/>
              <w:bottom w:w="100" w:type="dxa"/>
              <w:right w:w="100" w:type="dxa"/>
            </w:tcMar>
          </w:tcPr>
          <w:p w14:paraId="28942CA4" w14:textId="45B43774" w:rsidR="00A454D2" w:rsidRDefault="00A454D2" w:rsidP="0032381E">
            <w:pPr>
              <w:widowControl w:val="0"/>
              <w:pBdr>
                <w:top w:val="nil"/>
                <w:left w:val="nil"/>
                <w:bottom w:val="nil"/>
                <w:right w:val="nil"/>
                <w:between w:val="nil"/>
              </w:pBdr>
            </w:pPr>
            <w:r>
              <w:t>20, 22, 25, 28</w:t>
            </w:r>
          </w:p>
        </w:tc>
      </w:tr>
      <w:tr w:rsidR="00A454D2" w14:paraId="619AB714" w14:textId="77777777" w:rsidTr="0032381E">
        <w:tc>
          <w:tcPr>
            <w:tcW w:w="4440" w:type="dxa"/>
            <w:tcMar>
              <w:top w:w="100" w:type="dxa"/>
              <w:left w:w="100" w:type="dxa"/>
              <w:bottom w:w="100" w:type="dxa"/>
              <w:right w:w="100" w:type="dxa"/>
            </w:tcMar>
          </w:tcPr>
          <w:p w14:paraId="73CB072C" w14:textId="7A7ADE4F" w:rsidR="00A454D2" w:rsidRDefault="00A454D2" w:rsidP="0032381E">
            <w:pPr>
              <w:widowControl w:val="0"/>
              <w:pBdr>
                <w:top w:val="nil"/>
                <w:left w:val="nil"/>
                <w:bottom w:val="nil"/>
                <w:right w:val="nil"/>
                <w:between w:val="nil"/>
              </w:pBdr>
            </w:pPr>
            <w:r>
              <w:t xml:space="preserve">Factum of the Appellant, </w:t>
            </w:r>
            <w:r w:rsidRPr="00A454D2">
              <w:t>Willms &amp; Shier Environmental Law Moot Official Competition 2026</w:t>
            </w:r>
            <w:r>
              <w:t xml:space="preserve">, team 2026-09 [Appellant] </w:t>
            </w:r>
          </w:p>
        </w:tc>
        <w:tc>
          <w:tcPr>
            <w:tcW w:w="4440" w:type="dxa"/>
            <w:tcMar>
              <w:top w:w="100" w:type="dxa"/>
              <w:left w:w="100" w:type="dxa"/>
              <w:bottom w:w="100" w:type="dxa"/>
              <w:right w:w="100" w:type="dxa"/>
            </w:tcMar>
          </w:tcPr>
          <w:p w14:paraId="4EDF24FC" w14:textId="4D59ABFD" w:rsidR="00A454D2" w:rsidRDefault="00A454D2" w:rsidP="0032381E">
            <w:pPr>
              <w:widowControl w:val="0"/>
              <w:pBdr>
                <w:top w:val="nil"/>
                <w:left w:val="nil"/>
                <w:bottom w:val="nil"/>
                <w:right w:val="nil"/>
                <w:between w:val="nil"/>
              </w:pBdr>
            </w:pPr>
            <w:r>
              <w:t>18, 37, 43, 64, 67, 76, 79, 92</w:t>
            </w:r>
          </w:p>
        </w:tc>
      </w:tr>
      <w:tr w:rsidR="00A454D2" w14:paraId="620C0450" w14:textId="77777777" w:rsidTr="0032381E">
        <w:tc>
          <w:tcPr>
            <w:tcW w:w="4440" w:type="dxa"/>
            <w:tcMar>
              <w:top w:w="100" w:type="dxa"/>
              <w:left w:w="100" w:type="dxa"/>
              <w:bottom w:w="100" w:type="dxa"/>
              <w:right w:w="100" w:type="dxa"/>
            </w:tcMar>
          </w:tcPr>
          <w:p w14:paraId="3A23BE7B" w14:textId="2956368D" w:rsidR="00A454D2" w:rsidRDefault="00A454D2" w:rsidP="0032381E">
            <w:pPr>
              <w:widowControl w:val="0"/>
              <w:pBdr>
                <w:top w:val="nil"/>
                <w:left w:val="nil"/>
                <w:bottom w:val="nil"/>
                <w:right w:val="nil"/>
                <w:between w:val="nil"/>
              </w:pBdr>
            </w:pPr>
            <w:r w:rsidRPr="00A454D2">
              <w:rPr>
                <w:i/>
                <w:iCs/>
              </w:rPr>
              <w:t>Housen v Nikolaisen</w:t>
            </w:r>
            <w:r w:rsidRPr="00A454D2">
              <w:t>, 2002 SCC 33</w:t>
            </w:r>
          </w:p>
        </w:tc>
        <w:tc>
          <w:tcPr>
            <w:tcW w:w="4440" w:type="dxa"/>
            <w:tcMar>
              <w:top w:w="100" w:type="dxa"/>
              <w:left w:w="100" w:type="dxa"/>
              <w:bottom w:w="100" w:type="dxa"/>
              <w:right w:w="100" w:type="dxa"/>
            </w:tcMar>
          </w:tcPr>
          <w:p w14:paraId="084F3760" w14:textId="639CEA7C" w:rsidR="00A454D2" w:rsidRDefault="00A454D2" w:rsidP="0032381E">
            <w:pPr>
              <w:widowControl w:val="0"/>
              <w:pBdr>
                <w:top w:val="nil"/>
                <w:left w:val="nil"/>
                <w:bottom w:val="nil"/>
                <w:right w:val="nil"/>
                <w:between w:val="nil"/>
              </w:pBdr>
            </w:pPr>
            <w:r>
              <w:t>14</w:t>
            </w:r>
          </w:p>
        </w:tc>
      </w:tr>
      <w:tr w:rsidR="00B25466" w14:paraId="69EA7CB7" w14:textId="77777777" w:rsidTr="0032381E">
        <w:tc>
          <w:tcPr>
            <w:tcW w:w="4440" w:type="dxa"/>
            <w:tcMar>
              <w:top w:w="100" w:type="dxa"/>
              <w:left w:w="100" w:type="dxa"/>
              <w:bottom w:w="100" w:type="dxa"/>
              <w:right w:w="100" w:type="dxa"/>
            </w:tcMar>
          </w:tcPr>
          <w:p w14:paraId="0DBECDDE" w14:textId="13FA21D8" w:rsidR="00B25466" w:rsidRPr="000A22F2" w:rsidRDefault="00B25466" w:rsidP="00B25466">
            <w:pPr>
              <w:widowControl w:val="0"/>
              <w:pBdr>
                <w:top w:val="nil"/>
                <w:left w:val="nil"/>
                <w:bottom w:val="nil"/>
                <w:right w:val="nil"/>
                <w:between w:val="nil"/>
              </w:pBdr>
            </w:pPr>
            <w:r w:rsidRPr="00B25466">
              <w:t>Ministry of the Environment, Conservation and Parks, “Blanding’s turtle” (26 July 2024) https://www.ontario.ca/page/blandings-turtle.</w:t>
            </w:r>
          </w:p>
        </w:tc>
        <w:tc>
          <w:tcPr>
            <w:tcW w:w="4440" w:type="dxa"/>
            <w:tcMar>
              <w:top w:w="100" w:type="dxa"/>
              <w:left w:w="100" w:type="dxa"/>
              <w:bottom w:w="100" w:type="dxa"/>
              <w:right w:w="100" w:type="dxa"/>
            </w:tcMar>
          </w:tcPr>
          <w:p w14:paraId="6BEC78FD" w14:textId="5907C669" w:rsidR="00B25466" w:rsidRDefault="00B25466" w:rsidP="0032381E">
            <w:pPr>
              <w:widowControl w:val="0"/>
              <w:pBdr>
                <w:top w:val="nil"/>
                <w:left w:val="nil"/>
                <w:bottom w:val="nil"/>
                <w:right w:val="nil"/>
                <w:between w:val="nil"/>
              </w:pBdr>
            </w:pPr>
            <w:r>
              <w:t>30</w:t>
            </w:r>
          </w:p>
        </w:tc>
      </w:tr>
      <w:tr w:rsidR="00B25466" w14:paraId="74FAEE8D" w14:textId="77777777" w:rsidTr="0032381E">
        <w:tc>
          <w:tcPr>
            <w:tcW w:w="4440" w:type="dxa"/>
            <w:tcMar>
              <w:top w:w="100" w:type="dxa"/>
              <w:left w:w="100" w:type="dxa"/>
              <w:bottom w:w="100" w:type="dxa"/>
              <w:right w:w="100" w:type="dxa"/>
            </w:tcMar>
          </w:tcPr>
          <w:p w14:paraId="51629D6B" w14:textId="77777777" w:rsidR="00B25466" w:rsidRDefault="00B25466" w:rsidP="00B25466">
            <w:pPr>
              <w:widowControl w:val="0"/>
              <w:pBdr>
                <w:top w:val="nil"/>
                <w:left w:val="nil"/>
                <w:bottom w:val="nil"/>
                <w:right w:val="nil"/>
                <w:between w:val="nil"/>
              </w:pBdr>
            </w:pPr>
            <w:r w:rsidRPr="00B25466">
              <w:rPr>
                <w:i/>
                <w:iCs/>
              </w:rPr>
              <w:t>Opitz v. Wrzesnewskyj</w:t>
            </w:r>
            <w:r>
              <w:t>, 2012 SCC 55 (CanLII), [2012] 3 SCR 76</w:t>
            </w:r>
          </w:p>
          <w:p w14:paraId="36077260" w14:textId="4F3DE245" w:rsidR="00B25466" w:rsidRPr="00B25466" w:rsidRDefault="00B25466" w:rsidP="00B25466">
            <w:pPr>
              <w:widowControl w:val="0"/>
              <w:pBdr>
                <w:top w:val="nil"/>
                <w:left w:val="nil"/>
                <w:bottom w:val="nil"/>
                <w:right w:val="nil"/>
                <w:between w:val="nil"/>
              </w:pBdr>
            </w:pPr>
            <w:r>
              <w:t>[</w:t>
            </w:r>
            <w:r w:rsidRPr="00B25466">
              <w:rPr>
                <w:i/>
                <w:iCs/>
              </w:rPr>
              <w:t>Opitz</w:t>
            </w:r>
            <w:r>
              <w:t>]</w:t>
            </w:r>
          </w:p>
        </w:tc>
        <w:tc>
          <w:tcPr>
            <w:tcW w:w="4440" w:type="dxa"/>
            <w:tcMar>
              <w:top w:w="100" w:type="dxa"/>
              <w:left w:w="100" w:type="dxa"/>
              <w:bottom w:w="100" w:type="dxa"/>
              <w:right w:w="100" w:type="dxa"/>
            </w:tcMar>
          </w:tcPr>
          <w:p w14:paraId="56BB92C8" w14:textId="21BD396E" w:rsidR="00B25466" w:rsidRDefault="00B25466" w:rsidP="0032381E">
            <w:pPr>
              <w:widowControl w:val="0"/>
              <w:pBdr>
                <w:top w:val="nil"/>
                <w:left w:val="nil"/>
                <w:bottom w:val="nil"/>
                <w:right w:val="nil"/>
                <w:between w:val="nil"/>
              </w:pBdr>
            </w:pPr>
            <w:r>
              <w:t>58, 60</w:t>
            </w:r>
          </w:p>
        </w:tc>
      </w:tr>
      <w:tr w:rsidR="00B25466" w14:paraId="1E727BC5" w14:textId="77777777" w:rsidTr="0032381E">
        <w:tc>
          <w:tcPr>
            <w:tcW w:w="4440" w:type="dxa"/>
            <w:tcMar>
              <w:top w:w="100" w:type="dxa"/>
              <w:left w:w="100" w:type="dxa"/>
              <w:bottom w:w="100" w:type="dxa"/>
              <w:right w:w="100" w:type="dxa"/>
            </w:tcMar>
          </w:tcPr>
          <w:p w14:paraId="03161207" w14:textId="54ADDBC1" w:rsidR="00B25466" w:rsidRPr="00B25466" w:rsidRDefault="00B25466" w:rsidP="00B25466">
            <w:pPr>
              <w:widowControl w:val="0"/>
              <w:pBdr>
                <w:top w:val="nil"/>
                <w:left w:val="nil"/>
                <w:bottom w:val="nil"/>
                <w:right w:val="nil"/>
                <w:between w:val="nil"/>
              </w:pBdr>
              <w:rPr>
                <w:i/>
                <w:iCs/>
              </w:rPr>
            </w:pPr>
            <w:r w:rsidRPr="00B25466">
              <w:rPr>
                <w:i/>
                <w:iCs/>
              </w:rPr>
              <w:t xml:space="preserve">Palmer v The Queen </w:t>
            </w:r>
            <w:r w:rsidRPr="00B25466">
              <w:t>1980 CanLII 8 (SCC) [1980] 1 S.C.R 759.</w:t>
            </w:r>
            <w:r>
              <w:rPr>
                <w:i/>
                <w:iCs/>
              </w:rPr>
              <w:t xml:space="preserve"> </w:t>
            </w:r>
          </w:p>
        </w:tc>
        <w:tc>
          <w:tcPr>
            <w:tcW w:w="4440" w:type="dxa"/>
            <w:tcMar>
              <w:top w:w="100" w:type="dxa"/>
              <w:left w:w="100" w:type="dxa"/>
              <w:bottom w:w="100" w:type="dxa"/>
              <w:right w:w="100" w:type="dxa"/>
            </w:tcMar>
          </w:tcPr>
          <w:p w14:paraId="00BE453A" w14:textId="272ACC28" w:rsidR="00B25466" w:rsidRDefault="00B25466" w:rsidP="0032381E">
            <w:pPr>
              <w:widowControl w:val="0"/>
              <w:pBdr>
                <w:top w:val="nil"/>
                <w:left w:val="nil"/>
                <w:bottom w:val="nil"/>
                <w:right w:val="nil"/>
                <w:between w:val="nil"/>
              </w:pBdr>
            </w:pPr>
            <w:r>
              <w:t>64</w:t>
            </w:r>
          </w:p>
        </w:tc>
      </w:tr>
      <w:tr w:rsidR="00B25466" w14:paraId="5A405540" w14:textId="77777777" w:rsidTr="0032381E">
        <w:tc>
          <w:tcPr>
            <w:tcW w:w="4440" w:type="dxa"/>
            <w:tcMar>
              <w:top w:w="100" w:type="dxa"/>
              <w:left w:w="100" w:type="dxa"/>
              <w:bottom w:w="100" w:type="dxa"/>
              <w:right w:w="100" w:type="dxa"/>
            </w:tcMar>
          </w:tcPr>
          <w:p w14:paraId="7C5C34F4" w14:textId="1D2FAAA2" w:rsidR="00B25466" w:rsidRPr="00B25466" w:rsidRDefault="00B25466" w:rsidP="00B25466">
            <w:pPr>
              <w:widowControl w:val="0"/>
              <w:pBdr>
                <w:top w:val="nil"/>
                <w:left w:val="nil"/>
                <w:bottom w:val="nil"/>
                <w:right w:val="nil"/>
                <w:between w:val="nil"/>
              </w:pBdr>
            </w:pPr>
            <w:r w:rsidRPr="00B25466">
              <w:rPr>
                <w:i/>
                <w:iCs/>
              </w:rPr>
              <w:t>Prince Edward County Field Naturalists v Ostrander Point GP Inc</w:t>
            </w:r>
            <w:r w:rsidRPr="00B25466">
              <w:t>, 2015 ONCA 269 at paras 61 - 65 [</w:t>
            </w:r>
            <w:r w:rsidRPr="00B25466">
              <w:rPr>
                <w:i/>
                <w:iCs/>
              </w:rPr>
              <w:t>PEC</w:t>
            </w:r>
            <w:r w:rsidRPr="00B25466">
              <w:t>].</w:t>
            </w:r>
          </w:p>
        </w:tc>
        <w:tc>
          <w:tcPr>
            <w:tcW w:w="4440" w:type="dxa"/>
            <w:tcMar>
              <w:top w:w="100" w:type="dxa"/>
              <w:left w:w="100" w:type="dxa"/>
              <w:bottom w:w="100" w:type="dxa"/>
              <w:right w:w="100" w:type="dxa"/>
            </w:tcMar>
          </w:tcPr>
          <w:p w14:paraId="7868743E" w14:textId="1CB53AAF" w:rsidR="00B25466" w:rsidRDefault="00B25466" w:rsidP="0032381E">
            <w:pPr>
              <w:widowControl w:val="0"/>
              <w:pBdr>
                <w:top w:val="nil"/>
                <w:left w:val="nil"/>
                <w:bottom w:val="nil"/>
                <w:right w:val="nil"/>
                <w:between w:val="nil"/>
              </w:pBdr>
            </w:pPr>
            <w:r>
              <w:t>35, 36, 47</w:t>
            </w:r>
          </w:p>
        </w:tc>
      </w:tr>
      <w:tr w:rsidR="005C7CCB" w14:paraId="5CE8C2E9" w14:textId="77777777" w:rsidTr="0032381E">
        <w:tc>
          <w:tcPr>
            <w:tcW w:w="4440" w:type="dxa"/>
            <w:tcMar>
              <w:top w:w="100" w:type="dxa"/>
              <w:left w:w="100" w:type="dxa"/>
              <w:bottom w:w="100" w:type="dxa"/>
              <w:right w:w="100" w:type="dxa"/>
            </w:tcMar>
          </w:tcPr>
          <w:p w14:paraId="307143DA" w14:textId="77102353" w:rsidR="005C7CCB" w:rsidRPr="000A22F2" w:rsidRDefault="005C7CCB" w:rsidP="005C7CCB">
            <w:pPr>
              <w:widowControl w:val="0"/>
              <w:pBdr>
                <w:top w:val="nil"/>
                <w:left w:val="nil"/>
                <w:bottom w:val="nil"/>
                <w:right w:val="nil"/>
                <w:between w:val="nil"/>
              </w:pBdr>
            </w:pPr>
            <w:r w:rsidRPr="005C7CCB">
              <w:t xml:space="preserve">Mark Mancini “The Purpose Error in the Modern Approach to Statutory Interpretation” ALR 2022 59:4 p 922 </w:t>
            </w:r>
          </w:p>
        </w:tc>
        <w:tc>
          <w:tcPr>
            <w:tcW w:w="4440" w:type="dxa"/>
            <w:tcMar>
              <w:top w:w="100" w:type="dxa"/>
              <w:left w:w="100" w:type="dxa"/>
              <w:bottom w:w="100" w:type="dxa"/>
              <w:right w:w="100" w:type="dxa"/>
            </w:tcMar>
          </w:tcPr>
          <w:p w14:paraId="0444C290" w14:textId="521288AE" w:rsidR="005C7CCB" w:rsidRDefault="005C7CCB" w:rsidP="0032381E">
            <w:pPr>
              <w:widowControl w:val="0"/>
              <w:pBdr>
                <w:top w:val="nil"/>
                <w:left w:val="nil"/>
                <w:bottom w:val="nil"/>
                <w:right w:val="nil"/>
                <w:between w:val="nil"/>
              </w:pBdr>
            </w:pPr>
            <w:r>
              <w:t>76</w:t>
            </w:r>
          </w:p>
        </w:tc>
      </w:tr>
      <w:tr w:rsidR="00B25466" w14:paraId="581ECF12" w14:textId="77777777" w:rsidTr="0032381E">
        <w:tc>
          <w:tcPr>
            <w:tcW w:w="4440" w:type="dxa"/>
            <w:tcMar>
              <w:top w:w="100" w:type="dxa"/>
              <w:left w:w="100" w:type="dxa"/>
              <w:bottom w:w="100" w:type="dxa"/>
              <w:right w:w="100" w:type="dxa"/>
            </w:tcMar>
          </w:tcPr>
          <w:p w14:paraId="6779489B" w14:textId="759AE611" w:rsidR="00B25466" w:rsidRPr="00B25466" w:rsidRDefault="00B25466" w:rsidP="00B25466">
            <w:pPr>
              <w:widowControl w:val="0"/>
              <w:pBdr>
                <w:top w:val="nil"/>
                <w:left w:val="nil"/>
                <w:bottom w:val="nil"/>
                <w:right w:val="nil"/>
                <w:between w:val="nil"/>
              </w:pBdr>
              <w:rPr>
                <w:i/>
                <w:iCs/>
              </w:rPr>
            </w:pPr>
            <w:r w:rsidRPr="00B25466">
              <w:rPr>
                <w:i/>
                <w:iCs/>
              </w:rPr>
              <w:t xml:space="preserve">MediaQMI inc. v. Kamel, </w:t>
            </w:r>
            <w:r w:rsidRPr="00B25466">
              <w:t>2021 SCC 23</w:t>
            </w:r>
            <w:r>
              <w:rPr>
                <w:i/>
                <w:iCs/>
              </w:rPr>
              <w:t xml:space="preserve"> [QMI]</w:t>
            </w:r>
          </w:p>
        </w:tc>
        <w:tc>
          <w:tcPr>
            <w:tcW w:w="4440" w:type="dxa"/>
            <w:tcMar>
              <w:top w:w="100" w:type="dxa"/>
              <w:left w:w="100" w:type="dxa"/>
              <w:bottom w:w="100" w:type="dxa"/>
              <w:right w:w="100" w:type="dxa"/>
            </w:tcMar>
          </w:tcPr>
          <w:p w14:paraId="32E36177" w14:textId="00104410" w:rsidR="00B25466" w:rsidRDefault="00B25466" w:rsidP="0032381E">
            <w:pPr>
              <w:widowControl w:val="0"/>
              <w:pBdr>
                <w:top w:val="nil"/>
                <w:left w:val="nil"/>
                <w:bottom w:val="nil"/>
                <w:right w:val="nil"/>
                <w:between w:val="nil"/>
              </w:pBdr>
            </w:pPr>
            <w:r>
              <w:t>58, 76, 77, 78</w:t>
            </w:r>
          </w:p>
        </w:tc>
      </w:tr>
      <w:tr w:rsidR="00B25466" w14:paraId="5BC440D5" w14:textId="77777777" w:rsidTr="0032381E">
        <w:tc>
          <w:tcPr>
            <w:tcW w:w="4440" w:type="dxa"/>
            <w:tcMar>
              <w:top w:w="100" w:type="dxa"/>
              <w:left w:w="100" w:type="dxa"/>
              <w:bottom w:w="100" w:type="dxa"/>
              <w:right w:w="100" w:type="dxa"/>
            </w:tcMar>
          </w:tcPr>
          <w:p w14:paraId="7312B002" w14:textId="335787E7" w:rsidR="00B25466" w:rsidRPr="00B25466" w:rsidRDefault="00B25466" w:rsidP="00B25466">
            <w:pPr>
              <w:widowControl w:val="0"/>
              <w:pBdr>
                <w:top w:val="nil"/>
                <w:left w:val="nil"/>
                <w:bottom w:val="nil"/>
                <w:right w:val="nil"/>
                <w:between w:val="nil"/>
              </w:pBdr>
            </w:pPr>
            <w:r w:rsidRPr="00B25466">
              <w:t>R. Sullivan, Construction of Statutes, 7th ed (LexisNexis Canada 2022) [Sullivan]</w:t>
            </w:r>
          </w:p>
        </w:tc>
        <w:tc>
          <w:tcPr>
            <w:tcW w:w="4440" w:type="dxa"/>
            <w:tcMar>
              <w:top w:w="100" w:type="dxa"/>
              <w:left w:w="100" w:type="dxa"/>
              <w:bottom w:w="100" w:type="dxa"/>
              <w:right w:w="100" w:type="dxa"/>
            </w:tcMar>
          </w:tcPr>
          <w:p w14:paraId="2EF72E9E" w14:textId="31384C7C" w:rsidR="00B25466" w:rsidRDefault="00B25466" w:rsidP="0032381E">
            <w:pPr>
              <w:widowControl w:val="0"/>
              <w:pBdr>
                <w:top w:val="nil"/>
                <w:left w:val="nil"/>
                <w:bottom w:val="nil"/>
                <w:right w:val="nil"/>
                <w:between w:val="nil"/>
              </w:pBdr>
            </w:pPr>
            <w:r>
              <w:t>60, 69, 75, 78, 81, 82, 89</w:t>
            </w:r>
          </w:p>
        </w:tc>
      </w:tr>
      <w:tr w:rsidR="008E2866" w14:paraId="1FECBE28" w14:textId="77777777" w:rsidTr="0032381E">
        <w:tc>
          <w:tcPr>
            <w:tcW w:w="4440" w:type="dxa"/>
            <w:tcMar>
              <w:top w:w="100" w:type="dxa"/>
              <w:left w:w="100" w:type="dxa"/>
              <w:bottom w:w="100" w:type="dxa"/>
              <w:right w:w="100" w:type="dxa"/>
            </w:tcMar>
          </w:tcPr>
          <w:p w14:paraId="67A09499" w14:textId="738E9558" w:rsidR="008E2866" w:rsidRDefault="00CC4FB7" w:rsidP="0032381E">
            <w:pPr>
              <w:widowControl w:val="0"/>
              <w:pBdr>
                <w:top w:val="nil"/>
                <w:left w:val="nil"/>
                <w:bottom w:val="nil"/>
                <w:right w:val="nil"/>
                <w:between w:val="nil"/>
              </w:pBdr>
            </w:pPr>
            <w:r>
              <w:rPr>
                <w:i/>
                <w:iCs/>
              </w:rPr>
              <w:t xml:space="preserve">R v Consolidated Homes Ltd. </w:t>
            </w:r>
            <w:r>
              <w:t xml:space="preserve">(12 October 2022), North Bay (OCJ) [Trial] </w:t>
            </w:r>
          </w:p>
        </w:tc>
        <w:tc>
          <w:tcPr>
            <w:tcW w:w="4440" w:type="dxa"/>
            <w:tcMar>
              <w:top w:w="100" w:type="dxa"/>
              <w:left w:w="100" w:type="dxa"/>
              <w:bottom w:w="100" w:type="dxa"/>
              <w:right w:w="100" w:type="dxa"/>
            </w:tcMar>
          </w:tcPr>
          <w:p w14:paraId="16719EFB" w14:textId="586FD082" w:rsidR="008E2866" w:rsidRDefault="00A454D2" w:rsidP="0032381E">
            <w:pPr>
              <w:widowControl w:val="0"/>
              <w:pBdr>
                <w:top w:val="nil"/>
                <w:left w:val="nil"/>
                <w:bottom w:val="nil"/>
                <w:right w:val="nil"/>
                <w:between w:val="nil"/>
              </w:pBdr>
            </w:pPr>
            <w:r>
              <w:t xml:space="preserve">9, </w:t>
            </w:r>
            <w:r w:rsidR="00CC4FB7">
              <w:t>79</w:t>
            </w:r>
          </w:p>
        </w:tc>
      </w:tr>
      <w:tr w:rsidR="00CC4FB7" w14:paraId="5050C898" w14:textId="77777777" w:rsidTr="0032381E">
        <w:tc>
          <w:tcPr>
            <w:tcW w:w="4440" w:type="dxa"/>
            <w:tcMar>
              <w:top w:w="100" w:type="dxa"/>
              <w:left w:w="100" w:type="dxa"/>
              <w:bottom w:w="100" w:type="dxa"/>
              <w:right w:w="100" w:type="dxa"/>
            </w:tcMar>
          </w:tcPr>
          <w:p w14:paraId="1F034285" w14:textId="009F6CA4" w:rsidR="00CC4FB7" w:rsidRDefault="00A454D2" w:rsidP="0032381E">
            <w:pPr>
              <w:widowControl w:val="0"/>
              <w:pBdr>
                <w:top w:val="nil"/>
                <w:left w:val="nil"/>
                <w:bottom w:val="nil"/>
                <w:right w:val="nil"/>
                <w:between w:val="nil"/>
              </w:pBdr>
            </w:pPr>
            <w:r w:rsidRPr="00A454D2">
              <w:rPr>
                <w:i/>
                <w:iCs/>
              </w:rPr>
              <w:t>R v Consolidated Homes Ltd</w:t>
            </w:r>
            <w:r w:rsidRPr="00A454D2">
              <w:t>. (20 August 2024), North Bay (OCJ) [OCJ]</w:t>
            </w:r>
          </w:p>
        </w:tc>
        <w:tc>
          <w:tcPr>
            <w:tcW w:w="4440" w:type="dxa"/>
            <w:tcMar>
              <w:top w:w="100" w:type="dxa"/>
              <w:left w:w="100" w:type="dxa"/>
              <w:bottom w:w="100" w:type="dxa"/>
              <w:right w:w="100" w:type="dxa"/>
            </w:tcMar>
          </w:tcPr>
          <w:p w14:paraId="5B1BB08C" w14:textId="5A2E872A" w:rsidR="00CC4FB7" w:rsidRDefault="00A454D2" w:rsidP="0032381E">
            <w:pPr>
              <w:widowControl w:val="0"/>
              <w:pBdr>
                <w:top w:val="nil"/>
                <w:left w:val="nil"/>
                <w:bottom w:val="nil"/>
                <w:right w:val="nil"/>
                <w:between w:val="nil"/>
              </w:pBdr>
            </w:pPr>
            <w:r>
              <w:t>10, 11, 12, 24, 27, 33, 36, 48, 51, 57, 61, 74, 77</w:t>
            </w:r>
          </w:p>
        </w:tc>
      </w:tr>
      <w:tr w:rsidR="00B25466" w14:paraId="627D374D" w14:textId="77777777" w:rsidTr="0032381E">
        <w:tc>
          <w:tcPr>
            <w:tcW w:w="4440" w:type="dxa"/>
            <w:tcMar>
              <w:top w:w="100" w:type="dxa"/>
              <w:left w:w="100" w:type="dxa"/>
              <w:bottom w:w="100" w:type="dxa"/>
              <w:right w:w="100" w:type="dxa"/>
            </w:tcMar>
          </w:tcPr>
          <w:p w14:paraId="32350AF1" w14:textId="77777777" w:rsidR="00B25466" w:rsidRPr="00B25466" w:rsidRDefault="00B25466" w:rsidP="00B25466">
            <w:pPr>
              <w:widowControl w:val="0"/>
              <w:pBdr>
                <w:top w:val="nil"/>
                <w:left w:val="nil"/>
                <w:bottom w:val="nil"/>
                <w:right w:val="nil"/>
                <w:between w:val="nil"/>
              </w:pBdr>
            </w:pPr>
            <w:r w:rsidRPr="00B25466">
              <w:rPr>
                <w:i/>
                <w:iCs/>
              </w:rPr>
              <w:lastRenderedPageBreak/>
              <w:t xml:space="preserve">R v Consolidated Homes Ltd., </w:t>
            </w:r>
            <w:r w:rsidRPr="00B25466">
              <w:t>2025 ONCA 41</w:t>
            </w:r>
          </w:p>
          <w:p w14:paraId="296650C1" w14:textId="37F18BFA" w:rsidR="00B25466" w:rsidRPr="00A454D2" w:rsidRDefault="00B25466" w:rsidP="00B25466">
            <w:pPr>
              <w:widowControl w:val="0"/>
              <w:pBdr>
                <w:top w:val="nil"/>
                <w:left w:val="nil"/>
                <w:bottom w:val="nil"/>
                <w:right w:val="nil"/>
                <w:between w:val="nil"/>
              </w:pBdr>
              <w:rPr>
                <w:i/>
                <w:iCs/>
              </w:rPr>
            </w:pPr>
            <w:r w:rsidRPr="00B25466">
              <w:t>[ONCA]</w:t>
            </w:r>
          </w:p>
        </w:tc>
        <w:tc>
          <w:tcPr>
            <w:tcW w:w="4440" w:type="dxa"/>
            <w:tcMar>
              <w:top w:w="100" w:type="dxa"/>
              <w:left w:w="100" w:type="dxa"/>
              <w:bottom w:w="100" w:type="dxa"/>
              <w:right w:w="100" w:type="dxa"/>
            </w:tcMar>
          </w:tcPr>
          <w:p w14:paraId="5534B7D5" w14:textId="05656F94" w:rsidR="00B25466" w:rsidRDefault="00B25466" w:rsidP="0032381E">
            <w:pPr>
              <w:widowControl w:val="0"/>
              <w:pBdr>
                <w:top w:val="nil"/>
                <w:left w:val="nil"/>
                <w:bottom w:val="nil"/>
                <w:right w:val="nil"/>
                <w:between w:val="nil"/>
              </w:pBdr>
            </w:pPr>
            <w:r>
              <w:t>56</w:t>
            </w:r>
          </w:p>
        </w:tc>
      </w:tr>
      <w:tr w:rsidR="00B25466" w14:paraId="2BBCAC3E" w14:textId="77777777" w:rsidTr="0032381E">
        <w:tc>
          <w:tcPr>
            <w:tcW w:w="4440" w:type="dxa"/>
            <w:tcMar>
              <w:top w:w="100" w:type="dxa"/>
              <w:left w:w="100" w:type="dxa"/>
              <w:bottom w:w="100" w:type="dxa"/>
              <w:right w:w="100" w:type="dxa"/>
            </w:tcMar>
          </w:tcPr>
          <w:p w14:paraId="5FE622EA" w14:textId="3C61A99E" w:rsidR="00B25466" w:rsidRPr="00A454D2" w:rsidRDefault="00B25466" w:rsidP="0032381E">
            <w:pPr>
              <w:widowControl w:val="0"/>
              <w:pBdr>
                <w:top w:val="nil"/>
                <w:left w:val="nil"/>
                <w:bottom w:val="nil"/>
                <w:right w:val="nil"/>
                <w:between w:val="nil"/>
              </w:pBdr>
              <w:rPr>
                <w:i/>
                <w:iCs/>
              </w:rPr>
            </w:pPr>
            <w:r w:rsidRPr="00B25466">
              <w:rPr>
                <w:i/>
                <w:iCs/>
              </w:rPr>
              <w:t xml:space="preserve">R v Abbey, </w:t>
            </w:r>
            <w:r w:rsidRPr="00B25466">
              <w:t>1982 CanLII 25, 1982 CarswellBC 230</w:t>
            </w:r>
            <w:r w:rsidR="00D23EBF">
              <w:t xml:space="preserve"> </w:t>
            </w:r>
          </w:p>
        </w:tc>
        <w:tc>
          <w:tcPr>
            <w:tcW w:w="4440" w:type="dxa"/>
            <w:tcMar>
              <w:top w:w="100" w:type="dxa"/>
              <w:left w:w="100" w:type="dxa"/>
              <w:bottom w:w="100" w:type="dxa"/>
              <w:right w:w="100" w:type="dxa"/>
            </w:tcMar>
          </w:tcPr>
          <w:p w14:paraId="1AD65662" w14:textId="29A1008E" w:rsidR="00B25466" w:rsidRDefault="00B25466" w:rsidP="0032381E">
            <w:pPr>
              <w:widowControl w:val="0"/>
              <w:pBdr>
                <w:top w:val="nil"/>
                <w:left w:val="nil"/>
                <w:bottom w:val="nil"/>
                <w:right w:val="nil"/>
                <w:between w:val="nil"/>
              </w:pBdr>
            </w:pPr>
            <w:r>
              <w:t>32</w:t>
            </w:r>
          </w:p>
        </w:tc>
      </w:tr>
      <w:tr w:rsidR="00B25466" w14:paraId="4465F656" w14:textId="77777777" w:rsidTr="0032381E">
        <w:tc>
          <w:tcPr>
            <w:tcW w:w="4440" w:type="dxa"/>
            <w:tcMar>
              <w:top w:w="100" w:type="dxa"/>
              <w:left w:w="100" w:type="dxa"/>
              <w:bottom w:w="100" w:type="dxa"/>
              <w:right w:w="100" w:type="dxa"/>
            </w:tcMar>
          </w:tcPr>
          <w:p w14:paraId="41C44676" w14:textId="3F46FD40" w:rsidR="00B25466" w:rsidRPr="00B25466" w:rsidRDefault="00B25466" w:rsidP="0032381E">
            <w:pPr>
              <w:widowControl w:val="0"/>
              <w:pBdr>
                <w:top w:val="nil"/>
                <w:left w:val="nil"/>
                <w:bottom w:val="nil"/>
                <w:right w:val="nil"/>
                <w:between w:val="nil"/>
              </w:pBdr>
              <w:rPr>
                <w:i/>
                <w:iCs/>
              </w:rPr>
            </w:pPr>
            <w:r w:rsidRPr="00B25466">
              <w:rPr>
                <w:i/>
                <w:iCs/>
              </w:rPr>
              <w:t xml:space="preserve">R v Lavallee, </w:t>
            </w:r>
            <w:r w:rsidRPr="00B25466">
              <w:t>1990 CanLII 95, 1990 CarswellMan 377 at p 44 (SCC) [</w:t>
            </w:r>
            <w:r w:rsidRPr="00D23EBF">
              <w:rPr>
                <w:i/>
                <w:iCs/>
              </w:rPr>
              <w:t>Lavallee</w:t>
            </w:r>
            <w:r w:rsidRPr="00B25466">
              <w:t>].</w:t>
            </w:r>
          </w:p>
        </w:tc>
        <w:tc>
          <w:tcPr>
            <w:tcW w:w="4440" w:type="dxa"/>
            <w:tcMar>
              <w:top w:w="100" w:type="dxa"/>
              <w:left w:w="100" w:type="dxa"/>
              <w:bottom w:w="100" w:type="dxa"/>
              <w:right w:w="100" w:type="dxa"/>
            </w:tcMar>
          </w:tcPr>
          <w:p w14:paraId="21D0053F" w14:textId="1A117910" w:rsidR="00B25466" w:rsidRDefault="00B25466" w:rsidP="0032381E">
            <w:pPr>
              <w:widowControl w:val="0"/>
              <w:pBdr>
                <w:top w:val="nil"/>
                <w:left w:val="nil"/>
                <w:bottom w:val="nil"/>
                <w:right w:val="nil"/>
                <w:between w:val="nil"/>
              </w:pBdr>
            </w:pPr>
            <w:r>
              <w:t>32, 33</w:t>
            </w:r>
          </w:p>
        </w:tc>
      </w:tr>
      <w:tr w:rsidR="00A454D2" w14:paraId="5883390E" w14:textId="77777777" w:rsidTr="0032381E">
        <w:tc>
          <w:tcPr>
            <w:tcW w:w="4440" w:type="dxa"/>
            <w:tcMar>
              <w:top w:w="100" w:type="dxa"/>
              <w:left w:w="100" w:type="dxa"/>
              <w:bottom w:w="100" w:type="dxa"/>
              <w:right w:w="100" w:type="dxa"/>
            </w:tcMar>
          </w:tcPr>
          <w:p w14:paraId="7566225B" w14:textId="687433D1" w:rsidR="00A454D2" w:rsidRPr="00A454D2" w:rsidRDefault="00A454D2" w:rsidP="0032381E">
            <w:pPr>
              <w:widowControl w:val="0"/>
              <w:pBdr>
                <w:top w:val="nil"/>
                <w:left w:val="nil"/>
                <w:bottom w:val="nil"/>
                <w:right w:val="nil"/>
                <w:between w:val="nil"/>
              </w:pBdr>
              <w:rPr>
                <w:i/>
                <w:iCs/>
              </w:rPr>
            </w:pPr>
            <w:r w:rsidRPr="00A454D2">
              <w:rPr>
                <w:i/>
                <w:iCs/>
              </w:rPr>
              <w:t xml:space="preserve">R v Savoy, </w:t>
            </w:r>
            <w:r w:rsidRPr="00A454D2">
              <w:t>1997 CarswellBC 315 6 C.R. (5th) 61 (BCCA).</w:t>
            </w:r>
            <w:r w:rsidR="00D23EBF">
              <w:t xml:space="preserve"> </w:t>
            </w:r>
          </w:p>
        </w:tc>
        <w:tc>
          <w:tcPr>
            <w:tcW w:w="4440" w:type="dxa"/>
            <w:tcMar>
              <w:top w:w="100" w:type="dxa"/>
              <w:left w:w="100" w:type="dxa"/>
              <w:bottom w:w="100" w:type="dxa"/>
              <w:right w:w="100" w:type="dxa"/>
            </w:tcMar>
          </w:tcPr>
          <w:p w14:paraId="6A40F1A5" w14:textId="6E3AA967" w:rsidR="00A454D2" w:rsidRDefault="00A454D2" w:rsidP="0032381E">
            <w:pPr>
              <w:widowControl w:val="0"/>
              <w:pBdr>
                <w:top w:val="nil"/>
                <w:left w:val="nil"/>
                <w:bottom w:val="nil"/>
                <w:right w:val="nil"/>
                <w:between w:val="nil"/>
              </w:pBdr>
            </w:pPr>
            <w:r>
              <w:t>23</w:t>
            </w:r>
          </w:p>
        </w:tc>
      </w:tr>
      <w:tr w:rsidR="00B25466" w14:paraId="56FF0A3C" w14:textId="77777777" w:rsidTr="0032381E">
        <w:tc>
          <w:tcPr>
            <w:tcW w:w="4440" w:type="dxa"/>
            <w:tcMar>
              <w:top w:w="100" w:type="dxa"/>
              <w:left w:w="100" w:type="dxa"/>
              <w:bottom w:w="100" w:type="dxa"/>
              <w:right w:w="100" w:type="dxa"/>
            </w:tcMar>
          </w:tcPr>
          <w:p w14:paraId="06C4350E" w14:textId="4BB2CEAA" w:rsidR="00B25466" w:rsidRPr="00A454D2" w:rsidRDefault="00B25466" w:rsidP="0032381E">
            <w:pPr>
              <w:widowControl w:val="0"/>
              <w:pBdr>
                <w:top w:val="nil"/>
                <w:left w:val="nil"/>
                <w:bottom w:val="nil"/>
                <w:right w:val="nil"/>
                <w:between w:val="nil"/>
              </w:pBdr>
              <w:rPr>
                <w:i/>
                <w:iCs/>
              </w:rPr>
            </w:pPr>
            <w:r w:rsidRPr="00B25466">
              <w:rPr>
                <w:i/>
                <w:iCs/>
              </w:rPr>
              <w:t xml:space="preserve">R. v. Schneider, </w:t>
            </w:r>
            <w:r w:rsidRPr="00B25466">
              <w:t>2022 SCC 34 (CanLII), [2022] 2 SCR 619</w:t>
            </w:r>
            <w:r w:rsidRPr="00B25466">
              <w:rPr>
                <w:i/>
                <w:iCs/>
              </w:rPr>
              <w:t>. [Schneider]</w:t>
            </w:r>
          </w:p>
        </w:tc>
        <w:tc>
          <w:tcPr>
            <w:tcW w:w="4440" w:type="dxa"/>
            <w:tcMar>
              <w:top w:w="100" w:type="dxa"/>
              <w:left w:w="100" w:type="dxa"/>
              <w:bottom w:w="100" w:type="dxa"/>
              <w:right w:w="100" w:type="dxa"/>
            </w:tcMar>
          </w:tcPr>
          <w:p w14:paraId="3034070B" w14:textId="6C04B044" w:rsidR="00B25466" w:rsidRDefault="00B25466" w:rsidP="0032381E">
            <w:pPr>
              <w:widowControl w:val="0"/>
              <w:pBdr>
                <w:top w:val="nil"/>
                <w:left w:val="nil"/>
                <w:bottom w:val="nil"/>
                <w:right w:val="nil"/>
                <w:between w:val="nil"/>
              </w:pBdr>
            </w:pPr>
            <w:r>
              <w:t>31, 34</w:t>
            </w:r>
          </w:p>
        </w:tc>
      </w:tr>
      <w:tr w:rsidR="00A454D2" w14:paraId="3B55A4E9" w14:textId="77777777" w:rsidTr="0032381E">
        <w:tc>
          <w:tcPr>
            <w:tcW w:w="4440" w:type="dxa"/>
            <w:tcMar>
              <w:top w:w="100" w:type="dxa"/>
              <w:left w:w="100" w:type="dxa"/>
              <w:bottom w:w="100" w:type="dxa"/>
              <w:right w:w="100" w:type="dxa"/>
            </w:tcMar>
          </w:tcPr>
          <w:p w14:paraId="1240BA17" w14:textId="1454D367" w:rsidR="00A454D2" w:rsidRPr="00A454D2" w:rsidRDefault="00A454D2" w:rsidP="0032381E">
            <w:pPr>
              <w:widowControl w:val="0"/>
              <w:pBdr>
                <w:top w:val="nil"/>
                <w:left w:val="nil"/>
                <w:bottom w:val="nil"/>
                <w:right w:val="nil"/>
                <w:between w:val="nil"/>
              </w:pBdr>
              <w:rPr>
                <w:i/>
                <w:iCs/>
              </w:rPr>
            </w:pPr>
            <w:r w:rsidRPr="00A454D2">
              <w:rPr>
                <w:i/>
                <w:iCs/>
              </w:rPr>
              <w:t xml:space="preserve">R v Simpson, </w:t>
            </w:r>
            <w:r w:rsidRPr="00A454D2">
              <w:t>1998 CanLII 89, [1988] 1 SCR 3 (SCC).</w:t>
            </w:r>
            <w:r w:rsidR="00AB2296">
              <w:t xml:space="preserve"> </w:t>
            </w:r>
          </w:p>
        </w:tc>
        <w:tc>
          <w:tcPr>
            <w:tcW w:w="4440" w:type="dxa"/>
            <w:tcMar>
              <w:top w:w="100" w:type="dxa"/>
              <w:left w:w="100" w:type="dxa"/>
              <w:bottom w:w="100" w:type="dxa"/>
              <w:right w:w="100" w:type="dxa"/>
            </w:tcMar>
          </w:tcPr>
          <w:p w14:paraId="582FC2EB" w14:textId="7755BE00" w:rsidR="00A454D2" w:rsidRDefault="00A454D2" w:rsidP="0032381E">
            <w:pPr>
              <w:widowControl w:val="0"/>
              <w:pBdr>
                <w:top w:val="nil"/>
                <w:left w:val="nil"/>
                <w:bottom w:val="nil"/>
                <w:right w:val="nil"/>
                <w:between w:val="nil"/>
              </w:pBdr>
            </w:pPr>
            <w:r>
              <w:t>18</w:t>
            </w:r>
          </w:p>
        </w:tc>
      </w:tr>
      <w:tr w:rsidR="00A454D2" w14:paraId="2A7E74E3" w14:textId="77777777" w:rsidTr="0032381E">
        <w:tc>
          <w:tcPr>
            <w:tcW w:w="4440" w:type="dxa"/>
            <w:tcMar>
              <w:top w:w="100" w:type="dxa"/>
              <w:left w:w="100" w:type="dxa"/>
              <w:bottom w:w="100" w:type="dxa"/>
              <w:right w:w="100" w:type="dxa"/>
            </w:tcMar>
          </w:tcPr>
          <w:p w14:paraId="23632AC9" w14:textId="27A97BEB" w:rsidR="00A454D2" w:rsidRDefault="00A454D2" w:rsidP="0032381E">
            <w:pPr>
              <w:widowControl w:val="0"/>
              <w:pBdr>
                <w:top w:val="nil"/>
                <w:left w:val="nil"/>
                <w:bottom w:val="nil"/>
                <w:right w:val="nil"/>
                <w:between w:val="nil"/>
              </w:pBdr>
            </w:pPr>
            <w:r w:rsidRPr="00A454D2">
              <w:rPr>
                <w:i/>
                <w:iCs/>
              </w:rPr>
              <w:t>R v Starr</w:t>
            </w:r>
            <w:r w:rsidRPr="00A454D2">
              <w:t>, 2000 SCC 40.</w:t>
            </w:r>
            <w:r w:rsidR="00AB2296">
              <w:t xml:space="preserve"> </w:t>
            </w:r>
          </w:p>
        </w:tc>
        <w:tc>
          <w:tcPr>
            <w:tcW w:w="4440" w:type="dxa"/>
            <w:tcMar>
              <w:top w:w="100" w:type="dxa"/>
              <w:left w:w="100" w:type="dxa"/>
              <w:bottom w:w="100" w:type="dxa"/>
              <w:right w:w="100" w:type="dxa"/>
            </w:tcMar>
          </w:tcPr>
          <w:p w14:paraId="2E6D19AB" w14:textId="2CB506BE" w:rsidR="00A454D2" w:rsidRDefault="00A454D2" w:rsidP="0032381E">
            <w:pPr>
              <w:widowControl w:val="0"/>
              <w:pBdr>
                <w:top w:val="nil"/>
                <w:left w:val="nil"/>
                <w:bottom w:val="nil"/>
                <w:right w:val="nil"/>
                <w:between w:val="nil"/>
              </w:pBdr>
            </w:pPr>
            <w:r>
              <w:t>18</w:t>
            </w:r>
          </w:p>
        </w:tc>
      </w:tr>
      <w:tr w:rsidR="00A454D2" w14:paraId="2EC79254" w14:textId="77777777" w:rsidTr="0032381E">
        <w:tc>
          <w:tcPr>
            <w:tcW w:w="4440" w:type="dxa"/>
            <w:tcMar>
              <w:top w:w="100" w:type="dxa"/>
              <w:left w:w="100" w:type="dxa"/>
              <w:bottom w:w="100" w:type="dxa"/>
              <w:right w:w="100" w:type="dxa"/>
            </w:tcMar>
          </w:tcPr>
          <w:p w14:paraId="16D72C37" w14:textId="7A8E6C3C" w:rsidR="00A454D2" w:rsidRPr="00A454D2" w:rsidRDefault="00A454D2" w:rsidP="0032381E">
            <w:pPr>
              <w:widowControl w:val="0"/>
              <w:pBdr>
                <w:top w:val="nil"/>
                <w:left w:val="nil"/>
                <w:bottom w:val="nil"/>
                <w:right w:val="nil"/>
                <w:between w:val="nil"/>
              </w:pBdr>
              <w:rPr>
                <w:i/>
                <w:iCs/>
              </w:rPr>
            </w:pPr>
            <w:r w:rsidRPr="00A454D2">
              <w:rPr>
                <w:i/>
                <w:iCs/>
              </w:rPr>
              <w:t xml:space="preserve">R v White, </w:t>
            </w:r>
            <w:r w:rsidRPr="00A454D2">
              <w:t xml:space="preserve">2011 SCC 13 </w:t>
            </w:r>
            <w:r w:rsidRPr="00A454D2">
              <w:rPr>
                <w:i/>
                <w:iCs/>
              </w:rPr>
              <w:t>[White].</w:t>
            </w:r>
          </w:p>
        </w:tc>
        <w:tc>
          <w:tcPr>
            <w:tcW w:w="4440" w:type="dxa"/>
            <w:tcMar>
              <w:top w:w="100" w:type="dxa"/>
              <w:left w:w="100" w:type="dxa"/>
              <w:bottom w:w="100" w:type="dxa"/>
              <w:right w:w="100" w:type="dxa"/>
            </w:tcMar>
          </w:tcPr>
          <w:p w14:paraId="57C8007D" w14:textId="4F301D17" w:rsidR="00A454D2" w:rsidRDefault="00B25466" w:rsidP="0032381E">
            <w:pPr>
              <w:widowControl w:val="0"/>
              <w:pBdr>
                <w:top w:val="nil"/>
                <w:left w:val="nil"/>
                <w:bottom w:val="nil"/>
                <w:right w:val="nil"/>
                <w:between w:val="nil"/>
              </w:pBdr>
            </w:pPr>
            <w:r>
              <w:t>28, 44</w:t>
            </w:r>
          </w:p>
        </w:tc>
      </w:tr>
      <w:tr w:rsidR="005C7CCB" w14:paraId="1B93C1B9" w14:textId="77777777" w:rsidTr="0032381E">
        <w:tc>
          <w:tcPr>
            <w:tcW w:w="4440" w:type="dxa"/>
            <w:tcMar>
              <w:top w:w="100" w:type="dxa"/>
              <w:left w:w="100" w:type="dxa"/>
              <w:bottom w:w="100" w:type="dxa"/>
              <w:right w:w="100" w:type="dxa"/>
            </w:tcMar>
          </w:tcPr>
          <w:p w14:paraId="49773BF7" w14:textId="28C8999F" w:rsidR="005C7CCB" w:rsidRPr="00A454D2" w:rsidRDefault="005C7CCB" w:rsidP="005C7CCB">
            <w:pPr>
              <w:widowControl w:val="0"/>
              <w:pBdr>
                <w:top w:val="nil"/>
                <w:left w:val="nil"/>
                <w:bottom w:val="nil"/>
                <w:right w:val="nil"/>
                <w:between w:val="nil"/>
              </w:pBdr>
              <w:rPr>
                <w:i/>
                <w:iCs/>
              </w:rPr>
            </w:pPr>
            <w:r w:rsidRPr="005C7CCB">
              <w:rPr>
                <w:i/>
                <w:iCs/>
              </w:rPr>
              <w:t xml:space="preserve">Tran v. Canada (Public Safety and Emergency Preparedness), </w:t>
            </w:r>
            <w:r w:rsidRPr="005C7CCB">
              <w:t>2017 SCC 50 at para 31</w:t>
            </w:r>
          </w:p>
        </w:tc>
        <w:tc>
          <w:tcPr>
            <w:tcW w:w="4440" w:type="dxa"/>
            <w:tcMar>
              <w:top w:w="100" w:type="dxa"/>
              <w:left w:w="100" w:type="dxa"/>
              <w:bottom w:w="100" w:type="dxa"/>
              <w:right w:w="100" w:type="dxa"/>
            </w:tcMar>
          </w:tcPr>
          <w:p w14:paraId="7E44418D" w14:textId="592BBF2D" w:rsidR="005C7CCB" w:rsidRDefault="005C7CCB" w:rsidP="0032381E">
            <w:pPr>
              <w:widowControl w:val="0"/>
              <w:pBdr>
                <w:top w:val="nil"/>
                <w:left w:val="nil"/>
                <w:bottom w:val="nil"/>
                <w:right w:val="nil"/>
                <w:between w:val="nil"/>
              </w:pBdr>
            </w:pPr>
            <w:r>
              <w:t>8</w:t>
            </w:r>
            <w:r w:rsidR="00DF7B13">
              <w:t>1</w:t>
            </w:r>
          </w:p>
        </w:tc>
      </w:tr>
      <w:tr w:rsidR="00A454D2" w14:paraId="47051F8B" w14:textId="77777777" w:rsidTr="0032381E">
        <w:tc>
          <w:tcPr>
            <w:tcW w:w="4440" w:type="dxa"/>
            <w:tcMar>
              <w:top w:w="100" w:type="dxa"/>
              <w:left w:w="100" w:type="dxa"/>
              <w:bottom w:w="100" w:type="dxa"/>
              <w:right w:w="100" w:type="dxa"/>
            </w:tcMar>
          </w:tcPr>
          <w:p w14:paraId="2D885296" w14:textId="4DD31FA0" w:rsidR="00A454D2" w:rsidRDefault="00A454D2" w:rsidP="0032381E">
            <w:pPr>
              <w:widowControl w:val="0"/>
              <w:pBdr>
                <w:top w:val="nil"/>
                <w:left w:val="nil"/>
                <w:bottom w:val="nil"/>
                <w:right w:val="nil"/>
                <w:between w:val="nil"/>
              </w:pBdr>
            </w:pPr>
            <w:r w:rsidRPr="00A454D2">
              <w:rPr>
                <w:i/>
                <w:iCs/>
              </w:rPr>
              <w:t>Rizzo &amp; Rizzo Shoes Ltd. (Re),</w:t>
            </w:r>
            <w:r w:rsidRPr="00A454D2">
              <w:t xml:space="preserve"> 1998 CanLII 837, [1998] 1 SCR 27 (SCC) [</w:t>
            </w:r>
            <w:r w:rsidRPr="00AB2296">
              <w:rPr>
                <w:i/>
                <w:iCs/>
              </w:rPr>
              <w:t>Rizzo</w:t>
            </w:r>
            <w:r w:rsidRPr="00A454D2">
              <w:t>].</w:t>
            </w:r>
          </w:p>
        </w:tc>
        <w:tc>
          <w:tcPr>
            <w:tcW w:w="4440" w:type="dxa"/>
            <w:tcMar>
              <w:top w:w="100" w:type="dxa"/>
              <w:left w:w="100" w:type="dxa"/>
              <w:bottom w:w="100" w:type="dxa"/>
              <w:right w:w="100" w:type="dxa"/>
            </w:tcMar>
          </w:tcPr>
          <w:p w14:paraId="61D517F6" w14:textId="582C9298" w:rsidR="00A454D2" w:rsidRDefault="00A454D2" w:rsidP="0032381E">
            <w:pPr>
              <w:widowControl w:val="0"/>
              <w:pBdr>
                <w:top w:val="nil"/>
                <w:left w:val="nil"/>
                <w:bottom w:val="nil"/>
                <w:right w:val="nil"/>
                <w:between w:val="nil"/>
              </w:pBdr>
            </w:pPr>
            <w:r>
              <w:t>19, 58, 82</w:t>
            </w:r>
          </w:p>
        </w:tc>
      </w:tr>
      <w:tr w:rsidR="00A454D2" w14:paraId="15333297" w14:textId="77777777" w:rsidTr="0032381E">
        <w:tc>
          <w:tcPr>
            <w:tcW w:w="4440" w:type="dxa"/>
            <w:tcMar>
              <w:top w:w="100" w:type="dxa"/>
              <w:left w:w="100" w:type="dxa"/>
              <w:bottom w:w="100" w:type="dxa"/>
              <w:right w:w="100" w:type="dxa"/>
            </w:tcMar>
          </w:tcPr>
          <w:p w14:paraId="7151350C" w14:textId="78CDE129" w:rsidR="00A454D2" w:rsidRDefault="005C7CCB" w:rsidP="0032381E">
            <w:pPr>
              <w:widowControl w:val="0"/>
              <w:pBdr>
                <w:top w:val="nil"/>
                <w:left w:val="nil"/>
                <w:bottom w:val="nil"/>
                <w:right w:val="nil"/>
                <w:between w:val="nil"/>
              </w:pBdr>
            </w:pPr>
            <w:r w:rsidRPr="005C7CCB">
              <w:rPr>
                <w:i/>
                <w:iCs/>
              </w:rPr>
              <w:t>Wildlands League v Lieutenant Governor in Council,</w:t>
            </w:r>
            <w:r w:rsidRPr="005C7CCB">
              <w:t xml:space="preserve"> 2015 ONSC 2942 </w:t>
            </w:r>
            <w:r>
              <w:t>[</w:t>
            </w:r>
            <w:r w:rsidRPr="005C7CCB">
              <w:rPr>
                <w:i/>
                <w:iCs/>
              </w:rPr>
              <w:t>Wildlands</w:t>
            </w:r>
            <w:r>
              <w:t xml:space="preserve"> ONSC] </w:t>
            </w:r>
          </w:p>
        </w:tc>
        <w:tc>
          <w:tcPr>
            <w:tcW w:w="4440" w:type="dxa"/>
            <w:tcMar>
              <w:top w:w="100" w:type="dxa"/>
              <w:left w:w="100" w:type="dxa"/>
              <w:bottom w:w="100" w:type="dxa"/>
              <w:right w:w="100" w:type="dxa"/>
            </w:tcMar>
          </w:tcPr>
          <w:p w14:paraId="536CEFAA" w14:textId="2EDA38A8" w:rsidR="00A454D2" w:rsidRDefault="005C7CCB" w:rsidP="0032381E">
            <w:pPr>
              <w:widowControl w:val="0"/>
              <w:pBdr>
                <w:top w:val="nil"/>
                <w:left w:val="nil"/>
                <w:bottom w:val="nil"/>
                <w:right w:val="nil"/>
                <w:between w:val="nil"/>
              </w:pBdr>
            </w:pPr>
            <w:r>
              <w:t>66, 72, 82</w:t>
            </w:r>
          </w:p>
        </w:tc>
      </w:tr>
      <w:tr w:rsidR="005C7CCB" w14:paraId="7F5447C6" w14:textId="77777777" w:rsidTr="0032381E">
        <w:tc>
          <w:tcPr>
            <w:tcW w:w="4440" w:type="dxa"/>
            <w:tcMar>
              <w:top w:w="100" w:type="dxa"/>
              <w:left w:w="100" w:type="dxa"/>
              <w:bottom w:w="100" w:type="dxa"/>
              <w:right w:w="100" w:type="dxa"/>
            </w:tcMar>
          </w:tcPr>
          <w:p w14:paraId="1430BE9F" w14:textId="130B01DB" w:rsidR="005C7CCB" w:rsidRDefault="005C7CCB" w:rsidP="0032381E">
            <w:pPr>
              <w:widowControl w:val="0"/>
              <w:pBdr>
                <w:top w:val="nil"/>
                <w:left w:val="nil"/>
                <w:bottom w:val="nil"/>
                <w:right w:val="nil"/>
                <w:between w:val="nil"/>
              </w:pBdr>
            </w:pPr>
            <w:r w:rsidRPr="005C7CCB">
              <w:rPr>
                <w:i/>
                <w:iCs/>
              </w:rPr>
              <w:t>Wildlands League v. Ontario (Natural Resources and Forestry),</w:t>
            </w:r>
            <w:r w:rsidRPr="005C7CCB">
              <w:t xml:space="preserve"> 2016 ONCA 741 </w:t>
            </w:r>
            <w:r>
              <w:t>[</w:t>
            </w:r>
            <w:r w:rsidRPr="005C7CCB">
              <w:rPr>
                <w:i/>
                <w:iCs/>
              </w:rPr>
              <w:t>Wildlands</w:t>
            </w:r>
            <w:r>
              <w:t xml:space="preserve"> ONCA] </w:t>
            </w:r>
          </w:p>
        </w:tc>
        <w:tc>
          <w:tcPr>
            <w:tcW w:w="4440" w:type="dxa"/>
            <w:tcMar>
              <w:top w:w="100" w:type="dxa"/>
              <w:left w:w="100" w:type="dxa"/>
              <w:bottom w:w="100" w:type="dxa"/>
              <w:right w:w="100" w:type="dxa"/>
            </w:tcMar>
          </w:tcPr>
          <w:p w14:paraId="2D0DA3DE" w14:textId="33B9F3F1" w:rsidR="005C7CCB" w:rsidRDefault="005C7CCB" w:rsidP="0032381E">
            <w:pPr>
              <w:widowControl w:val="0"/>
              <w:pBdr>
                <w:top w:val="nil"/>
                <w:left w:val="nil"/>
                <w:bottom w:val="nil"/>
                <w:right w:val="nil"/>
                <w:between w:val="nil"/>
              </w:pBdr>
            </w:pPr>
            <w:r>
              <w:t>72, 73</w:t>
            </w:r>
          </w:p>
        </w:tc>
      </w:tr>
    </w:tbl>
    <w:p w14:paraId="0DC7B52C" w14:textId="2C41AF34" w:rsidR="00471DA0" w:rsidRDefault="00471DA0" w:rsidP="00471DA0">
      <w:pPr>
        <w:pStyle w:val="Heading1"/>
        <w:tabs>
          <w:tab w:val="num" w:pos="720"/>
        </w:tabs>
        <w:spacing w:before="0" w:after="0" w:line="360" w:lineRule="auto"/>
        <w:ind w:left="720" w:hanging="720"/>
        <w:rPr>
          <w:rFonts w:ascii="Times New Roman" w:hAnsi="Times New Roman"/>
          <w:sz w:val="24"/>
          <w:szCs w:val="24"/>
        </w:rPr>
      </w:pPr>
      <w:r>
        <w:br w:type="page"/>
      </w:r>
      <w:bookmarkStart w:id="28" w:name="_Toc220019294"/>
      <w:r>
        <w:rPr>
          <w:rFonts w:ascii="Times New Roman" w:hAnsi="Times New Roman"/>
          <w:sz w:val="24"/>
          <w:szCs w:val="24"/>
        </w:rPr>
        <w:lastRenderedPageBreak/>
        <w:t>LEGISLATION AT ISSUE</w:t>
      </w:r>
      <w:bookmarkEnd w:id="28"/>
      <w:r w:rsidR="0024187B">
        <w:rPr>
          <w:rFonts w:ascii="Times New Roman" w:hAnsi="Times New Roman"/>
          <w:sz w:val="24"/>
          <w:szCs w:val="24"/>
        </w:rPr>
        <w:t xml:space="preserve"> </w:t>
      </w:r>
    </w:p>
    <w:p w14:paraId="107ACA89" w14:textId="77777777" w:rsidR="008E2866" w:rsidRDefault="008E2866" w:rsidP="008E2866">
      <w:pPr>
        <w:pStyle w:val="NormalWeb"/>
        <w:spacing w:before="0" w:beforeAutospacing="0" w:after="0" w:afterAutospacing="0"/>
      </w:pPr>
      <w:r>
        <w:rPr>
          <w:b/>
          <w:bCs/>
          <w:i/>
          <w:iCs/>
          <w:color w:val="000000"/>
        </w:rPr>
        <w:t>Endangered Species Act,</w:t>
      </w:r>
      <w:r>
        <w:rPr>
          <w:b/>
          <w:bCs/>
          <w:color w:val="000000"/>
        </w:rPr>
        <w:t xml:space="preserve"> 2007, SO 2007, c 6, s 2</w:t>
      </w:r>
    </w:p>
    <w:p w14:paraId="51B8A663" w14:textId="77777777" w:rsidR="008E2866" w:rsidRDefault="008E2866" w:rsidP="008E2866">
      <w:pPr>
        <w:pStyle w:val="NormalWeb"/>
        <w:spacing w:before="0" w:beforeAutospacing="0" w:after="0" w:afterAutospacing="0"/>
      </w:pPr>
      <w:r>
        <w:rPr>
          <w:b/>
          <w:bCs/>
          <w:color w:val="000000"/>
        </w:rPr>
        <w:t>2</w:t>
      </w:r>
      <w:r>
        <w:rPr>
          <w:color w:val="000000"/>
        </w:rPr>
        <w:t xml:space="preserve"> (1) “habitat” means,</w:t>
      </w:r>
    </w:p>
    <w:p w14:paraId="33D3FBC8" w14:textId="77777777" w:rsidR="008E2866" w:rsidRDefault="008E2866" w:rsidP="008E2866">
      <w:pPr>
        <w:pStyle w:val="NormalWeb"/>
        <w:spacing w:before="0" w:beforeAutospacing="0" w:after="0" w:afterAutospacing="0"/>
        <w:ind w:left="720"/>
      </w:pPr>
      <w:r>
        <w:rPr>
          <w:color w:val="000000"/>
        </w:rPr>
        <w:t>(a) with respect to a species of animal, plant or other organism for which a regulation made under clause 55 (1) (a) is in force, the area prescribed by that regulation as the habitat of the species, or</w:t>
      </w:r>
    </w:p>
    <w:p w14:paraId="666EFCFF" w14:textId="77777777" w:rsidR="008E2866" w:rsidRDefault="008E2866" w:rsidP="008E2866">
      <w:pPr>
        <w:pStyle w:val="NormalWeb"/>
        <w:spacing w:before="0" w:beforeAutospacing="0" w:after="0" w:afterAutospacing="0"/>
        <w:ind w:left="720"/>
      </w:pPr>
      <w:r>
        <w:rPr>
          <w:color w:val="000000"/>
        </w:rPr>
        <w:t>(b) with respect to any other species of animal, plant or other organism, an area on which the species depends, directly or indirectly, to carry on its life processes, including life processes such as reproduction, rearing, hibernation, migration or feeding,</w:t>
      </w:r>
    </w:p>
    <w:p w14:paraId="4AECBE91" w14:textId="77777777" w:rsidR="008E2866" w:rsidRDefault="008E2866" w:rsidP="008E2866">
      <w:pPr>
        <w:pStyle w:val="NormalWeb"/>
        <w:spacing w:before="0" w:beforeAutospacing="0" w:after="0" w:afterAutospacing="0"/>
      </w:pPr>
      <w:r>
        <w:rPr>
          <w:color w:val="000000"/>
        </w:rPr>
        <w:t>and includes places in the area described in clause (a) or (b), whichever is applicable, that are used by members of the species as dens, nests, hibernacula or other residences</w:t>
      </w:r>
    </w:p>
    <w:p w14:paraId="7757AB25" w14:textId="77777777" w:rsidR="008E2866" w:rsidRDefault="008E2866" w:rsidP="008E2866"/>
    <w:p w14:paraId="794DAEE9" w14:textId="77777777" w:rsidR="008E2866" w:rsidRDefault="008E2866" w:rsidP="008E2866">
      <w:pPr>
        <w:pStyle w:val="NormalWeb"/>
        <w:spacing w:before="0" w:beforeAutospacing="0" w:after="0" w:afterAutospacing="0"/>
      </w:pPr>
      <w:r>
        <w:rPr>
          <w:color w:val="000000"/>
        </w:rPr>
        <w:t>Definition of “habitat”, cl. (b)</w:t>
      </w:r>
    </w:p>
    <w:p w14:paraId="343C263E" w14:textId="77777777" w:rsidR="008E2866" w:rsidRDefault="008E2866" w:rsidP="008E2866">
      <w:pPr>
        <w:pStyle w:val="NormalWeb"/>
        <w:spacing w:before="0" w:beforeAutospacing="0" w:after="0" w:afterAutospacing="0"/>
      </w:pPr>
      <w:r>
        <w:rPr>
          <w:b/>
          <w:bCs/>
          <w:color w:val="000000"/>
        </w:rPr>
        <w:t>2</w:t>
      </w:r>
      <w:r>
        <w:rPr>
          <w:color w:val="000000"/>
        </w:rPr>
        <w:t xml:space="preserve"> (2) For greater certainty, clause (b) of the definition of “habitat” in subsection (1) does not include an area where the species formerly occurred or has the potential to be reintroduced unless existing members of the species depend on that area to carry on their life processes.</w:t>
      </w:r>
    </w:p>
    <w:p w14:paraId="0293ED45" w14:textId="77777777" w:rsidR="008E2866" w:rsidRDefault="008E2866" w:rsidP="008E2866">
      <w:pPr>
        <w:spacing w:after="240"/>
      </w:pPr>
    </w:p>
    <w:p w14:paraId="00023441" w14:textId="77777777" w:rsidR="008E2866" w:rsidRDefault="008E2866" w:rsidP="008E2866">
      <w:pPr>
        <w:pStyle w:val="NormalWeb"/>
        <w:spacing w:before="0" w:beforeAutospacing="0" w:after="0" w:afterAutospacing="0"/>
      </w:pPr>
      <w:r>
        <w:rPr>
          <w:b/>
          <w:bCs/>
          <w:i/>
          <w:iCs/>
          <w:color w:val="000000"/>
        </w:rPr>
        <w:t>Protect Ontario by Unleashing our Economy Act</w:t>
      </w:r>
      <w:r>
        <w:rPr>
          <w:b/>
          <w:bCs/>
          <w:color w:val="000000"/>
        </w:rPr>
        <w:t>, 2025, SO 2025, c 4, Sched. 2, s 2(3)</w:t>
      </w:r>
    </w:p>
    <w:p w14:paraId="6F9B6054" w14:textId="77777777" w:rsidR="008E2866" w:rsidRDefault="008E2866" w:rsidP="008E2866">
      <w:pPr>
        <w:pStyle w:val="NormalWeb"/>
        <w:spacing w:before="0" w:beforeAutospacing="0" w:after="0" w:afterAutospacing="0"/>
      </w:pPr>
      <w:r>
        <w:rPr>
          <w:b/>
          <w:bCs/>
          <w:color w:val="000000"/>
        </w:rPr>
        <w:t xml:space="preserve">2 </w:t>
      </w:r>
      <w:r>
        <w:rPr>
          <w:color w:val="000000"/>
        </w:rPr>
        <w:t>(3) The definition of “habitat” in subsection 2 (1) of the Act is repealed and the following substituted:</w:t>
      </w:r>
    </w:p>
    <w:p w14:paraId="36CB68A0" w14:textId="77777777" w:rsidR="008E2866" w:rsidRDefault="008E2866" w:rsidP="008E2866">
      <w:pPr>
        <w:pStyle w:val="NormalWeb"/>
        <w:spacing w:before="0" w:beforeAutospacing="0" w:after="0" w:afterAutospacing="0"/>
      </w:pPr>
      <w:r>
        <w:rPr>
          <w:color w:val="000000"/>
        </w:rPr>
        <w:t>“habitat” means, subject to subsection (3),</w:t>
      </w:r>
    </w:p>
    <w:p w14:paraId="3479A39C" w14:textId="77777777" w:rsidR="008E2866" w:rsidRDefault="008E2866" w:rsidP="008E2866">
      <w:pPr>
        <w:pStyle w:val="NormalWeb"/>
        <w:spacing w:before="0" w:beforeAutospacing="0" w:after="0" w:afterAutospacing="0"/>
        <w:ind w:firstLine="720"/>
      </w:pPr>
      <w:r>
        <w:rPr>
          <w:color w:val="000000"/>
        </w:rPr>
        <w:t>(a)  in respect of an animal species,</w:t>
      </w:r>
    </w:p>
    <w:p w14:paraId="39865736" w14:textId="77777777" w:rsidR="008E2866" w:rsidRDefault="008E2866" w:rsidP="008E2866">
      <w:pPr>
        <w:pStyle w:val="NormalWeb"/>
        <w:spacing w:before="0" w:beforeAutospacing="0" w:after="0" w:afterAutospacing="0"/>
        <w:ind w:left="1440"/>
      </w:pPr>
      <w:r>
        <w:rPr>
          <w:color w:val="000000"/>
        </w:rPr>
        <w:t>(i)  a dwelling-place, such as a den, nest or other similar place, that is occupied or habitually occupied by one or more members of a species for the purposes of breeding, rearing, staging, wintering or hibernating, and</w:t>
      </w:r>
    </w:p>
    <w:p w14:paraId="71CC8DA7" w14:textId="77777777" w:rsidR="008E2866" w:rsidRDefault="008E2866" w:rsidP="008E2866">
      <w:pPr>
        <w:pStyle w:val="NormalWeb"/>
        <w:spacing w:before="0" w:beforeAutospacing="0" w:after="0" w:afterAutospacing="0"/>
        <w:ind w:left="1440"/>
      </w:pPr>
      <w:r>
        <w:rPr>
          <w:color w:val="000000"/>
        </w:rPr>
        <w:t>(ii)  the area immediately around a dwelling place described in subclause (i) that is essential for the purposes set out in that subclause.</w:t>
      </w:r>
    </w:p>
    <w:p w14:paraId="4F63341B" w14:textId="77777777" w:rsidR="008E2866" w:rsidRDefault="008E2866" w:rsidP="008E2866">
      <w:pPr>
        <w:pStyle w:val="NormalWeb"/>
        <w:spacing w:before="0" w:beforeAutospacing="0" w:after="0" w:afterAutospacing="0"/>
        <w:ind w:left="720"/>
      </w:pPr>
      <w:r>
        <w:rPr>
          <w:color w:val="000000"/>
        </w:rPr>
        <w:t>(b)  in respect of a vascular plant species, the critical root zone surrounding a member of the species, and</w:t>
      </w:r>
    </w:p>
    <w:p w14:paraId="2BD2D3FD" w14:textId="77777777" w:rsidR="008E2866" w:rsidRDefault="008E2866" w:rsidP="008E2866">
      <w:pPr>
        <w:pStyle w:val="NormalWeb"/>
        <w:spacing w:before="0" w:beforeAutospacing="0" w:after="0" w:afterAutospacing="0"/>
        <w:ind w:left="720"/>
      </w:pPr>
      <w:r>
        <w:rPr>
          <w:color w:val="000000"/>
        </w:rPr>
        <w:t>(c)  in respect of all other species, an area on which any member of a species directly depends in order to carry on its life processes; (“habitat”)</w:t>
      </w:r>
    </w:p>
    <w:p w14:paraId="521B6521" w14:textId="77777777" w:rsidR="008E2866" w:rsidRDefault="008E2866" w:rsidP="008E2866"/>
    <w:p w14:paraId="417E08DD" w14:textId="74698E08" w:rsidR="00471DA0" w:rsidRPr="00471DA0" w:rsidRDefault="00471DA0" w:rsidP="00471DA0"/>
    <w:p w14:paraId="1B26E2C0" w14:textId="77777777" w:rsidR="00A85602" w:rsidRDefault="00A85602" w:rsidP="008D22C7"/>
    <w:p w14:paraId="3DD598C5" w14:textId="77777777" w:rsidR="000623D3" w:rsidRDefault="000623D3" w:rsidP="008D22C7">
      <w:pPr>
        <w:sectPr w:rsidR="000623D3" w:rsidSect="00E91273">
          <w:pgSz w:w="12240" w:h="15840" w:code="1"/>
          <w:pgMar w:top="1440" w:right="1440" w:bottom="1440" w:left="1440" w:header="720" w:footer="720" w:gutter="0"/>
          <w:pgNumType w:start="1"/>
          <w:cols w:space="720"/>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68AC1881" w14:textId="77777777" w:rsidTr="00663B7A">
        <w:tc>
          <w:tcPr>
            <w:tcW w:w="5941" w:type="dxa"/>
            <w:tcBorders>
              <w:top w:val="nil"/>
              <w:left w:val="nil"/>
              <w:bottom w:val="nil"/>
              <w:right w:val="nil"/>
            </w:tcBorders>
          </w:tcPr>
          <w:p w14:paraId="4652A02C" w14:textId="053519BA" w:rsidR="002F3DDD" w:rsidRPr="003F436A" w:rsidRDefault="00E91273" w:rsidP="00C573D9">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6AD79352"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6B3B9ABC" w14:textId="7113FE9F" w:rsidR="00663B7A" w:rsidRDefault="00E91273" w:rsidP="00216A01">
            <w:pPr>
              <w:spacing w:line="1" w:lineRule="atLeast"/>
              <w:jc w:val="right"/>
              <w:rPr>
                <w:b/>
                <w:color w:val="000000"/>
              </w:rPr>
            </w:pPr>
            <w:r>
              <w:rPr>
                <w:b/>
                <w:color w:val="000000"/>
              </w:rPr>
              <w:t>CONSOLIDATED HOMES</w:t>
            </w:r>
            <w:r w:rsidR="00E052B6" w:rsidRPr="00B30077">
              <w:rPr>
                <w:b/>
                <w:color w:val="000000"/>
              </w:rPr>
              <w:t xml:space="preserve"> LTD.</w:t>
            </w:r>
          </w:p>
        </w:tc>
      </w:tr>
      <w:tr w:rsidR="00663B7A" w14:paraId="5627B7E1" w14:textId="77777777" w:rsidTr="00663B7A">
        <w:tc>
          <w:tcPr>
            <w:tcW w:w="5941" w:type="dxa"/>
            <w:tcBorders>
              <w:top w:val="nil"/>
              <w:left w:val="nil"/>
              <w:bottom w:val="nil"/>
              <w:right w:val="nil"/>
            </w:tcBorders>
          </w:tcPr>
          <w:p w14:paraId="2D34F098" w14:textId="6128A87E" w:rsidR="00663B7A" w:rsidRDefault="00663B7A" w:rsidP="00CE6DCA">
            <w:pPr>
              <w:spacing w:line="1" w:lineRule="atLeast"/>
              <w:rPr>
                <w:color w:val="000000"/>
              </w:rPr>
            </w:pPr>
            <w:r>
              <w:rPr>
                <w:color w:val="000000"/>
              </w:rPr>
              <w:t>APPELLANT</w:t>
            </w:r>
            <w:r>
              <w:rPr>
                <w:color w:val="000000"/>
              </w:rPr>
              <w:br/>
            </w:r>
          </w:p>
        </w:tc>
        <w:tc>
          <w:tcPr>
            <w:tcW w:w="1105" w:type="dxa"/>
            <w:tcBorders>
              <w:top w:val="nil"/>
              <w:left w:val="nil"/>
              <w:bottom w:val="nil"/>
              <w:right w:val="nil"/>
            </w:tcBorders>
          </w:tcPr>
          <w:p w14:paraId="62FEC7FD" w14:textId="77777777" w:rsidR="00663B7A" w:rsidRDefault="00663B7A" w:rsidP="001339D1">
            <w:pPr>
              <w:spacing w:line="1" w:lineRule="atLeast"/>
              <w:jc w:val="center"/>
              <w:rPr>
                <w:color w:val="000000"/>
              </w:rPr>
            </w:pPr>
          </w:p>
        </w:tc>
        <w:tc>
          <w:tcPr>
            <w:tcW w:w="5914" w:type="dxa"/>
            <w:tcBorders>
              <w:top w:val="nil"/>
              <w:left w:val="nil"/>
              <w:bottom w:val="nil"/>
              <w:right w:val="nil"/>
            </w:tcBorders>
          </w:tcPr>
          <w:p w14:paraId="634B2DC5" w14:textId="312DA9C4" w:rsidR="00663B7A" w:rsidRDefault="00CE6DCA" w:rsidP="00CE6DCA">
            <w:pPr>
              <w:spacing w:line="1" w:lineRule="atLeast"/>
              <w:jc w:val="right"/>
              <w:rPr>
                <w:color w:val="000000"/>
              </w:rPr>
            </w:pPr>
            <w:r>
              <w:rPr>
                <w:color w:val="000000"/>
              </w:rPr>
              <w:t>RESPONDENT</w:t>
            </w:r>
            <w:r>
              <w:rPr>
                <w:color w:val="000000"/>
              </w:rPr>
              <w:br/>
            </w:r>
          </w:p>
        </w:tc>
      </w:tr>
    </w:tbl>
    <w:p w14:paraId="4CC6205C" w14:textId="2AB43AAB" w:rsidR="00663B7A" w:rsidRDefault="00C606E4" w:rsidP="00663B7A">
      <w:pPr>
        <w:spacing w:before="240"/>
        <w:jc w:val="right"/>
        <w:rPr>
          <w:noProof/>
        </w:rPr>
      </w:pPr>
      <w:r>
        <w:t>S.</w:t>
      </w:r>
      <w:r w:rsidR="00896769">
        <w:t>E.M.C.C. File Number: 0</w:t>
      </w:r>
      <w:r w:rsidR="00E052B6">
        <w:t>2</w:t>
      </w:r>
      <w:r w:rsidR="00896769">
        <w:t>-</w:t>
      </w:r>
      <w:r w:rsidR="00E91273">
        <w:t>14</w:t>
      </w:r>
      <w:r w:rsidR="00896769">
        <w:t>-</w:t>
      </w:r>
      <w:r w:rsidR="00915A04">
        <w:t>202</w:t>
      </w:r>
      <w:r w:rsidR="00E91273">
        <w:t>6</w:t>
      </w:r>
    </w:p>
    <w:tbl>
      <w:tblPr>
        <w:tblW w:w="13230" w:type="dxa"/>
        <w:tblInd w:w="-72" w:type="dxa"/>
        <w:tblLayout w:type="fixed"/>
        <w:tblLook w:val="0000" w:firstRow="0" w:lastRow="0" w:firstColumn="0" w:lastColumn="0" w:noHBand="0" w:noVBand="0"/>
      </w:tblPr>
      <w:tblGrid>
        <w:gridCol w:w="8729"/>
        <w:gridCol w:w="4501"/>
      </w:tblGrid>
      <w:tr w:rsidR="00663B7A" w14:paraId="2BFF4952" w14:textId="77777777" w:rsidTr="00EF7E0B">
        <w:trPr>
          <w:cantSplit/>
          <w:trHeight w:val="1065"/>
        </w:trPr>
        <w:tc>
          <w:tcPr>
            <w:tcW w:w="8729" w:type="dxa"/>
            <w:vMerge w:val="restart"/>
            <w:tcBorders>
              <w:top w:val="single" w:sz="6" w:space="0" w:color="auto"/>
              <w:left w:val="nil"/>
              <w:bottom w:val="nil"/>
              <w:right w:val="nil"/>
            </w:tcBorders>
          </w:tcPr>
          <w:p w14:paraId="67D4394B" w14:textId="77777777" w:rsidR="00663B7A" w:rsidRDefault="00663B7A" w:rsidP="001339D1">
            <w:pPr>
              <w:rPr>
                <w:noProof/>
              </w:rPr>
            </w:pPr>
          </w:p>
          <w:p w14:paraId="53A6E436" w14:textId="77777777" w:rsidR="00663B7A" w:rsidRDefault="00663B7A" w:rsidP="001339D1">
            <w:pPr>
              <w:rPr>
                <w:noProof/>
              </w:rPr>
            </w:pPr>
          </w:p>
        </w:tc>
        <w:tc>
          <w:tcPr>
            <w:tcW w:w="4501" w:type="dxa"/>
            <w:tcBorders>
              <w:top w:val="single" w:sz="6" w:space="0" w:color="auto"/>
              <w:left w:val="single" w:sz="6" w:space="0" w:color="auto"/>
              <w:bottom w:val="double" w:sz="4" w:space="0" w:color="auto"/>
              <w:right w:val="nil"/>
            </w:tcBorders>
          </w:tcPr>
          <w:p w14:paraId="448DD005" w14:textId="77777777" w:rsidR="00663B7A" w:rsidRPr="00287298" w:rsidRDefault="00663B7A" w:rsidP="00031F01">
            <w:pPr>
              <w:jc w:val="center"/>
              <w:rPr>
                <w:noProof/>
              </w:rPr>
            </w:pPr>
          </w:p>
          <w:p w14:paraId="0F7238F2" w14:textId="77777777" w:rsidR="00663B7A" w:rsidRPr="00287298" w:rsidRDefault="00663B7A" w:rsidP="00031F01">
            <w:pPr>
              <w:pStyle w:val="TitleBold"/>
              <w:rPr>
                <w:b w:val="0"/>
                <w:sz w:val="24"/>
              </w:rPr>
            </w:pPr>
            <w:r w:rsidRPr="00287298">
              <w:rPr>
                <w:b w:val="0"/>
                <w:sz w:val="24"/>
              </w:rPr>
              <w:t>SUPREME ENVIRONMENTAL MOOT COURT OF CANADA</w:t>
            </w:r>
            <w:r w:rsidRPr="00287298">
              <w:rPr>
                <w:noProof/>
                <w:sz w:val="24"/>
              </w:rPr>
              <w:br/>
            </w:r>
          </w:p>
        </w:tc>
      </w:tr>
      <w:tr w:rsidR="00663B7A" w14:paraId="65A63C80" w14:textId="77777777" w:rsidTr="00EF6D27">
        <w:trPr>
          <w:cantSplit/>
          <w:trHeight w:val="1221"/>
        </w:trPr>
        <w:tc>
          <w:tcPr>
            <w:tcW w:w="8729" w:type="dxa"/>
            <w:vMerge/>
            <w:tcBorders>
              <w:top w:val="nil"/>
              <w:left w:val="nil"/>
              <w:bottom w:val="nil"/>
              <w:right w:val="nil"/>
            </w:tcBorders>
          </w:tcPr>
          <w:p w14:paraId="7BACAB79" w14:textId="77777777" w:rsidR="00663B7A" w:rsidRDefault="00663B7A" w:rsidP="001339D1">
            <w:pPr>
              <w:rPr>
                <w:noProof/>
              </w:rPr>
            </w:pPr>
          </w:p>
        </w:tc>
        <w:tc>
          <w:tcPr>
            <w:tcW w:w="4501" w:type="dxa"/>
            <w:tcBorders>
              <w:top w:val="double" w:sz="4" w:space="0" w:color="auto"/>
              <w:left w:val="single" w:sz="6" w:space="0" w:color="auto"/>
              <w:bottom w:val="double" w:sz="4" w:space="0" w:color="auto"/>
              <w:right w:val="nil"/>
            </w:tcBorders>
          </w:tcPr>
          <w:p w14:paraId="2A3B353F" w14:textId="77777777" w:rsidR="00663B7A" w:rsidRPr="00287298" w:rsidRDefault="00663B7A" w:rsidP="00031F01">
            <w:pPr>
              <w:jc w:val="center"/>
              <w:rPr>
                <w:b/>
                <w:bCs/>
                <w:noProof/>
              </w:rPr>
            </w:pPr>
          </w:p>
          <w:p w14:paraId="3C768821" w14:textId="77777777" w:rsidR="00663B7A" w:rsidRPr="00287298" w:rsidRDefault="00663B7A" w:rsidP="00031F01">
            <w:pPr>
              <w:jc w:val="center"/>
              <w:rPr>
                <w:b/>
                <w:bCs/>
                <w:noProof/>
              </w:rPr>
            </w:pPr>
            <w:r w:rsidRPr="00287298">
              <w:rPr>
                <w:b/>
                <w:bCs/>
                <w:noProof/>
              </w:rPr>
              <w:t xml:space="preserve">FACTUM OF THE </w:t>
            </w:r>
            <w:r w:rsidR="00EE2290" w:rsidRPr="00287298">
              <w:rPr>
                <w:b/>
                <w:bCs/>
                <w:noProof/>
              </w:rPr>
              <w:t>RESPONDENT</w:t>
            </w:r>
          </w:p>
          <w:p w14:paraId="4E9465D9" w14:textId="1D376E30" w:rsidR="00C300C4" w:rsidRDefault="00E91273" w:rsidP="001655FD">
            <w:pPr>
              <w:jc w:val="center"/>
              <w:rPr>
                <w:b/>
                <w:bCs/>
                <w:noProof/>
              </w:rPr>
            </w:pPr>
            <w:r>
              <w:rPr>
                <w:b/>
                <w:color w:val="000000"/>
              </w:rPr>
              <w:t>CONSOLIDATED HOMES</w:t>
            </w:r>
            <w:r w:rsidR="00E052B6" w:rsidRPr="00E052B6">
              <w:rPr>
                <w:b/>
                <w:color w:val="000000"/>
              </w:rPr>
              <w:t xml:space="preserve"> LTD.</w:t>
            </w:r>
          </w:p>
          <w:p w14:paraId="08A2B92A" w14:textId="77777777" w:rsidR="00890B0B" w:rsidRPr="005902D1" w:rsidRDefault="00890B0B" w:rsidP="001655FD">
            <w:pPr>
              <w:jc w:val="center"/>
              <w:rPr>
                <w:b/>
                <w:bCs/>
                <w:noProof/>
              </w:rPr>
            </w:pPr>
          </w:p>
        </w:tc>
      </w:tr>
      <w:tr w:rsidR="00663B7A" w14:paraId="7951E9B4" w14:textId="77777777" w:rsidTr="00EE2290">
        <w:trPr>
          <w:trHeight w:val="4155"/>
        </w:trPr>
        <w:tc>
          <w:tcPr>
            <w:tcW w:w="8729" w:type="dxa"/>
            <w:vMerge/>
            <w:tcBorders>
              <w:top w:val="nil"/>
              <w:left w:val="nil"/>
              <w:bottom w:val="nil"/>
              <w:right w:val="nil"/>
            </w:tcBorders>
          </w:tcPr>
          <w:p w14:paraId="356BD5D7" w14:textId="77777777" w:rsidR="00663B7A" w:rsidRDefault="00663B7A" w:rsidP="001339D1">
            <w:pPr>
              <w:rPr>
                <w:noProof/>
              </w:rPr>
            </w:pPr>
          </w:p>
        </w:tc>
        <w:tc>
          <w:tcPr>
            <w:tcW w:w="4501" w:type="dxa"/>
            <w:tcBorders>
              <w:top w:val="double" w:sz="4" w:space="0" w:color="auto"/>
              <w:left w:val="single" w:sz="6" w:space="0" w:color="auto"/>
              <w:bottom w:val="nil"/>
              <w:right w:val="nil"/>
            </w:tcBorders>
          </w:tcPr>
          <w:p w14:paraId="04F75CB2" w14:textId="77777777" w:rsidR="00663B7A" w:rsidRPr="00287298" w:rsidRDefault="00663B7A" w:rsidP="00031F01">
            <w:pPr>
              <w:pStyle w:val="BodyText"/>
              <w:jc w:val="center"/>
              <w:rPr>
                <w:noProof/>
              </w:rPr>
            </w:pPr>
          </w:p>
          <w:p w14:paraId="20ABC5FF" w14:textId="42CFF17A" w:rsidR="00663B7A" w:rsidRPr="00287298" w:rsidRDefault="00663B7A" w:rsidP="00031F01">
            <w:pPr>
              <w:widowControl w:val="0"/>
              <w:ind w:left="96"/>
              <w:jc w:val="center"/>
              <w:rPr>
                <w:b/>
                <w:bCs/>
              </w:rPr>
            </w:pPr>
            <w:r w:rsidRPr="00287298">
              <w:rPr>
                <w:b/>
                <w:bCs/>
              </w:rPr>
              <w:t>TEAM #</w:t>
            </w:r>
            <w:r w:rsidR="008E2866">
              <w:rPr>
                <w:b/>
                <w:bCs/>
              </w:rPr>
              <w:t>2026-10</w:t>
            </w:r>
          </w:p>
          <w:p w14:paraId="78D79D5A" w14:textId="77777777" w:rsidR="00287298" w:rsidRPr="00287298" w:rsidRDefault="00287298" w:rsidP="00031F01">
            <w:pPr>
              <w:widowControl w:val="0"/>
              <w:ind w:left="96"/>
              <w:jc w:val="center"/>
              <w:rPr>
                <w:b/>
                <w:bCs/>
              </w:rPr>
            </w:pPr>
          </w:p>
          <w:p w14:paraId="02BC7E1C" w14:textId="49169242" w:rsidR="00287298" w:rsidRDefault="008E2866" w:rsidP="00287298">
            <w:pPr>
              <w:widowControl w:val="0"/>
              <w:ind w:left="96"/>
              <w:jc w:val="center"/>
              <w:rPr>
                <w:b/>
                <w:bCs/>
              </w:rPr>
            </w:pPr>
            <w:r>
              <w:rPr>
                <w:b/>
                <w:bCs/>
              </w:rPr>
              <w:t>Tessa Sautner</w:t>
            </w:r>
          </w:p>
          <w:p w14:paraId="4E3300C2" w14:textId="28D5002A" w:rsidR="008E2866" w:rsidRPr="00287298" w:rsidRDefault="008E2866" w:rsidP="00287298">
            <w:pPr>
              <w:widowControl w:val="0"/>
              <w:ind w:left="96"/>
              <w:jc w:val="center"/>
              <w:rPr>
                <w:b/>
                <w:bCs/>
              </w:rPr>
            </w:pPr>
            <w:r>
              <w:rPr>
                <w:b/>
                <w:bCs/>
              </w:rPr>
              <w:t>Taylor Labelle</w:t>
            </w:r>
          </w:p>
          <w:p w14:paraId="684F74E5" w14:textId="77777777" w:rsidR="00287298" w:rsidRPr="00287298" w:rsidRDefault="00287298" w:rsidP="00287298">
            <w:pPr>
              <w:widowControl w:val="0"/>
              <w:ind w:left="96"/>
              <w:jc w:val="center"/>
              <w:rPr>
                <w:bCs/>
              </w:rPr>
            </w:pPr>
          </w:p>
          <w:p w14:paraId="4B447398" w14:textId="77777777" w:rsidR="00287298" w:rsidRPr="00287298" w:rsidRDefault="000B51BA" w:rsidP="00287298">
            <w:pPr>
              <w:widowControl w:val="0"/>
              <w:ind w:left="96"/>
              <w:jc w:val="center"/>
              <w:rPr>
                <w:bCs/>
              </w:rPr>
            </w:pPr>
            <w:r>
              <w:rPr>
                <w:bCs/>
              </w:rPr>
              <w:t>Counsel</w:t>
            </w:r>
            <w:r w:rsidR="00287298" w:rsidRPr="00287298">
              <w:rPr>
                <w:bCs/>
              </w:rPr>
              <w:t xml:space="preserve"> for the Respondent,</w:t>
            </w:r>
          </w:p>
          <w:p w14:paraId="32015CCD" w14:textId="302FA017" w:rsidR="00287298" w:rsidRPr="00287298" w:rsidRDefault="00E91273" w:rsidP="00EF6D27">
            <w:pPr>
              <w:jc w:val="center"/>
              <w:rPr>
                <w:color w:val="000000"/>
              </w:rPr>
            </w:pPr>
            <w:r>
              <w:t>Consolidated Homes</w:t>
            </w:r>
            <w:r w:rsidR="00594299">
              <w:t xml:space="preserve"> Ltd.</w:t>
            </w:r>
          </w:p>
        </w:tc>
      </w:tr>
    </w:tbl>
    <w:p w14:paraId="72867BEF" w14:textId="3F710904" w:rsidR="00501E7F" w:rsidRPr="00687CFB" w:rsidRDefault="00B30F48" w:rsidP="00EF6D27">
      <w:pPr>
        <w:pStyle w:val="DocsID"/>
        <w:rPr>
          <w:rFonts w:ascii="Arial" w:hAnsi="Arial" w:cs="Arial"/>
        </w:rPr>
      </w:pPr>
      <w:bookmarkStart w:id="29" w:name="docsstamplast"/>
      <w:r w:rsidRPr="00687CFB">
        <w:rPr>
          <w:rFonts w:ascii="Arial" w:hAnsi="Arial" w:cs="Arial"/>
        </w:rPr>
        <w:t>Document #:</w:t>
      </w:r>
      <w:bookmarkEnd w:id="29"/>
      <w:r w:rsidR="00501E7F" w:rsidRPr="00687CFB">
        <w:rPr>
          <w:rFonts w:ascii="Arial" w:hAnsi="Arial" w:cs="Arial"/>
        </w:rPr>
        <w:fldChar w:fldCharType="begin"/>
      </w:r>
      <w:r w:rsidR="00501E7F" w:rsidRPr="00687CFB">
        <w:rPr>
          <w:rFonts w:ascii="Arial" w:hAnsi="Arial" w:cs="Arial"/>
        </w:rPr>
        <w:instrText xml:space="preserve"> DOCVARIABLE ndGeneratedStamp \* MERGEFORMAT </w:instrText>
      </w:r>
      <w:r w:rsidR="00501E7F" w:rsidRPr="00687CFB">
        <w:rPr>
          <w:rFonts w:ascii="Arial" w:hAnsi="Arial" w:cs="Arial"/>
        </w:rPr>
        <w:fldChar w:fldCharType="separate"/>
      </w:r>
      <w:r w:rsidR="001B2155">
        <w:rPr>
          <w:rFonts w:ascii="Arial" w:hAnsi="Arial" w:cs="Arial"/>
        </w:rPr>
        <w:t>1385-0517-6347, v. 1</w:t>
      </w:r>
      <w:r w:rsidR="00501E7F" w:rsidRPr="00687CFB">
        <w:rPr>
          <w:rFonts w:ascii="Arial" w:hAnsi="Arial" w:cs="Arial"/>
        </w:rPr>
        <w:fldChar w:fldCharType="end"/>
      </w:r>
    </w:p>
    <w:sectPr w:rsidR="00501E7F" w:rsidRPr="00687CFB" w:rsidSect="000623D3">
      <w:pgSz w:w="15840" w:h="12240" w:orient="landscape" w:code="1"/>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8A88" w14:textId="77777777" w:rsidR="00D730E4" w:rsidRDefault="00D730E4" w:rsidP="00FC1F68">
      <w:r>
        <w:separator/>
      </w:r>
    </w:p>
  </w:endnote>
  <w:endnote w:type="continuationSeparator" w:id="0">
    <w:p w14:paraId="7CCEC620" w14:textId="77777777" w:rsidR="00D730E4" w:rsidRDefault="00D730E4"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5F83" w14:textId="28C51AF5" w:rsidR="007C43C1" w:rsidRDefault="007C43C1" w:rsidP="007C43C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D144" w14:textId="77777777" w:rsidR="00D730E4" w:rsidRDefault="00D730E4" w:rsidP="00FC1F68">
      <w:r>
        <w:separator/>
      </w:r>
    </w:p>
  </w:footnote>
  <w:footnote w:type="continuationSeparator" w:id="0">
    <w:p w14:paraId="19DAA065" w14:textId="77777777" w:rsidR="00D730E4" w:rsidRDefault="00D730E4" w:rsidP="00FC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3F1D0AEF"/>
    <w:multiLevelType w:val="multilevel"/>
    <w:tmpl w:val="E3FCBD22"/>
    <w:styleLink w:val="CurrentList1"/>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5E35B8D"/>
    <w:multiLevelType w:val="multilevel"/>
    <w:tmpl w:val="C90A02B2"/>
    <w:lvl w:ilvl="0">
      <w:start w:val="1"/>
      <w:numFmt w:val="decimal"/>
      <w:pStyle w:val="WSParaNum"/>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8E238D0"/>
    <w:multiLevelType w:val="hybridMultilevel"/>
    <w:tmpl w:val="73E6A4D0"/>
    <w:lvl w:ilvl="0" w:tplc="1958950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A3F27"/>
    <w:multiLevelType w:val="multilevel"/>
    <w:tmpl w:val="D680A0B8"/>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630987846">
    <w:abstractNumId w:val="6"/>
  </w:num>
  <w:num w:numId="2" w16cid:durableId="748692426">
    <w:abstractNumId w:val="3"/>
  </w:num>
  <w:num w:numId="3" w16cid:durableId="775254267">
    <w:abstractNumId w:val="2"/>
  </w:num>
  <w:num w:numId="4" w16cid:durableId="2099864798">
    <w:abstractNumId w:val="4"/>
  </w:num>
  <w:num w:numId="5" w16cid:durableId="210194528">
    <w:abstractNumId w:val="0"/>
  </w:num>
  <w:num w:numId="6" w16cid:durableId="533083370">
    <w:abstractNumId w:val="1"/>
  </w:num>
  <w:num w:numId="7" w16cid:durableId="660699437">
    <w:abstractNumId w:val="5"/>
  </w:num>
  <w:num w:numId="8" w16cid:durableId="66389328">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85-0517-6347, v. 1"/>
    <w:docVar w:name="ndGeneratedStampLocation" w:val="LastPage"/>
  </w:docVars>
  <w:rsids>
    <w:rsidRoot w:val="00982941"/>
    <w:rsid w:val="00014496"/>
    <w:rsid w:val="00031F01"/>
    <w:rsid w:val="00032B48"/>
    <w:rsid w:val="0003757F"/>
    <w:rsid w:val="00037BFB"/>
    <w:rsid w:val="000548C6"/>
    <w:rsid w:val="000623D3"/>
    <w:rsid w:val="0007098C"/>
    <w:rsid w:val="00073C2E"/>
    <w:rsid w:val="00094363"/>
    <w:rsid w:val="000A22F2"/>
    <w:rsid w:val="000B51BA"/>
    <w:rsid w:val="000C0550"/>
    <w:rsid w:val="000C1D94"/>
    <w:rsid w:val="000E4220"/>
    <w:rsid w:val="000F036A"/>
    <w:rsid w:val="000F4F93"/>
    <w:rsid w:val="000F7478"/>
    <w:rsid w:val="0011797A"/>
    <w:rsid w:val="001655FD"/>
    <w:rsid w:val="00180996"/>
    <w:rsid w:val="001912CA"/>
    <w:rsid w:val="00194038"/>
    <w:rsid w:val="001B2155"/>
    <w:rsid w:val="001B7635"/>
    <w:rsid w:val="001E2C95"/>
    <w:rsid w:val="00201061"/>
    <w:rsid w:val="00206BD0"/>
    <w:rsid w:val="00215879"/>
    <w:rsid w:val="00216A01"/>
    <w:rsid w:val="0023094C"/>
    <w:rsid w:val="0024187B"/>
    <w:rsid w:val="00250C73"/>
    <w:rsid w:val="0025578A"/>
    <w:rsid w:val="00255B92"/>
    <w:rsid w:val="002620F2"/>
    <w:rsid w:val="00277F5D"/>
    <w:rsid w:val="0028382F"/>
    <w:rsid w:val="00287298"/>
    <w:rsid w:val="00292738"/>
    <w:rsid w:val="002C4379"/>
    <w:rsid w:val="002C7D7F"/>
    <w:rsid w:val="002D0A80"/>
    <w:rsid w:val="002F34BA"/>
    <w:rsid w:val="002F3DDD"/>
    <w:rsid w:val="002F57D8"/>
    <w:rsid w:val="003215A1"/>
    <w:rsid w:val="00334F22"/>
    <w:rsid w:val="003606E4"/>
    <w:rsid w:val="00365D5F"/>
    <w:rsid w:val="003822BD"/>
    <w:rsid w:val="00391929"/>
    <w:rsid w:val="003A1794"/>
    <w:rsid w:val="003B61F7"/>
    <w:rsid w:val="003C343A"/>
    <w:rsid w:val="00420CF7"/>
    <w:rsid w:val="00427162"/>
    <w:rsid w:val="00440AD3"/>
    <w:rsid w:val="0044118E"/>
    <w:rsid w:val="00455B31"/>
    <w:rsid w:val="0047065C"/>
    <w:rsid w:val="00471DA0"/>
    <w:rsid w:val="004967B8"/>
    <w:rsid w:val="004A2301"/>
    <w:rsid w:val="00501E7F"/>
    <w:rsid w:val="00541069"/>
    <w:rsid w:val="00546E32"/>
    <w:rsid w:val="005503EC"/>
    <w:rsid w:val="005527E1"/>
    <w:rsid w:val="00555F8D"/>
    <w:rsid w:val="005777BB"/>
    <w:rsid w:val="005902D1"/>
    <w:rsid w:val="00594299"/>
    <w:rsid w:val="00594726"/>
    <w:rsid w:val="005A7DA6"/>
    <w:rsid w:val="005C7CCB"/>
    <w:rsid w:val="006012D8"/>
    <w:rsid w:val="00601F99"/>
    <w:rsid w:val="00605BFF"/>
    <w:rsid w:val="00624A0D"/>
    <w:rsid w:val="00625E7D"/>
    <w:rsid w:val="0065653A"/>
    <w:rsid w:val="00663B7A"/>
    <w:rsid w:val="00665D50"/>
    <w:rsid w:val="00673995"/>
    <w:rsid w:val="00687CFB"/>
    <w:rsid w:val="006977C3"/>
    <w:rsid w:val="006A4665"/>
    <w:rsid w:val="006C3E1D"/>
    <w:rsid w:val="00704A57"/>
    <w:rsid w:val="00704DBF"/>
    <w:rsid w:val="00707D46"/>
    <w:rsid w:val="00712A5A"/>
    <w:rsid w:val="00713CDA"/>
    <w:rsid w:val="007215AC"/>
    <w:rsid w:val="00735CEC"/>
    <w:rsid w:val="00744D80"/>
    <w:rsid w:val="007541A0"/>
    <w:rsid w:val="00763DB5"/>
    <w:rsid w:val="007B43C5"/>
    <w:rsid w:val="007B6204"/>
    <w:rsid w:val="007C01F5"/>
    <w:rsid w:val="007C43C1"/>
    <w:rsid w:val="007E4C81"/>
    <w:rsid w:val="007F40E0"/>
    <w:rsid w:val="007F47FB"/>
    <w:rsid w:val="00803711"/>
    <w:rsid w:val="00812A9C"/>
    <w:rsid w:val="00835795"/>
    <w:rsid w:val="008455B3"/>
    <w:rsid w:val="00847C80"/>
    <w:rsid w:val="00890B0B"/>
    <w:rsid w:val="00890D19"/>
    <w:rsid w:val="00896769"/>
    <w:rsid w:val="008C00C1"/>
    <w:rsid w:val="008C41EE"/>
    <w:rsid w:val="008C63D1"/>
    <w:rsid w:val="008D22C7"/>
    <w:rsid w:val="008E2866"/>
    <w:rsid w:val="00903D40"/>
    <w:rsid w:val="00915A04"/>
    <w:rsid w:val="00954B13"/>
    <w:rsid w:val="00965B07"/>
    <w:rsid w:val="00970D08"/>
    <w:rsid w:val="00982941"/>
    <w:rsid w:val="009C2F8D"/>
    <w:rsid w:val="009C434B"/>
    <w:rsid w:val="009C4613"/>
    <w:rsid w:val="009D2F81"/>
    <w:rsid w:val="009F5FF0"/>
    <w:rsid w:val="009F693C"/>
    <w:rsid w:val="00A064F6"/>
    <w:rsid w:val="00A14B8C"/>
    <w:rsid w:val="00A15631"/>
    <w:rsid w:val="00A20537"/>
    <w:rsid w:val="00A41BA9"/>
    <w:rsid w:val="00A454D2"/>
    <w:rsid w:val="00A4758B"/>
    <w:rsid w:val="00A50678"/>
    <w:rsid w:val="00A82073"/>
    <w:rsid w:val="00A85602"/>
    <w:rsid w:val="00A92B3C"/>
    <w:rsid w:val="00A97B50"/>
    <w:rsid w:val="00AB2296"/>
    <w:rsid w:val="00AC4CE5"/>
    <w:rsid w:val="00AC7FFC"/>
    <w:rsid w:val="00AE0B19"/>
    <w:rsid w:val="00AF0C2F"/>
    <w:rsid w:val="00B14E5E"/>
    <w:rsid w:val="00B25466"/>
    <w:rsid w:val="00B30F48"/>
    <w:rsid w:val="00B60A5D"/>
    <w:rsid w:val="00B72782"/>
    <w:rsid w:val="00B77C90"/>
    <w:rsid w:val="00B959CF"/>
    <w:rsid w:val="00B973D9"/>
    <w:rsid w:val="00BC1513"/>
    <w:rsid w:val="00BC1745"/>
    <w:rsid w:val="00C02E8B"/>
    <w:rsid w:val="00C0642E"/>
    <w:rsid w:val="00C12C81"/>
    <w:rsid w:val="00C300C4"/>
    <w:rsid w:val="00C30230"/>
    <w:rsid w:val="00C573D9"/>
    <w:rsid w:val="00C606E4"/>
    <w:rsid w:val="00C63495"/>
    <w:rsid w:val="00C6765E"/>
    <w:rsid w:val="00C83342"/>
    <w:rsid w:val="00CB1754"/>
    <w:rsid w:val="00CC4FB7"/>
    <w:rsid w:val="00CD02D7"/>
    <w:rsid w:val="00CD72AB"/>
    <w:rsid w:val="00CE4218"/>
    <w:rsid w:val="00CE5188"/>
    <w:rsid w:val="00CE6DCA"/>
    <w:rsid w:val="00D00E65"/>
    <w:rsid w:val="00D06F96"/>
    <w:rsid w:val="00D23EBF"/>
    <w:rsid w:val="00D33180"/>
    <w:rsid w:val="00D37350"/>
    <w:rsid w:val="00D42EB0"/>
    <w:rsid w:val="00D55DA8"/>
    <w:rsid w:val="00D678D8"/>
    <w:rsid w:val="00D730E4"/>
    <w:rsid w:val="00D816F3"/>
    <w:rsid w:val="00D84AFF"/>
    <w:rsid w:val="00D921E9"/>
    <w:rsid w:val="00DB21A8"/>
    <w:rsid w:val="00DB4824"/>
    <w:rsid w:val="00DD00FF"/>
    <w:rsid w:val="00DD6309"/>
    <w:rsid w:val="00DD6E8C"/>
    <w:rsid w:val="00DF7B13"/>
    <w:rsid w:val="00E052B6"/>
    <w:rsid w:val="00E10B6A"/>
    <w:rsid w:val="00E24BC6"/>
    <w:rsid w:val="00E40546"/>
    <w:rsid w:val="00E63739"/>
    <w:rsid w:val="00E75969"/>
    <w:rsid w:val="00E91273"/>
    <w:rsid w:val="00EA1F72"/>
    <w:rsid w:val="00EE2290"/>
    <w:rsid w:val="00EE63CE"/>
    <w:rsid w:val="00EF38C0"/>
    <w:rsid w:val="00EF6D27"/>
    <w:rsid w:val="00EF7E0B"/>
    <w:rsid w:val="00F045DC"/>
    <w:rsid w:val="00F20F77"/>
    <w:rsid w:val="00F33A04"/>
    <w:rsid w:val="00F83A16"/>
    <w:rsid w:val="00F864FA"/>
    <w:rsid w:val="00FA7884"/>
    <w:rsid w:val="00FB2F54"/>
    <w:rsid w:val="00FC1F68"/>
    <w:rsid w:val="00FC23B4"/>
    <w:rsid w:val="00FC4847"/>
    <w:rsid w:val="00FD0F84"/>
    <w:rsid w:val="00FE3380"/>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7D8D"/>
  <w15:docId w15:val="{D40198B6-1B3C-4883-9D46-5140377D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lang w:val="en-US"/>
    </w:rPr>
  </w:style>
  <w:style w:type="paragraph" w:styleId="Heading1">
    <w:name w:val="heading 1"/>
    <w:basedOn w:val="Normal"/>
    <w:next w:val="Normal"/>
    <w:link w:val="Heading1Char"/>
    <w:uiPriority w:val="9"/>
    <w:qFormat/>
    <w:rsid w:val="00A85602"/>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8560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037BFB"/>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val="en-US" w:eastAsia="en-US"/>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3"/>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4"/>
      </w:numPr>
    </w:pPr>
  </w:style>
  <w:style w:type="paragraph" w:styleId="TOC2">
    <w:name w:val="toc 2"/>
    <w:basedOn w:val="Normal"/>
    <w:next w:val="Normal"/>
    <w:autoRedefine/>
    <w:uiPriority w:val="39"/>
    <w:unhideWhenUsed/>
    <w:rsid w:val="00F045DC"/>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B30F48"/>
    <w:pPr>
      <w:spacing w:before="20"/>
    </w:pPr>
    <w:rPr>
      <w:sz w:val="16"/>
      <w:szCs w:val="20"/>
      <w:lang w:val="en-CA"/>
    </w:rPr>
  </w:style>
  <w:style w:type="paragraph" w:styleId="Revision">
    <w:name w:val="Revision"/>
    <w:hidden/>
    <w:uiPriority w:val="99"/>
    <w:semiHidden/>
    <w:rsid w:val="00915A04"/>
    <w:rPr>
      <w:sz w:val="24"/>
      <w:szCs w:val="24"/>
      <w:lang w:val="en-US"/>
    </w:rPr>
  </w:style>
  <w:style w:type="numbering" w:customStyle="1" w:styleId="CurrentList1">
    <w:name w:val="Current List1"/>
    <w:uiPriority w:val="99"/>
    <w:rsid w:val="00427162"/>
    <w:pPr>
      <w:numPr>
        <w:numId w:val="6"/>
      </w:numPr>
    </w:pPr>
  </w:style>
  <w:style w:type="character" w:styleId="CommentReference">
    <w:name w:val="annotation reference"/>
    <w:uiPriority w:val="99"/>
    <w:semiHidden/>
    <w:unhideWhenUsed/>
    <w:rsid w:val="00C83342"/>
    <w:rPr>
      <w:sz w:val="16"/>
      <w:szCs w:val="16"/>
    </w:rPr>
  </w:style>
  <w:style w:type="paragraph" w:styleId="CommentText">
    <w:name w:val="annotation text"/>
    <w:basedOn w:val="Normal"/>
    <w:link w:val="CommentTextChar"/>
    <w:uiPriority w:val="99"/>
    <w:unhideWhenUsed/>
    <w:rsid w:val="00C83342"/>
    <w:rPr>
      <w:rFonts w:ascii="Aptos" w:eastAsia="Aptos" w:hAnsi="Aptos"/>
      <w:kern w:val="2"/>
      <w:sz w:val="20"/>
      <w:szCs w:val="20"/>
      <w:lang w:val="en-CA"/>
    </w:rPr>
  </w:style>
  <w:style w:type="character" w:customStyle="1" w:styleId="CommentTextChar">
    <w:name w:val="Comment Text Char"/>
    <w:link w:val="CommentText"/>
    <w:uiPriority w:val="99"/>
    <w:rsid w:val="00C83342"/>
    <w:rPr>
      <w:rFonts w:ascii="Aptos" w:eastAsia="Aptos" w:hAnsi="Aptos"/>
      <w:kern w:val="2"/>
    </w:rPr>
  </w:style>
  <w:style w:type="paragraph" w:styleId="NormalWeb">
    <w:name w:val="Normal (Web)"/>
    <w:basedOn w:val="Normal"/>
    <w:uiPriority w:val="99"/>
    <w:semiHidden/>
    <w:unhideWhenUsed/>
    <w:rsid w:val="008E2866"/>
    <w:pPr>
      <w:spacing w:before="100" w:beforeAutospacing="1" w:after="100" w:afterAutospacing="1"/>
    </w:pPr>
    <w:rPr>
      <w:lang w:val="en-CA"/>
    </w:rPr>
  </w:style>
  <w:style w:type="character" w:styleId="Hyperlink">
    <w:name w:val="Hyperlink"/>
    <w:uiPriority w:val="99"/>
    <w:unhideWhenUsed/>
    <w:rsid w:val="00CC4FB7"/>
    <w:rPr>
      <w:color w:val="0000FF"/>
      <w:u w:val="single"/>
    </w:rPr>
  </w:style>
  <w:style w:type="paragraph" w:styleId="Subtitle">
    <w:name w:val="Subtitle"/>
    <w:basedOn w:val="Normal"/>
    <w:next w:val="Normal"/>
    <w:link w:val="SubtitleChar"/>
    <w:uiPriority w:val="11"/>
    <w:qFormat/>
    <w:rsid w:val="00FE3380"/>
    <w:pPr>
      <w:spacing w:after="60"/>
      <w:jc w:val="center"/>
      <w:outlineLvl w:val="1"/>
    </w:pPr>
    <w:rPr>
      <w:rFonts w:ascii="Cambria" w:hAnsi="Cambria"/>
    </w:rPr>
  </w:style>
  <w:style w:type="character" w:customStyle="1" w:styleId="SubtitleChar">
    <w:name w:val="Subtitle Char"/>
    <w:link w:val="Subtitle"/>
    <w:uiPriority w:val="11"/>
    <w:rsid w:val="00FE3380"/>
    <w:rPr>
      <w:rFonts w:ascii="Cambria" w:eastAsia="Times New Roman" w:hAnsi="Cambria" w:cs="Times New Roman"/>
      <w:sz w:val="24"/>
      <w:szCs w:val="24"/>
      <w:lang w:val="en-US"/>
    </w:rPr>
  </w:style>
  <w:style w:type="character" w:styleId="SubtleEmphasis">
    <w:name w:val="Subtle Emphasis"/>
    <w:uiPriority w:val="19"/>
    <w:qFormat/>
    <w:rsid w:val="00FE338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D27-748E-42DF-ADBB-191DA5E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7826</Words>
  <Characters>44609</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2025-09-16T14:26:00Z</cp:lastPrinted>
  <dcterms:created xsi:type="dcterms:W3CDTF">2026-01-23T20:07:00Z</dcterms:created>
  <dcterms:modified xsi:type="dcterms:W3CDTF">2026-01-23T20:07:00Z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2016903</vt:lpwstr>
  </op:property>
  <op:property fmtid="{D5CDD505-2E9C-101B-9397-08002B2CF9AE}" pid="4" name="ndDocumentId">
    <vt:lpwstr>1385-0517-6347</vt:lpwstr>
  </op:property>
</op:Properties>
</file>