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ACA1" w14:textId="06A03720" w:rsidR="007C01F5" w:rsidRPr="00EE3B86" w:rsidRDefault="007C01F5" w:rsidP="007C01F5">
      <w:pPr>
        <w:jc w:val="center"/>
      </w:pPr>
      <w:r w:rsidRPr="00EE3B86">
        <w:t>WILLMS &amp; SHIER ENVIRONMENTAL LAW MOOT COURT COMPETITION</w:t>
      </w:r>
      <w:r w:rsidR="00803711" w:rsidRPr="00EE3B86">
        <w:t xml:space="preserve"> </w:t>
      </w:r>
      <w:r w:rsidR="00915A04" w:rsidRPr="00EE3B86">
        <w:t>202</w:t>
      </w:r>
      <w:r w:rsidR="00B72782" w:rsidRPr="00EE3B86">
        <w:t>6</w:t>
      </w:r>
    </w:p>
    <w:p w14:paraId="73FC59A0" w14:textId="77777777" w:rsidR="007C01F5" w:rsidRPr="00EE3B86" w:rsidRDefault="007C01F5" w:rsidP="007C01F5"/>
    <w:p w14:paraId="330757B8" w14:textId="77777777" w:rsidR="007C01F5" w:rsidRPr="00EE3B86" w:rsidRDefault="007C01F5" w:rsidP="007C01F5"/>
    <w:p w14:paraId="3BBD0CC7" w14:textId="2C2F5A5E" w:rsidR="007C01F5" w:rsidRPr="00EE3B86" w:rsidRDefault="007C01F5" w:rsidP="007C01F5">
      <w:pPr>
        <w:jc w:val="right"/>
      </w:pPr>
      <w:r w:rsidRPr="00EE3B86">
        <w:t>S.</w:t>
      </w:r>
      <w:r w:rsidR="00FC1F68" w:rsidRPr="00EE3B86">
        <w:t>E.</w:t>
      </w:r>
      <w:r w:rsidRPr="00EE3B86">
        <w:t>M.C.C. File Number</w:t>
      </w:r>
      <w:r w:rsidR="00292738" w:rsidRPr="00EE3B86">
        <w:t>:</w:t>
      </w:r>
      <w:r w:rsidR="00803711" w:rsidRPr="00EE3B86">
        <w:t xml:space="preserve"> 0</w:t>
      </w:r>
      <w:r w:rsidR="00915A04" w:rsidRPr="00EE3B86">
        <w:t>2</w:t>
      </w:r>
      <w:r w:rsidR="00803711" w:rsidRPr="00EE3B86">
        <w:t>-</w:t>
      </w:r>
      <w:r w:rsidR="007541A0" w:rsidRPr="00EE3B86">
        <w:t>14</w:t>
      </w:r>
      <w:r w:rsidR="00803711" w:rsidRPr="00EE3B86">
        <w:t>-</w:t>
      </w:r>
      <w:r w:rsidR="00915A04" w:rsidRPr="00EE3B86">
        <w:t>202</w:t>
      </w:r>
      <w:r w:rsidR="007541A0" w:rsidRPr="00EE3B86">
        <w:t>6</w:t>
      </w:r>
    </w:p>
    <w:p w14:paraId="5EA00D73" w14:textId="77777777" w:rsidR="007C01F5" w:rsidRPr="00EE3B86" w:rsidRDefault="007C01F5" w:rsidP="007C01F5"/>
    <w:p w14:paraId="3D30E8D7" w14:textId="6613D490" w:rsidR="007C01F5" w:rsidRPr="00EE3B86" w:rsidRDefault="007C01F5" w:rsidP="007C01F5">
      <w:pPr>
        <w:jc w:val="center"/>
        <w:rPr>
          <w:b/>
        </w:rPr>
      </w:pPr>
      <w:r w:rsidRPr="00EE3B86">
        <w:rPr>
          <w:b/>
        </w:rPr>
        <w:t xml:space="preserve">IN THE SUPREME </w:t>
      </w:r>
      <w:r w:rsidR="00FC1F68" w:rsidRPr="00EE3B86">
        <w:rPr>
          <w:b/>
        </w:rPr>
        <w:t xml:space="preserve">ENVIRONMENTAL </w:t>
      </w:r>
      <w:r w:rsidRPr="00EE3B86">
        <w:rPr>
          <w:b/>
        </w:rPr>
        <w:t>MOOT COURT OF CANADA</w:t>
      </w:r>
    </w:p>
    <w:p w14:paraId="186167CF" w14:textId="77777777" w:rsidR="007C01F5" w:rsidRPr="00EE3B86" w:rsidRDefault="007C01F5" w:rsidP="007C01F5">
      <w:pPr>
        <w:jc w:val="center"/>
      </w:pPr>
    </w:p>
    <w:p w14:paraId="6BD832A9" w14:textId="5A4B33D9" w:rsidR="007C01F5" w:rsidRPr="00EE3B86" w:rsidRDefault="007C01F5" w:rsidP="007C01F5">
      <w:pPr>
        <w:jc w:val="center"/>
        <w:rPr>
          <w:b/>
        </w:rPr>
      </w:pPr>
      <w:r w:rsidRPr="00EE3B86">
        <w:rPr>
          <w:b/>
        </w:rPr>
        <w:t>(</w:t>
      </w:r>
      <w:r w:rsidR="00915A04" w:rsidRPr="00EE3B86">
        <w:rPr>
          <w:b/>
        </w:rPr>
        <w:t xml:space="preserve">ON APPEAL FROM THE </w:t>
      </w:r>
      <w:r w:rsidR="007541A0" w:rsidRPr="00EE3B86">
        <w:rPr>
          <w:b/>
        </w:rPr>
        <w:t>ONTARIO</w:t>
      </w:r>
      <w:r w:rsidR="00915A04" w:rsidRPr="00EE3B86">
        <w:rPr>
          <w:b/>
        </w:rPr>
        <w:t xml:space="preserve"> COURT OF </w:t>
      </w:r>
      <w:r w:rsidR="00B72782" w:rsidRPr="00EE3B86">
        <w:rPr>
          <w:b/>
        </w:rPr>
        <w:t>JUSTICE</w:t>
      </w:r>
      <w:r w:rsidRPr="00EE3B86">
        <w:rPr>
          <w:b/>
        </w:rPr>
        <w:t>)</w:t>
      </w:r>
    </w:p>
    <w:p w14:paraId="601C5BA7" w14:textId="77777777" w:rsidR="007C01F5" w:rsidRPr="00EE3B86" w:rsidRDefault="007C01F5" w:rsidP="007C01F5"/>
    <w:p w14:paraId="3AF502FD" w14:textId="77777777" w:rsidR="007C01F5" w:rsidRPr="00EE3B86" w:rsidRDefault="007C01F5" w:rsidP="007C01F5">
      <w:r w:rsidRPr="00EE3B86">
        <w:t>B E T W E E N:</w:t>
      </w:r>
    </w:p>
    <w:p w14:paraId="64807E46" w14:textId="77777777" w:rsidR="007C01F5" w:rsidRPr="00EE3B86" w:rsidRDefault="007C01F5" w:rsidP="007C01F5"/>
    <w:p w14:paraId="7EF550F7" w14:textId="51D5AB01" w:rsidR="00DB21A8" w:rsidRPr="00EE3B86" w:rsidRDefault="00E91273" w:rsidP="00DB21A8">
      <w:pPr>
        <w:jc w:val="center"/>
        <w:rPr>
          <w:b/>
        </w:rPr>
      </w:pPr>
      <w:r w:rsidRPr="00EE3B86">
        <w:rPr>
          <w:b/>
        </w:rPr>
        <w:t>HIS MAJESTY THE KING</w:t>
      </w:r>
    </w:p>
    <w:p w14:paraId="31BAEDDC" w14:textId="77777777" w:rsidR="007C01F5" w:rsidRPr="00EE3B86" w:rsidRDefault="007C01F5" w:rsidP="00EF6D27">
      <w:pPr>
        <w:jc w:val="center"/>
      </w:pPr>
    </w:p>
    <w:p w14:paraId="6B43E1C4" w14:textId="3F8537BD" w:rsidR="007C01F5" w:rsidRPr="00EE3B86" w:rsidRDefault="007C01F5" w:rsidP="007C01F5">
      <w:pPr>
        <w:jc w:val="right"/>
      </w:pPr>
      <w:r w:rsidRPr="00EE3B86">
        <w:t>APPELLANT</w:t>
      </w:r>
    </w:p>
    <w:p w14:paraId="77F5343F" w14:textId="77777777" w:rsidR="007C01F5" w:rsidRPr="00EE3B86" w:rsidRDefault="007C01F5" w:rsidP="007C01F5">
      <w:pPr>
        <w:jc w:val="right"/>
      </w:pPr>
    </w:p>
    <w:p w14:paraId="14E250D2" w14:textId="77777777" w:rsidR="007C01F5" w:rsidRPr="00EE3B86" w:rsidRDefault="007C01F5" w:rsidP="007C01F5">
      <w:pPr>
        <w:jc w:val="center"/>
      </w:pPr>
      <w:r w:rsidRPr="00EE3B86">
        <w:t>- and -</w:t>
      </w:r>
    </w:p>
    <w:p w14:paraId="49434C8C" w14:textId="77777777" w:rsidR="007C01F5" w:rsidRPr="00EE3B86" w:rsidRDefault="007C01F5" w:rsidP="007C01F5"/>
    <w:p w14:paraId="35DC82E8" w14:textId="77777777" w:rsidR="007C01F5" w:rsidRPr="00EE3B86" w:rsidRDefault="007C01F5" w:rsidP="007C01F5"/>
    <w:p w14:paraId="551DAC6D" w14:textId="74F372C9" w:rsidR="00555F8D" w:rsidRPr="00EE3B86" w:rsidRDefault="008C00C1" w:rsidP="009F693C">
      <w:pPr>
        <w:jc w:val="center"/>
        <w:rPr>
          <w:b/>
          <w:caps/>
        </w:rPr>
      </w:pPr>
      <w:r w:rsidRPr="00EE3B86">
        <w:rPr>
          <w:b/>
          <w:caps/>
        </w:rPr>
        <w:t>Consolidated Homes Ltd.</w:t>
      </w:r>
    </w:p>
    <w:p w14:paraId="7BA28D25" w14:textId="77777777" w:rsidR="008C00C1" w:rsidRPr="00EE3B86" w:rsidRDefault="008C00C1" w:rsidP="00216A01">
      <w:pPr>
        <w:jc w:val="right"/>
      </w:pPr>
    </w:p>
    <w:p w14:paraId="2080B3DA" w14:textId="72E4F87C" w:rsidR="00216A01" w:rsidRPr="00EE3B86" w:rsidRDefault="00216A01" w:rsidP="00216A01">
      <w:pPr>
        <w:jc w:val="right"/>
      </w:pPr>
      <w:r w:rsidRPr="00EE3B86">
        <w:t>RESPONDENT</w:t>
      </w:r>
    </w:p>
    <w:p w14:paraId="62EF40FC" w14:textId="77777777" w:rsidR="007C01F5" w:rsidRPr="00EE3B86" w:rsidRDefault="007C01F5" w:rsidP="007C01F5"/>
    <w:p w14:paraId="0F9CDF43" w14:textId="77777777" w:rsidR="007C01F5" w:rsidRPr="00EE3B86" w:rsidRDefault="007C01F5" w:rsidP="007C01F5"/>
    <w:p w14:paraId="102DCD68" w14:textId="77777777" w:rsidR="007C01F5" w:rsidRPr="00EE3B86" w:rsidRDefault="009B559A" w:rsidP="007C01F5">
      <w:r w:rsidRPr="00EE3B86">
        <w:rPr>
          <w:noProof/>
          <w:lang w:eastAsia="it-IT"/>
        </w:rPr>
        <mc:AlternateContent>
          <mc:Choice Requires="wps">
            <w:drawing>
              <wp:anchor distT="0" distB="0" distL="114300" distR="114300" simplePos="0" relativeHeight="251658240" behindDoc="0" locked="0" layoutInCell="1" allowOverlap="1" wp14:anchorId="780289D3" wp14:editId="22D7B999">
                <wp:simplePos x="0" y="0"/>
                <wp:positionH relativeFrom="margin">
                  <wp:align>left</wp:align>
                </wp:positionH>
                <wp:positionV relativeFrom="line">
                  <wp:align>bottom</wp:align>
                </wp:positionV>
                <wp:extent cx="5915025" cy="0"/>
                <wp:effectExtent l="0" t="12700" r="0" b="0"/>
                <wp:wrapNone/>
                <wp:docPr id="99091260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pic="http://schemas.openxmlformats.org/drawingml/2006/picture" xmlns:arto="http://schemas.microsoft.com/office/word/2006/arto" xmlns:a14="http://schemas.microsoft.com/office/drawing/2010/main" xmlns:a="http://schemas.openxmlformats.org/drawingml/2006/main">
            <w:pict w14:anchorId="710E43DF">
              <v:shapetype id="_x0000_t32" coordsize="21600,21600" o:oned="t" filled="f" o:spt="32" path="m,l21600,21600e" w14:anchorId="79D22E0E">
                <v:path fillok="f" arrowok="t" o:connecttype="none"/>
                <o:lock v:ext="edit" shapetype="t"/>
              </v:shapetype>
              <v:shape id="AutoShape 3" style="position:absolute;margin-left:0;margin-top:0;width:465.75pt;height:0;z-index:251657216;visibility:visible;mso-wrap-style:square;mso-width-percent:1000;mso-height-percent:0;mso-wrap-distance-left:9pt;mso-wrap-distance-top:0;mso-wrap-distance-right:9pt;mso-wrap-distance-bottom:0;mso-position-horizontal:left;mso-position-horizontal-relative:margin;mso-position-vertical:bottom;mso-position-vertical-relative:line;mso-width-percent:1000;mso-height-percent:0;mso-width-relative:margin;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">
                <o:lock v:ext="edit" shapetype="f"/>
                <w10:wrap anchorx="margin" anchory="line"/>
              </v:shape>
            </w:pict>
          </mc:Fallback>
        </mc:AlternateContent>
      </w:r>
    </w:p>
    <w:p w14:paraId="482DCDDF" w14:textId="77777777" w:rsidR="007C01F5" w:rsidRPr="00EE3B86" w:rsidRDefault="007C01F5" w:rsidP="007C01F5">
      <w:pPr>
        <w:jc w:val="center"/>
        <w:rPr>
          <w:b/>
        </w:rPr>
      </w:pPr>
      <w:r w:rsidRPr="00EE3B86">
        <w:rPr>
          <w:b/>
        </w:rPr>
        <w:t xml:space="preserve">FACTUM OF THE </w:t>
      </w:r>
      <w:r w:rsidR="00EE2290" w:rsidRPr="00EE3B86">
        <w:rPr>
          <w:b/>
        </w:rPr>
        <w:t>RESPONDENT</w:t>
      </w:r>
    </w:p>
    <w:p w14:paraId="480CE9BF" w14:textId="0A7C88A3" w:rsidR="00FC4847" w:rsidRPr="00EE3B86" w:rsidRDefault="00E91273" w:rsidP="007C01F5">
      <w:pPr>
        <w:jc w:val="center"/>
      </w:pPr>
      <w:r w:rsidRPr="00EE3B86">
        <w:rPr>
          <w:b/>
          <w:caps/>
        </w:rPr>
        <w:t>Consolidated Homes</w:t>
      </w:r>
      <w:r w:rsidRPr="00EE3B86">
        <w:rPr>
          <w:b/>
        </w:rPr>
        <w:t xml:space="preserve"> </w:t>
      </w:r>
      <w:r w:rsidR="00DB21A8" w:rsidRPr="00EE3B86">
        <w:rPr>
          <w:b/>
        </w:rPr>
        <w:t>LTD.</w:t>
      </w:r>
    </w:p>
    <w:p w14:paraId="32702652" w14:textId="77777777" w:rsidR="007C01F5" w:rsidRPr="00EE3B86" w:rsidRDefault="007C01F5" w:rsidP="007C01F5">
      <w:pPr>
        <w:jc w:val="center"/>
      </w:pPr>
      <w:r w:rsidRPr="00EE3B86">
        <w:t>Pursuant to Rule 12 of the</w:t>
      </w:r>
    </w:p>
    <w:p w14:paraId="137ADAC7" w14:textId="1CA48ABF" w:rsidR="007C01F5" w:rsidRPr="00EE3B86" w:rsidRDefault="007C01F5" w:rsidP="007C01F5">
      <w:pPr>
        <w:jc w:val="center"/>
      </w:pPr>
      <w:r w:rsidRPr="00EE3B86">
        <w:t>Willms &amp; Shier Environmental Law Moot Official</w:t>
      </w:r>
      <w:r w:rsidR="00803711" w:rsidRPr="00EE3B86">
        <w:t xml:space="preserve"> Competition Rules </w:t>
      </w:r>
      <w:r w:rsidR="00915A04" w:rsidRPr="00EE3B86">
        <w:t>202</w:t>
      </w:r>
      <w:r w:rsidR="00FF7162" w:rsidRPr="00EE3B86">
        <w:t>6</w:t>
      </w:r>
    </w:p>
    <w:p w14:paraId="6B27C69A" w14:textId="77777777" w:rsidR="007C01F5" w:rsidRPr="00EE3B86" w:rsidRDefault="007C01F5" w:rsidP="007C01F5">
      <w:pPr>
        <w:jc w:val="center"/>
      </w:pPr>
    </w:p>
    <w:p w14:paraId="6FFAF8A1" w14:textId="77777777" w:rsidR="007C01F5" w:rsidRPr="00EE3B86" w:rsidRDefault="009B559A" w:rsidP="007C01F5">
      <w:r w:rsidRPr="00EE3B86">
        <w:rPr>
          <w:noProof/>
          <w:lang w:eastAsia="it-IT"/>
        </w:rPr>
        <mc:AlternateContent>
          <mc:Choice Requires="wps">
            <w:drawing>
              <wp:anchor distT="0" distB="0" distL="114300" distR="114300" simplePos="0" relativeHeight="251658242" behindDoc="0" locked="0" layoutInCell="1" allowOverlap="1" wp14:anchorId="146E6B47" wp14:editId="48F7D888">
                <wp:simplePos x="0" y="0"/>
                <wp:positionH relativeFrom="margin">
                  <wp:align>left</wp:align>
                </wp:positionH>
                <wp:positionV relativeFrom="line">
                  <wp:align>top</wp:align>
                </wp:positionV>
                <wp:extent cx="5913755" cy="0"/>
                <wp:effectExtent l="0" t="12700" r="0" b="0"/>
                <wp:wrapNone/>
                <wp:docPr id="55140182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375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pic="http://schemas.openxmlformats.org/drawingml/2006/picture" xmlns:arto="http://schemas.microsoft.com/office/word/2006/arto" xmlns:a14="http://schemas.microsoft.com/office/drawing/2010/main" xmlns:a="http://schemas.openxmlformats.org/drawingml/2006/main">
            <w:pict w14:anchorId="0F003380">
              <v:shape id="AutoShape 4" style="position:absolute;margin-left:0;margin-top:0;width:465.65pt;height:0;z-index:251658240;visibility:visible;mso-wrap-style:square;mso-width-percent:1000;mso-height-percent:0;mso-wrap-distance-left:9pt;mso-wrap-distance-top:0;mso-wrap-distance-right:9pt;mso-wrap-distance-bottom:0;mso-position-horizontal:left;mso-position-horizontal-relative:margin;mso-position-vertical:top;mso-position-vertical-relative:line;mso-width-percent:1000;mso-height-percent:0;mso-width-relative:margin;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" w14:anchorId="609826E3">
                <o:lock v:ext="edit" shapetype="f"/>
                <w10:wrap anchorx="margin" anchory="line"/>
              </v:shape>
            </w:pict>
          </mc:Fallback>
        </mc:AlternateContent>
      </w:r>
    </w:p>
    <w:p w14:paraId="0A212DE8" w14:textId="77777777" w:rsidR="007C01F5" w:rsidRPr="00EE3B86" w:rsidRDefault="007C01F5" w:rsidP="007C01F5"/>
    <w:p w14:paraId="35EAC2AC" w14:textId="156A9FC9" w:rsidR="00665D50" w:rsidRPr="00EE3B86" w:rsidRDefault="007C01F5" w:rsidP="00665D50">
      <w:pPr>
        <w:jc w:val="right"/>
      </w:pPr>
      <w:r w:rsidRPr="00EE3B86">
        <w:t>T</w:t>
      </w:r>
      <w:r w:rsidR="00812A9C" w:rsidRPr="00EE3B86">
        <w:t>EAM #</w:t>
      </w:r>
      <w:r w:rsidR="00B161A2" w:rsidRPr="00EE3B86">
        <w:t xml:space="preserve"> 2026-12</w:t>
      </w:r>
    </w:p>
    <w:p w14:paraId="0A3B0C77" w14:textId="77777777" w:rsidR="000E4220" w:rsidRPr="00EE3B86" w:rsidRDefault="000E4220" w:rsidP="00665D50">
      <w:pPr>
        <w:ind w:left="1440" w:hanging="1440"/>
        <w:rPr>
          <w:b/>
        </w:rPr>
        <w:sectPr w:rsidR="000E4220" w:rsidRPr="00EE3B86" w:rsidSect="0019403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fmt="upperRoman" w:start="1"/>
          <w:cols w:space="720"/>
          <w:titlePg/>
          <w:docGrid w:linePitch="360"/>
        </w:sectPr>
      </w:pPr>
    </w:p>
    <w:p w14:paraId="1659EBC1" w14:textId="77777777" w:rsidR="00665D50" w:rsidRPr="00EE3B86" w:rsidRDefault="00665D50" w:rsidP="00665D50">
      <w:pPr>
        <w:ind w:left="1440" w:hanging="1440"/>
        <w:rPr>
          <w:b/>
        </w:rPr>
      </w:pPr>
      <w:r w:rsidRPr="00EE3B86">
        <w:rPr>
          <w:b/>
        </w:rPr>
        <w:lastRenderedPageBreak/>
        <w:t xml:space="preserve">TO: </w:t>
      </w:r>
      <w:r w:rsidRPr="00EE3B86">
        <w:rPr>
          <w:b/>
        </w:rPr>
        <w:tab/>
        <w:t xml:space="preserve">THE REGISTRAR OF THE </w:t>
      </w:r>
      <w:r w:rsidR="000B51BA" w:rsidRPr="00EE3B86">
        <w:rPr>
          <w:b/>
        </w:rPr>
        <w:br/>
      </w:r>
      <w:r w:rsidRPr="00EE3B86">
        <w:rPr>
          <w:b/>
        </w:rPr>
        <w:t>SUPREME ENVIRONMENTAL MOOT COURT OF CANADA</w:t>
      </w:r>
    </w:p>
    <w:p w14:paraId="12B5F946" w14:textId="77777777" w:rsidR="00665D50" w:rsidRPr="00EE3B86" w:rsidRDefault="00665D50" w:rsidP="00665D50">
      <w:pPr>
        <w:ind w:left="1440" w:hanging="1440"/>
        <w:rPr>
          <w:b/>
        </w:rPr>
      </w:pPr>
    </w:p>
    <w:p w14:paraId="6A28A1B5" w14:textId="77777777" w:rsidR="00665D50" w:rsidRPr="00EE3B86" w:rsidRDefault="00665D50" w:rsidP="00665D50">
      <w:pPr>
        <w:ind w:left="1440" w:hanging="1440"/>
        <w:rPr>
          <w:b/>
        </w:rPr>
      </w:pPr>
      <w:r w:rsidRPr="00EE3B86">
        <w:rPr>
          <w:b/>
        </w:rPr>
        <w:t xml:space="preserve">AND TO: </w:t>
      </w:r>
      <w:r w:rsidRPr="00EE3B86">
        <w:rPr>
          <w:b/>
        </w:rPr>
        <w:tab/>
        <w:t>ALL REGISTERED TEAMS</w:t>
      </w:r>
    </w:p>
    <w:p w14:paraId="33D08E32" w14:textId="77777777" w:rsidR="00896769" w:rsidRPr="00EE3B86" w:rsidRDefault="00896769" w:rsidP="00896769">
      <w:pPr>
        <w:sectPr w:rsidR="00896769" w:rsidRPr="00EE3B86" w:rsidSect="00194038">
          <w:headerReference w:type="default" r:id="rId17"/>
          <w:pgSz w:w="12240" w:h="15840" w:code="1"/>
          <w:pgMar w:top="1440" w:right="1440" w:bottom="1440" w:left="1440" w:header="720" w:footer="720" w:gutter="0"/>
          <w:cols w:space="720"/>
          <w:titlePg/>
          <w:docGrid w:linePitch="360"/>
        </w:sectPr>
      </w:pPr>
    </w:p>
    <w:p w14:paraId="62EBEE27" w14:textId="77777777" w:rsidR="00A85602" w:rsidRPr="00EE3B86" w:rsidRDefault="00037BFB" w:rsidP="00DD6E8C">
      <w:pPr>
        <w:spacing w:line="360" w:lineRule="auto"/>
        <w:jc w:val="center"/>
        <w:rPr>
          <w:b/>
        </w:rPr>
      </w:pPr>
      <w:r w:rsidRPr="00EE3B86">
        <w:rPr>
          <w:b/>
        </w:rPr>
        <w:lastRenderedPageBreak/>
        <w:t>TABLE OF CONTENTS</w:t>
      </w:r>
    </w:p>
    <w:p w14:paraId="101C2DC8" w14:textId="77777777" w:rsidR="00665D50" w:rsidRPr="00EE3B86" w:rsidRDefault="00665D50" w:rsidP="00CE4218">
      <w:pPr>
        <w:spacing w:line="360" w:lineRule="auto"/>
        <w:jc w:val="right"/>
      </w:pPr>
      <w:r w:rsidRPr="00EE3B86">
        <w:rPr>
          <w:b/>
        </w:rPr>
        <w:t>Page No.</w:t>
      </w:r>
    </w:p>
    <w:p w14:paraId="4C2D3C93" w14:textId="716B615C" w:rsidR="00C35BAD" w:rsidRDefault="00CE4218" w:rsidP="00C35BAD">
      <w:pPr>
        <w:pStyle w:val="TOC1"/>
        <w:spacing w:line="276" w:lineRule="auto"/>
        <w:rPr>
          <w:rFonts w:asciiTheme="minorHAnsi" w:eastAsiaTheme="minorEastAsia" w:hAnsiTheme="minorHAnsi" w:cstheme="minorBidi"/>
          <w:b w:val="0"/>
          <w:bCs w:val="0"/>
          <w:kern w:val="2"/>
          <w:lang w:val="en-CA"/>
          <w14:ligatures w14:val="standardContextual"/>
        </w:rPr>
      </w:pPr>
      <w:r>
        <w:fldChar w:fldCharType="begin"/>
      </w:r>
      <w:r w:rsidR="00847C80">
        <w:instrText xml:space="preserve"> TOC \o "1-3" \u </w:instrText>
      </w:r>
      <w:r>
        <w:fldChar w:fldCharType="separate"/>
      </w:r>
      <w:r w:rsidR="00C35BAD" w:rsidRPr="006864E1">
        <w:t>PART I -- OVERVIEW AND STATEMENT OF FACTS</w:t>
      </w:r>
      <w:r w:rsidR="00C35BAD">
        <w:tab/>
      </w:r>
      <w:r w:rsidR="00C35BAD">
        <w:fldChar w:fldCharType="begin"/>
      </w:r>
      <w:r w:rsidR="00C35BAD">
        <w:instrText xml:space="preserve"> PAGEREF _Toc220056487 \h </w:instrText>
      </w:r>
      <w:r w:rsidR="00C35BAD">
        <w:fldChar w:fldCharType="separate"/>
      </w:r>
      <w:r w:rsidR="00C35BAD">
        <w:t>1</w:t>
      </w:r>
      <w:r w:rsidR="00C35BAD">
        <w:fldChar w:fldCharType="end"/>
      </w:r>
    </w:p>
    <w:p w14:paraId="7E79BA47" w14:textId="1BF90F78" w:rsidR="00C35BAD" w:rsidRDefault="00C35BAD" w:rsidP="00C35BAD">
      <w:pPr>
        <w:pStyle w:val="TOC2"/>
        <w:tabs>
          <w:tab w:val="left" w:pos="72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A.</w:t>
      </w:r>
      <w:r>
        <w:rPr>
          <w:rFonts w:asciiTheme="minorHAnsi" w:eastAsiaTheme="minorEastAsia" w:hAnsiTheme="minorHAnsi" w:cstheme="minorBidi"/>
          <w:noProof/>
          <w:kern w:val="2"/>
          <w:lang w:val="en-CA"/>
          <w14:ligatures w14:val="standardContextual"/>
        </w:rPr>
        <w:tab/>
      </w:r>
      <w:r w:rsidRPr="006864E1">
        <w:rPr>
          <w:noProof/>
        </w:rPr>
        <w:t>Overview of the Respondent’s Position</w:t>
      </w:r>
      <w:r>
        <w:rPr>
          <w:noProof/>
        </w:rPr>
        <w:tab/>
      </w:r>
      <w:r>
        <w:rPr>
          <w:noProof/>
        </w:rPr>
        <w:fldChar w:fldCharType="begin"/>
      </w:r>
      <w:r>
        <w:rPr>
          <w:noProof/>
        </w:rPr>
        <w:instrText xml:space="preserve"> PAGEREF _Toc220056488 \h </w:instrText>
      </w:r>
      <w:r>
        <w:rPr>
          <w:noProof/>
        </w:rPr>
      </w:r>
      <w:r>
        <w:rPr>
          <w:noProof/>
        </w:rPr>
        <w:fldChar w:fldCharType="separate"/>
      </w:r>
      <w:r>
        <w:rPr>
          <w:noProof/>
        </w:rPr>
        <w:t>1</w:t>
      </w:r>
      <w:r>
        <w:rPr>
          <w:noProof/>
        </w:rPr>
        <w:fldChar w:fldCharType="end"/>
      </w:r>
    </w:p>
    <w:p w14:paraId="1EEC1EB2" w14:textId="0E135895" w:rsidR="00C35BAD" w:rsidRDefault="00C35BAD" w:rsidP="00C35BAD">
      <w:pPr>
        <w:pStyle w:val="TOC2"/>
        <w:tabs>
          <w:tab w:val="left" w:pos="72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B.</w:t>
      </w:r>
      <w:r>
        <w:rPr>
          <w:rFonts w:asciiTheme="minorHAnsi" w:eastAsiaTheme="minorEastAsia" w:hAnsiTheme="minorHAnsi" w:cstheme="minorBidi"/>
          <w:noProof/>
          <w:kern w:val="2"/>
          <w:lang w:val="en-CA"/>
          <w14:ligatures w14:val="standardContextual"/>
        </w:rPr>
        <w:tab/>
      </w:r>
      <w:r w:rsidRPr="006864E1">
        <w:rPr>
          <w:noProof/>
        </w:rPr>
        <w:t>Statement of the Facts</w:t>
      </w:r>
      <w:r>
        <w:rPr>
          <w:noProof/>
        </w:rPr>
        <w:tab/>
      </w:r>
      <w:r>
        <w:rPr>
          <w:noProof/>
        </w:rPr>
        <w:fldChar w:fldCharType="begin"/>
      </w:r>
      <w:r>
        <w:rPr>
          <w:noProof/>
        </w:rPr>
        <w:instrText xml:space="preserve"> PAGEREF _Toc220056489 \h </w:instrText>
      </w:r>
      <w:r>
        <w:rPr>
          <w:noProof/>
        </w:rPr>
      </w:r>
      <w:r>
        <w:rPr>
          <w:noProof/>
        </w:rPr>
        <w:fldChar w:fldCharType="separate"/>
      </w:r>
      <w:r>
        <w:rPr>
          <w:noProof/>
        </w:rPr>
        <w:t>2</w:t>
      </w:r>
      <w:r>
        <w:rPr>
          <w:noProof/>
        </w:rPr>
        <w:fldChar w:fldCharType="end"/>
      </w:r>
    </w:p>
    <w:p w14:paraId="63625187" w14:textId="258020F5" w:rsidR="00C35BAD" w:rsidRDefault="00C35BAD" w:rsidP="00C35BAD">
      <w:pPr>
        <w:pStyle w:val="TOC1"/>
        <w:spacing w:line="276" w:lineRule="auto"/>
        <w:rPr>
          <w:rFonts w:asciiTheme="minorHAnsi" w:eastAsiaTheme="minorEastAsia" w:hAnsiTheme="minorHAnsi" w:cstheme="minorBidi"/>
          <w:b w:val="0"/>
          <w:bCs w:val="0"/>
          <w:kern w:val="2"/>
          <w:lang w:val="en-CA"/>
          <w14:ligatures w14:val="standardContextual"/>
        </w:rPr>
      </w:pPr>
      <w:r w:rsidRPr="006864E1">
        <w:t>PART II -- THE OCJ DID NOT ERR IN ALLOWING THE APPEAL</w:t>
      </w:r>
      <w:r>
        <w:tab/>
      </w:r>
      <w:r>
        <w:fldChar w:fldCharType="begin"/>
      </w:r>
      <w:r>
        <w:instrText xml:space="preserve"> PAGEREF _Toc220056490 \h </w:instrText>
      </w:r>
      <w:r>
        <w:fldChar w:fldCharType="separate"/>
      </w:r>
      <w:r>
        <w:t>2</w:t>
      </w:r>
      <w:r>
        <w:fldChar w:fldCharType="end"/>
      </w:r>
    </w:p>
    <w:p w14:paraId="4DDE9118" w14:textId="4051C571" w:rsidR="00C35BAD" w:rsidRDefault="00C35BAD" w:rsidP="00C35BAD">
      <w:pPr>
        <w:pStyle w:val="TOC1"/>
        <w:spacing w:line="276" w:lineRule="auto"/>
        <w:rPr>
          <w:rFonts w:asciiTheme="minorHAnsi" w:eastAsiaTheme="minorEastAsia" w:hAnsiTheme="minorHAnsi" w:cstheme="minorBidi"/>
          <w:b w:val="0"/>
          <w:bCs w:val="0"/>
          <w:kern w:val="2"/>
          <w:lang w:val="en-CA"/>
          <w14:ligatures w14:val="standardContextual"/>
        </w:rPr>
      </w:pPr>
      <w:r w:rsidRPr="006864E1">
        <w:t>PART III -- ARGUMENT</w:t>
      </w:r>
      <w:r>
        <w:tab/>
      </w:r>
      <w:r>
        <w:fldChar w:fldCharType="begin"/>
      </w:r>
      <w:r>
        <w:instrText xml:space="preserve"> PAGEREF _Toc220056491 \h </w:instrText>
      </w:r>
      <w:r>
        <w:fldChar w:fldCharType="separate"/>
      </w:r>
      <w:r>
        <w:t>3</w:t>
      </w:r>
      <w:r>
        <w:fldChar w:fldCharType="end"/>
      </w:r>
    </w:p>
    <w:p w14:paraId="6E711285" w14:textId="3C971782" w:rsidR="00C35BAD" w:rsidRDefault="00C35BAD" w:rsidP="00C35BAD">
      <w:pPr>
        <w:pStyle w:val="TOC2"/>
        <w:tabs>
          <w:tab w:val="left" w:pos="72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A.</w:t>
      </w:r>
      <w:r>
        <w:rPr>
          <w:rFonts w:asciiTheme="minorHAnsi" w:eastAsiaTheme="minorEastAsia" w:hAnsiTheme="minorHAnsi" w:cstheme="minorBidi"/>
          <w:noProof/>
          <w:kern w:val="2"/>
          <w:lang w:val="en-CA"/>
          <w14:ligatures w14:val="standardContextual"/>
        </w:rPr>
        <w:tab/>
      </w:r>
      <w:r w:rsidRPr="006864E1">
        <w:rPr>
          <w:noProof/>
        </w:rPr>
        <w:t>Issue 1: Sightings Near the Site Before and After the Offence are Irrelevant</w:t>
      </w:r>
      <w:r>
        <w:rPr>
          <w:noProof/>
        </w:rPr>
        <w:tab/>
      </w:r>
      <w:r>
        <w:rPr>
          <w:noProof/>
        </w:rPr>
        <w:fldChar w:fldCharType="begin"/>
      </w:r>
      <w:r>
        <w:rPr>
          <w:noProof/>
        </w:rPr>
        <w:instrText xml:space="preserve"> PAGEREF _Toc220056492 \h </w:instrText>
      </w:r>
      <w:r>
        <w:rPr>
          <w:noProof/>
        </w:rPr>
      </w:r>
      <w:r>
        <w:rPr>
          <w:noProof/>
        </w:rPr>
        <w:fldChar w:fldCharType="separate"/>
      </w:r>
      <w:r>
        <w:rPr>
          <w:noProof/>
        </w:rPr>
        <w:t>3</w:t>
      </w:r>
      <w:r>
        <w:rPr>
          <w:noProof/>
        </w:rPr>
        <w:fldChar w:fldCharType="end"/>
      </w:r>
    </w:p>
    <w:p w14:paraId="02E05921" w14:textId="069015D0" w:rsidR="00C35BAD" w:rsidRDefault="00C35BAD" w:rsidP="00C35BAD">
      <w:pPr>
        <w:pStyle w:val="TOC3"/>
        <w:tabs>
          <w:tab w:val="left" w:pos="96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w:t>
      </w:r>
      <w:r>
        <w:rPr>
          <w:rFonts w:asciiTheme="minorHAnsi" w:eastAsiaTheme="minorEastAsia" w:hAnsiTheme="minorHAnsi" w:cstheme="minorBidi"/>
          <w:noProof/>
          <w:kern w:val="2"/>
          <w:lang w:val="en-CA"/>
          <w14:ligatures w14:val="standardContextual"/>
        </w:rPr>
        <w:tab/>
      </w:r>
      <w:r w:rsidRPr="006864E1">
        <w:rPr>
          <w:noProof/>
        </w:rPr>
        <w:t xml:space="preserve">The </w:t>
      </w:r>
      <w:r w:rsidRPr="006864E1">
        <w:rPr>
          <w:i/>
          <w:iCs/>
          <w:noProof/>
        </w:rPr>
        <w:t>ESA</w:t>
      </w:r>
      <w:r w:rsidRPr="006864E1">
        <w:rPr>
          <w:noProof/>
        </w:rPr>
        <w:t xml:space="preserve"> Precludes Reliance on Sightings Outside of the Offence Period</w:t>
      </w:r>
      <w:r>
        <w:rPr>
          <w:noProof/>
        </w:rPr>
        <w:tab/>
      </w:r>
      <w:r>
        <w:rPr>
          <w:noProof/>
        </w:rPr>
        <w:fldChar w:fldCharType="begin"/>
      </w:r>
      <w:r>
        <w:rPr>
          <w:noProof/>
        </w:rPr>
        <w:instrText xml:space="preserve"> PAGEREF _Toc220056493 \h </w:instrText>
      </w:r>
      <w:r>
        <w:rPr>
          <w:noProof/>
        </w:rPr>
      </w:r>
      <w:r>
        <w:rPr>
          <w:noProof/>
        </w:rPr>
        <w:fldChar w:fldCharType="separate"/>
      </w:r>
      <w:r>
        <w:rPr>
          <w:noProof/>
        </w:rPr>
        <w:t>4</w:t>
      </w:r>
      <w:r>
        <w:rPr>
          <w:noProof/>
        </w:rPr>
        <w:fldChar w:fldCharType="end"/>
      </w:r>
    </w:p>
    <w:p w14:paraId="73C7EE2C" w14:textId="2FC52547" w:rsidR="00C35BAD" w:rsidRDefault="00C35BAD" w:rsidP="00C35BAD">
      <w:pPr>
        <w:pStyle w:val="TOC3"/>
        <w:tabs>
          <w:tab w:val="left" w:pos="120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(ii)</w:t>
      </w:r>
      <w:r>
        <w:rPr>
          <w:rFonts w:asciiTheme="minorHAnsi" w:eastAsiaTheme="minorEastAsia" w:hAnsiTheme="minorHAnsi" w:cstheme="minorBidi"/>
          <w:noProof/>
          <w:kern w:val="2"/>
          <w:lang w:val="en-CA"/>
          <w14:ligatures w14:val="standardContextual"/>
        </w:rPr>
        <w:tab/>
      </w:r>
      <w:r w:rsidRPr="006864E1">
        <w:rPr>
          <w:noProof/>
        </w:rPr>
        <w:t>No Blanding’s Turtles Existing on the Site</w:t>
      </w:r>
      <w:r>
        <w:rPr>
          <w:noProof/>
        </w:rPr>
        <w:tab/>
      </w:r>
      <w:r>
        <w:rPr>
          <w:noProof/>
        </w:rPr>
        <w:fldChar w:fldCharType="begin"/>
      </w:r>
      <w:r>
        <w:rPr>
          <w:noProof/>
        </w:rPr>
        <w:instrText xml:space="preserve"> PAGEREF _Toc220056494 \h </w:instrText>
      </w:r>
      <w:r>
        <w:rPr>
          <w:noProof/>
        </w:rPr>
      </w:r>
      <w:r>
        <w:rPr>
          <w:noProof/>
        </w:rPr>
        <w:fldChar w:fldCharType="separate"/>
      </w:r>
      <w:r>
        <w:rPr>
          <w:noProof/>
        </w:rPr>
        <w:t>5</w:t>
      </w:r>
      <w:r>
        <w:rPr>
          <w:noProof/>
        </w:rPr>
        <w:fldChar w:fldCharType="end"/>
      </w:r>
    </w:p>
    <w:p w14:paraId="58090E1D" w14:textId="1853AEA8" w:rsidR="00C35BAD" w:rsidRDefault="00C35BAD" w:rsidP="00C35BAD">
      <w:pPr>
        <w:pStyle w:val="TOC3"/>
        <w:tabs>
          <w:tab w:val="left" w:pos="120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(iii)</w:t>
      </w:r>
      <w:r>
        <w:rPr>
          <w:rFonts w:asciiTheme="minorHAnsi" w:eastAsiaTheme="minorEastAsia" w:hAnsiTheme="minorHAnsi" w:cstheme="minorBidi"/>
          <w:noProof/>
          <w:kern w:val="2"/>
          <w:lang w:val="en-CA"/>
          <w14:ligatures w14:val="standardContextual"/>
        </w:rPr>
        <w:tab/>
      </w:r>
      <w:r w:rsidRPr="006864E1">
        <w:rPr>
          <w:noProof/>
        </w:rPr>
        <w:t>No Reliable Evidence of Blanding’s Turtle Habitat During the Offence Period</w:t>
      </w:r>
      <w:r>
        <w:rPr>
          <w:noProof/>
        </w:rPr>
        <w:tab/>
      </w:r>
      <w:r>
        <w:rPr>
          <w:noProof/>
        </w:rPr>
        <w:fldChar w:fldCharType="begin"/>
      </w:r>
      <w:r>
        <w:rPr>
          <w:noProof/>
        </w:rPr>
        <w:instrText xml:space="preserve"> PAGEREF _Toc220056495 \h </w:instrText>
      </w:r>
      <w:r>
        <w:rPr>
          <w:noProof/>
        </w:rPr>
      </w:r>
      <w:r>
        <w:rPr>
          <w:noProof/>
        </w:rPr>
        <w:fldChar w:fldCharType="separate"/>
      </w:r>
      <w:r>
        <w:rPr>
          <w:noProof/>
        </w:rPr>
        <w:t>7</w:t>
      </w:r>
      <w:r>
        <w:rPr>
          <w:noProof/>
        </w:rPr>
        <w:fldChar w:fldCharType="end"/>
      </w:r>
    </w:p>
    <w:p w14:paraId="6E6F502A" w14:textId="4AD92490" w:rsidR="00C35BAD" w:rsidRDefault="00C35BAD" w:rsidP="00C35BAD">
      <w:pPr>
        <w:pStyle w:val="TOC3"/>
        <w:tabs>
          <w:tab w:val="left" w:pos="120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(iv)</w:t>
      </w:r>
      <w:r>
        <w:rPr>
          <w:rFonts w:asciiTheme="minorHAnsi" w:eastAsiaTheme="minorEastAsia" w:hAnsiTheme="minorHAnsi" w:cstheme="minorBidi"/>
          <w:noProof/>
          <w:kern w:val="2"/>
          <w:lang w:val="en-CA"/>
          <w14:ligatures w14:val="standardContextual"/>
        </w:rPr>
        <w:tab/>
      </w:r>
      <w:r w:rsidRPr="006864E1">
        <w:rPr>
          <w:noProof/>
        </w:rPr>
        <w:t xml:space="preserve">The Purpose of the </w:t>
      </w:r>
      <w:r w:rsidRPr="006864E1">
        <w:rPr>
          <w:i/>
          <w:iCs/>
          <w:noProof/>
        </w:rPr>
        <w:t>ESA</w:t>
      </w:r>
      <w:r w:rsidRPr="006864E1">
        <w:rPr>
          <w:noProof/>
        </w:rPr>
        <w:t xml:space="preserve"> is Upheld</w:t>
      </w:r>
      <w:r>
        <w:rPr>
          <w:noProof/>
        </w:rPr>
        <w:tab/>
      </w:r>
      <w:r>
        <w:rPr>
          <w:noProof/>
        </w:rPr>
        <w:fldChar w:fldCharType="begin"/>
      </w:r>
      <w:r>
        <w:rPr>
          <w:noProof/>
        </w:rPr>
        <w:instrText xml:space="preserve"> PAGEREF _Toc220056496 \h </w:instrText>
      </w:r>
      <w:r>
        <w:rPr>
          <w:noProof/>
        </w:rPr>
      </w:r>
      <w:r>
        <w:rPr>
          <w:noProof/>
        </w:rPr>
        <w:fldChar w:fldCharType="separate"/>
      </w:r>
      <w:r>
        <w:rPr>
          <w:noProof/>
        </w:rPr>
        <w:t>7</w:t>
      </w:r>
      <w:r>
        <w:rPr>
          <w:noProof/>
        </w:rPr>
        <w:fldChar w:fldCharType="end"/>
      </w:r>
    </w:p>
    <w:p w14:paraId="3F634F19" w14:textId="01649614" w:rsidR="00C35BAD" w:rsidRDefault="00C35BAD" w:rsidP="00C35BAD">
      <w:pPr>
        <w:pStyle w:val="TOC2"/>
        <w:tabs>
          <w:tab w:val="left" w:pos="72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B.</w:t>
      </w:r>
      <w:r>
        <w:rPr>
          <w:rFonts w:asciiTheme="minorHAnsi" w:eastAsiaTheme="minorEastAsia" w:hAnsiTheme="minorHAnsi" w:cstheme="minorBidi"/>
          <w:noProof/>
          <w:kern w:val="2"/>
          <w:lang w:val="en-CA"/>
          <w14:ligatures w14:val="standardContextual"/>
        </w:rPr>
        <w:tab/>
      </w:r>
      <w:r w:rsidRPr="006864E1">
        <w:rPr>
          <w:noProof/>
        </w:rPr>
        <w:t>Issue 2: “General Habitat Description for the Blanding’s Turtle” is Not a Legal Instrument</w:t>
      </w:r>
      <w:r>
        <w:rPr>
          <w:noProof/>
        </w:rPr>
        <w:tab/>
      </w:r>
      <w:r>
        <w:rPr>
          <w:noProof/>
        </w:rPr>
        <w:fldChar w:fldCharType="begin"/>
      </w:r>
      <w:r>
        <w:rPr>
          <w:noProof/>
        </w:rPr>
        <w:instrText xml:space="preserve"> PAGEREF _Toc220056497 \h </w:instrText>
      </w:r>
      <w:r>
        <w:rPr>
          <w:noProof/>
        </w:rPr>
      </w:r>
      <w:r>
        <w:rPr>
          <w:noProof/>
        </w:rPr>
        <w:fldChar w:fldCharType="separate"/>
      </w:r>
      <w:r>
        <w:rPr>
          <w:noProof/>
        </w:rPr>
        <w:t>8</w:t>
      </w:r>
      <w:r>
        <w:rPr>
          <w:noProof/>
        </w:rPr>
        <w:fldChar w:fldCharType="end"/>
      </w:r>
    </w:p>
    <w:p w14:paraId="5FDE44E0" w14:textId="09C711C7" w:rsidR="00C35BAD" w:rsidRDefault="00C35BAD" w:rsidP="00C35BAD">
      <w:pPr>
        <w:pStyle w:val="TOC3"/>
        <w:tabs>
          <w:tab w:val="left" w:pos="96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w:t>
      </w:r>
      <w:r>
        <w:rPr>
          <w:rFonts w:asciiTheme="minorHAnsi" w:eastAsiaTheme="minorEastAsia" w:hAnsiTheme="minorHAnsi" w:cstheme="minorBidi"/>
          <w:noProof/>
          <w:kern w:val="2"/>
          <w:lang w:val="en-CA"/>
          <w14:ligatures w14:val="standardContextual"/>
        </w:rPr>
        <w:tab/>
      </w:r>
      <w:r w:rsidRPr="006864E1">
        <w:rPr>
          <w:noProof/>
        </w:rPr>
        <w:t>General Guidance of the GHD Is Not Site-Specific Proof</w:t>
      </w:r>
      <w:r>
        <w:rPr>
          <w:noProof/>
        </w:rPr>
        <w:tab/>
      </w:r>
      <w:r>
        <w:rPr>
          <w:noProof/>
        </w:rPr>
        <w:fldChar w:fldCharType="begin"/>
      </w:r>
      <w:r>
        <w:rPr>
          <w:noProof/>
        </w:rPr>
        <w:instrText xml:space="preserve"> PAGEREF _Toc220056498 \h </w:instrText>
      </w:r>
      <w:r>
        <w:rPr>
          <w:noProof/>
        </w:rPr>
      </w:r>
      <w:r>
        <w:rPr>
          <w:noProof/>
        </w:rPr>
        <w:fldChar w:fldCharType="separate"/>
      </w:r>
      <w:r>
        <w:rPr>
          <w:noProof/>
        </w:rPr>
        <w:t>8</w:t>
      </w:r>
      <w:r>
        <w:rPr>
          <w:noProof/>
        </w:rPr>
        <w:fldChar w:fldCharType="end"/>
      </w:r>
    </w:p>
    <w:p w14:paraId="6D053A8F" w14:textId="1C7D7974" w:rsidR="00C35BAD" w:rsidRDefault="00C35BAD" w:rsidP="00C35BAD">
      <w:pPr>
        <w:pStyle w:val="TOC3"/>
        <w:tabs>
          <w:tab w:val="left" w:pos="120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(ii)</w:t>
      </w:r>
      <w:r>
        <w:rPr>
          <w:rFonts w:asciiTheme="minorHAnsi" w:eastAsiaTheme="minorEastAsia" w:hAnsiTheme="minorHAnsi" w:cstheme="minorBidi"/>
          <w:noProof/>
          <w:kern w:val="2"/>
          <w:lang w:val="en-CA"/>
          <w14:ligatures w14:val="standardContextual"/>
        </w:rPr>
        <w:tab/>
      </w:r>
      <w:r w:rsidRPr="006864E1">
        <w:rPr>
          <w:noProof/>
        </w:rPr>
        <w:t>Consideration of the GHD Does Not Impact the Decision</w:t>
      </w:r>
      <w:r>
        <w:rPr>
          <w:noProof/>
        </w:rPr>
        <w:tab/>
      </w:r>
      <w:r>
        <w:rPr>
          <w:noProof/>
        </w:rPr>
        <w:fldChar w:fldCharType="begin"/>
      </w:r>
      <w:r>
        <w:rPr>
          <w:noProof/>
        </w:rPr>
        <w:instrText xml:space="preserve"> PAGEREF _Toc220056499 \h </w:instrText>
      </w:r>
      <w:r>
        <w:rPr>
          <w:noProof/>
        </w:rPr>
      </w:r>
      <w:r>
        <w:rPr>
          <w:noProof/>
        </w:rPr>
        <w:fldChar w:fldCharType="separate"/>
      </w:r>
      <w:r>
        <w:rPr>
          <w:noProof/>
        </w:rPr>
        <w:t>10</w:t>
      </w:r>
      <w:r>
        <w:rPr>
          <w:noProof/>
        </w:rPr>
        <w:fldChar w:fldCharType="end"/>
      </w:r>
    </w:p>
    <w:p w14:paraId="7CA48372" w14:textId="35D0BC93" w:rsidR="00C35BAD" w:rsidRDefault="00C35BAD" w:rsidP="00C35BAD">
      <w:pPr>
        <w:pStyle w:val="TOC3"/>
        <w:tabs>
          <w:tab w:val="left" w:pos="120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(iii)</w:t>
      </w:r>
      <w:r>
        <w:rPr>
          <w:rFonts w:asciiTheme="minorHAnsi" w:eastAsiaTheme="minorEastAsia" w:hAnsiTheme="minorHAnsi" w:cstheme="minorBidi"/>
          <w:noProof/>
          <w:kern w:val="2"/>
          <w:lang w:val="en-CA"/>
          <w14:ligatures w14:val="standardContextual"/>
        </w:rPr>
        <w:tab/>
      </w:r>
      <w:r w:rsidRPr="006864E1">
        <w:rPr>
          <w:noProof/>
        </w:rPr>
        <w:t>Improper Reliance on the GHD</w:t>
      </w:r>
      <w:r>
        <w:rPr>
          <w:noProof/>
        </w:rPr>
        <w:tab/>
      </w:r>
      <w:r>
        <w:rPr>
          <w:noProof/>
        </w:rPr>
        <w:fldChar w:fldCharType="begin"/>
      </w:r>
      <w:r>
        <w:rPr>
          <w:noProof/>
        </w:rPr>
        <w:instrText xml:space="preserve"> PAGEREF _Toc220056500 \h </w:instrText>
      </w:r>
      <w:r>
        <w:rPr>
          <w:noProof/>
        </w:rPr>
      </w:r>
      <w:r>
        <w:rPr>
          <w:noProof/>
        </w:rPr>
        <w:fldChar w:fldCharType="separate"/>
      </w:r>
      <w:r>
        <w:rPr>
          <w:noProof/>
        </w:rPr>
        <w:t>10</w:t>
      </w:r>
      <w:r>
        <w:rPr>
          <w:noProof/>
        </w:rPr>
        <w:fldChar w:fldCharType="end"/>
      </w:r>
    </w:p>
    <w:p w14:paraId="4E53A439" w14:textId="40BF88DD" w:rsidR="00C35BAD" w:rsidRDefault="00C35BAD" w:rsidP="00C35BAD">
      <w:pPr>
        <w:pStyle w:val="TOC3"/>
        <w:tabs>
          <w:tab w:val="left" w:pos="120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(iv)</w:t>
      </w:r>
      <w:r>
        <w:rPr>
          <w:rFonts w:asciiTheme="minorHAnsi" w:eastAsiaTheme="minorEastAsia" w:hAnsiTheme="minorHAnsi" w:cstheme="minorBidi"/>
          <w:noProof/>
          <w:kern w:val="2"/>
          <w:lang w:val="en-CA"/>
          <w14:ligatures w14:val="standardContextual"/>
        </w:rPr>
        <w:tab/>
      </w:r>
      <w:r w:rsidRPr="006864E1">
        <w:rPr>
          <w:noProof/>
        </w:rPr>
        <w:t>Definition of Habitat Is Not Defined in the GHD</w:t>
      </w:r>
      <w:r>
        <w:rPr>
          <w:noProof/>
        </w:rPr>
        <w:tab/>
      </w:r>
      <w:r>
        <w:rPr>
          <w:noProof/>
        </w:rPr>
        <w:fldChar w:fldCharType="begin"/>
      </w:r>
      <w:r>
        <w:rPr>
          <w:noProof/>
        </w:rPr>
        <w:instrText xml:space="preserve"> PAGEREF _Toc220056501 \h </w:instrText>
      </w:r>
      <w:r>
        <w:rPr>
          <w:noProof/>
        </w:rPr>
      </w:r>
      <w:r>
        <w:rPr>
          <w:noProof/>
        </w:rPr>
        <w:fldChar w:fldCharType="separate"/>
      </w:r>
      <w:r>
        <w:rPr>
          <w:noProof/>
        </w:rPr>
        <w:t>10</w:t>
      </w:r>
      <w:r>
        <w:rPr>
          <w:noProof/>
        </w:rPr>
        <w:fldChar w:fldCharType="end"/>
      </w:r>
    </w:p>
    <w:p w14:paraId="79D009A0" w14:textId="017E72E6" w:rsidR="00C35BAD" w:rsidRDefault="00C35BAD" w:rsidP="00C35BAD">
      <w:pPr>
        <w:pStyle w:val="TOC2"/>
        <w:tabs>
          <w:tab w:val="left" w:pos="72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C.</w:t>
      </w:r>
      <w:r>
        <w:rPr>
          <w:rFonts w:asciiTheme="minorHAnsi" w:eastAsiaTheme="minorEastAsia" w:hAnsiTheme="minorHAnsi" w:cstheme="minorBidi"/>
          <w:noProof/>
          <w:kern w:val="2"/>
          <w:lang w:val="en-CA"/>
          <w14:ligatures w14:val="standardContextual"/>
        </w:rPr>
        <w:tab/>
      </w:r>
      <w:r w:rsidRPr="006864E1">
        <w:rPr>
          <w:noProof/>
        </w:rPr>
        <w:t>Issue 3: No Error in Applying the Statutory Definition of Habitat, Including Indirect Dependence.</w:t>
      </w:r>
      <w:r>
        <w:rPr>
          <w:noProof/>
        </w:rPr>
        <w:tab/>
      </w:r>
      <w:r>
        <w:rPr>
          <w:noProof/>
        </w:rPr>
        <w:fldChar w:fldCharType="begin"/>
      </w:r>
      <w:r>
        <w:rPr>
          <w:noProof/>
        </w:rPr>
        <w:instrText xml:space="preserve"> PAGEREF _Toc220056502 \h </w:instrText>
      </w:r>
      <w:r>
        <w:rPr>
          <w:noProof/>
        </w:rPr>
      </w:r>
      <w:r>
        <w:rPr>
          <w:noProof/>
        </w:rPr>
        <w:fldChar w:fldCharType="separate"/>
      </w:r>
      <w:r>
        <w:rPr>
          <w:noProof/>
        </w:rPr>
        <w:t>12</w:t>
      </w:r>
      <w:r>
        <w:rPr>
          <w:noProof/>
        </w:rPr>
        <w:fldChar w:fldCharType="end"/>
      </w:r>
    </w:p>
    <w:p w14:paraId="3D0E470C" w14:textId="0F99CA5E" w:rsidR="00C35BAD" w:rsidRDefault="00C35BAD" w:rsidP="00C35BAD">
      <w:pPr>
        <w:pStyle w:val="TOC3"/>
        <w:tabs>
          <w:tab w:val="left" w:pos="96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w:t>
      </w:r>
      <w:r>
        <w:rPr>
          <w:rFonts w:asciiTheme="minorHAnsi" w:eastAsiaTheme="minorEastAsia" w:hAnsiTheme="minorHAnsi" w:cstheme="minorBidi"/>
          <w:noProof/>
          <w:kern w:val="2"/>
          <w:lang w:val="en-CA"/>
          <w14:ligatures w14:val="standardContextual"/>
        </w:rPr>
        <w:tab/>
      </w:r>
      <w:r w:rsidRPr="006864E1">
        <w:rPr>
          <w:noProof/>
        </w:rPr>
        <w:t xml:space="preserve">The OCJ Applied the Correct Legal Test Under the </w:t>
      </w:r>
      <w:r w:rsidRPr="006864E1">
        <w:rPr>
          <w:i/>
          <w:iCs/>
          <w:noProof/>
        </w:rPr>
        <w:t>ESA</w:t>
      </w:r>
      <w:r>
        <w:rPr>
          <w:noProof/>
        </w:rPr>
        <w:tab/>
      </w:r>
      <w:r>
        <w:rPr>
          <w:noProof/>
        </w:rPr>
        <w:fldChar w:fldCharType="begin"/>
      </w:r>
      <w:r>
        <w:rPr>
          <w:noProof/>
        </w:rPr>
        <w:instrText xml:space="preserve"> PAGEREF _Toc220056503 \h </w:instrText>
      </w:r>
      <w:r>
        <w:rPr>
          <w:noProof/>
        </w:rPr>
      </w:r>
      <w:r>
        <w:rPr>
          <w:noProof/>
        </w:rPr>
        <w:fldChar w:fldCharType="separate"/>
      </w:r>
      <w:r>
        <w:rPr>
          <w:noProof/>
        </w:rPr>
        <w:t>12</w:t>
      </w:r>
      <w:r>
        <w:rPr>
          <w:noProof/>
        </w:rPr>
        <w:fldChar w:fldCharType="end"/>
      </w:r>
    </w:p>
    <w:p w14:paraId="67C85DDD" w14:textId="6F189977" w:rsidR="00C35BAD" w:rsidRDefault="00C35BAD" w:rsidP="00C35BAD">
      <w:pPr>
        <w:pStyle w:val="TOC3"/>
        <w:tabs>
          <w:tab w:val="left" w:pos="120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iCs/>
          <w:noProof/>
        </w:rPr>
        <w:t>(ii)</w:t>
      </w:r>
      <w:r>
        <w:rPr>
          <w:rFonts w:asciiTheme="minorHAnsi" w:eastAsiaTheme="minorEastAsia" w:hAnsiTheme="minorHAnsi" w:cstheme="minorBidi"/>
          <w:noProof/>
          <w:kern w:val="2"/>
          <w:lang w:val="en-CA"/>
          <w14:ligatures w14:val="standardContextual"/>
        </w:rPr>
        <w:tab/>
      </w:r>
      <w:r w:rsidRPr="006864E1">
        <w:rPr>
          <w:noProof/>
        </w:rPr>
        <w:t>Section 2(2) Excludes Potential Habitat and Limits Scope of Indirect Dependence</w:t>
      </w:r>
      <w:r>
        <w:rPr>
          <w:noProof/>
        </w:rPr>
        <w:tab/>
      </w:r>
      <w:r>
        <w:rPr>
          <w:noProof/>
        </w:rPr>
        <w:fldChar w:fldCharType="begin"/>
      </w:r>
      <w:r>
        <w:rPr>
          <w:noProof/>
        </w:rPr>
        <w:instrText xml:space="preserve"> PAGEREF _Toc220056504 \h </w:instrText>
      </w:r>
      <w:r>
        <w:rPr>
          <w:noProof/>
        </w:rPr>
      </w:r>
      <w:r>
        <w:rPr>
          <w:noProof/>
        </w:rPr>
        <w:fldChar w:fldCharType="separate"/>
      </w:r>
      <w:r>
        <w:rPr>
          <w:noProof/>
        </w:rPr>
        <w:t>14</w:t>
      </w:r>
      <w:r>
        <w:rPr>
          <w:noProof/>
        </w:rPr>
        <w:fldChar w:fldCharType="end"/>
      </w:r>
    </w:p>
    <w:p w14:paraId="0CC5E492" w14:textId="10DE10F9" w:rsidR="00C35BAD" w:rsidRDefault="00C35BAD" w:rsidP="00C35BAD">
      <w:pPr>
        <w:pStyle w:val="TOC3"/>
        <w:tabs>
          <w:tab w:val="left" w:pos="120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(iii)</w:t>
      </w:r>
      <w:r>
        <w:rPr>
          <w:rFonts w:asciiTheme="minorHAnsi" w:eastAsiaTheme="minorEastAsia" w:hAnsiTheme="minorHAnsi" w:cstheme="minorBidi"/>
          <w:noProof/>
          <w:kern w:val="2"/>
          <w:lang w:val="en-CA"/>
          <w14:ligatures w14:val="standardContextual"/>
        </w:rPr>
        <w:tab/>
      </w:r>
      <w:r w:rsidRPr="006864E1">
        <w:rPr>
          <w:noProof/>
        </w:rPr>
        <w:t>No Indirect Dependence on the Site</w:t>
      </w:r>
      <w:r>
        <w:rPr>
          <w:noProof/>
        </w:rPr>
        <w:tab/>
      </w:r>
      <w:r>
        <w:rPr>
          <w:noProof/>
        </w:rPr>
        <w:fldChar w:fldCharType="begin"/>
      </w:r>
      <w:r>
        <w:rPr>
          <w:noProof/>
        </w:rPr>
        <w:instrText xml:space="preserve"> PAGEREF _Toc220056505 \h </w:instrText>
      </w:r>
      <w:r>
        <w:rPr>
          <w:noProof/>
        </w:rPr>
      </w:r>
      <w:r>
        <w:rPr>
          <w:noProof/>
        </w:rPr>
        <w:fldChar w:fldCharType="separate"/>
      </w:r>
      <w:r>
        <w:rPr>
          <w:noProof/>
        </w:rPr>
        <w:t>16</w:t>
      </w:r>
      <w:r>
        <w:rPr>
          <w:noProof/>
        </w:rPr>
        <w:fldChar w:fldCharType="end"/>
      </w:r>
    </w:p>
    <w:p w14:paraId="1EDE5D21" w14:textId="0BEC477D" w:rsidR="00C35BAD" w:rsidRDefault="00C35BAD" w:rsidP="00C35BAD">
      <w:pPr>
        <w:pStyle w:val="TOC3"/>
        <w:tabs>
          <w:tab w:val="left" w:pos="120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(iv)</w:t>
      </w:r>
      <w:r>
        <w:rPr>
          <w:rFonts w:asciiTheme="minorHAnsi" w:eastAsiaTheme="minorEastAsia" w:hAnsiTheme="minorHAnsi" w:cstheme="minorBidi"/>
          <w:noProof/>
          <w:kern w:val="2"/>
          <w:lang w:val="en-CA"/>
          <w14:ligatures w14:val="standardContextual"/>
        </w:rPr>
        <w:tab/>
      </w:r>
      <w:r w:rsidRPr="006864E1">
        <w:rPr>
          <w:noProof/>
        </w:rPr>
        <w:t>No Misunderstanding or Misapplication of the Statutory Definition</w:t>
      </w:r>
      <w:r>
        <w:rPr>
          <w:noProof/>
        </w:rPr>
        <w:tab/>
      </w:r>
      <w:r>
        <w:rPr>
          <w:noProof/>
        </w:rPr>
        <w:fldChar w:fldCharType="begin"/>
      </w:r>
      <w:r>
        <w:rPr>
          <w:noProof/>
        </w:rPr>
        <w:instrText xml:space="preserve"> PAGEREF _Toc220056506 \h </w:instrText>
      </w:r>
      <w:r>
        <w:rPr>
          <w:noProof/>
        </w:rPr>
      </w:r>
      <w:r>
        <w:rPr>
          <w:noProof/>
        </w:rPr>
        <w:fldChar w:fldCharType="separate"/>
      </w:r>
      <w:r>
        <w:rPr>
          <w:noProof/>
        </w:rPr>
        <w:t>17</w:t>
      </w:r>
      <w:r>
        <w:rPr>
          <w:noProof/>
        </w:rPr>
        <w:fldChar w:fldCharType="end"/>
      </w:r>
    </w:p>
    <w:p w14:paraId="53A77548" w14:textId="64587C98" w:rsidR="00C35BAD" w:rsidRDefault="00C35BAD" w:rsidP="00C35BAD">
      <w:pPr>
        <w:pStyle w:val="TOC2"/>
        <w:tabs>
          <w:tab w:val="left" w:pos="72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D.</w:t>
      </w:r>
      <w:r>
        <w:rPr>
          <w:rFonts w:asciiTheme="minorHAnsi" w:eastAsiaTheme="minorEastAsia" w:hAnsiTheme="minorHAnsi" w:cstheme="minorBidi"/>
          <w:noProof/>
          <w:kern w:val="2"/>
          <w:lang w:val="en-CA"/>
          <w14:ligatures w14:val="standardContextual"/>
        </w:rPr>
        <w:tab/>
      </w:r>
      <w:r w:rsidRPr="006864E1">
        <w:rPr>
          <w:noProof/>
        </w:rPr>
        <w:t>Issue 4: The Amended Definition of “Habitat” Does Not Support a Conviction.</w:t>
      </w:r>
      <w:r>
        <w:rPr>
          <w:noProof/>
        </w:rPr>
        <w:tab/>
      </w:r>
      <w:r>
        <w:rPr>
          <w:noProof/>
        </w:rPr>
        <w:fldChar w:fldCharType="begin"/>
      </w:r>
      <w:r>
        <w:rPr>
          <w:noProof/>
        </w:rPr>
        <w:instrText xml:space="preserve"> PAGEREF _Toc220056507 \h </w:instrText>
      </w:r>
      <w:r>
        <w:rPr>
          <w:noProof/>
        </w:rPr>
      </w:r>
      <w:r>
        <w:rPr>
          <w:noProof/>
        </w:rPr>
        <w:fldChar w:fldCharType="separate"/>
      </w:r>
      <w:r>
        <w:rPr>
          <w:noProof/>
        </w:rPr>
        <w:t>18</w:t>
      </w:r>
      <w:r>
        <w:rPr>
          <w:noProof/>
        </w:rPr>
        <w:fldChar w:fldCharType="end"/>
      </w:r>
    </w:p>
    <w:p w14:paraId="5A4B3122" w14:textId="64BD80A9" w:rsidR="00C35BAD" w:rsidRDefault="00C35BAD" w:rsidP="00C35BAD">
      <w:pPr>
        <w:pStyle w:val="TOC3"/>
        <w:tabs>
          <w:tab w:val="left" w:pos="96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w:t>
      </w:r>
      <w:r>
        <w:rPr>
          <w:rFonts w:asciiTheme="minorHAnsi" w:eastAsiaTheme="minorEastAsia" w:hAnsiTheme="minorHAnsi" w:cstheme="minorBidi"/>
          <w:noProof/>
          <w:kern w:val="2"/>
          <w:lang w:val="en-CA"/>
          <w14:ligatures w14:val="standardContextual"/>
        </w:rPr>
        <w:tab/>
      </w:r>
      <w:r w:rsidRPr="006864E1">
        <w:rPr>
          <w:noProof/>
        </w:rPr>
        <w:t>The 2025 Definition Significantly Narrows the Scope of Protected Habitat</w:t>
      </w:r>
      <w:r>
        <w:rPr>
          <w:noProof/>
        </w:rPr>
        <w:tab/>
      </w:r>
      <w:r>
        <w:rPr>
          <w:noProof/>
        </w:rPr>
        <w:fldChar w:fldCharType="begin"/>
      </w:r>
      <w:r>
        <w:rPr>
          <w:noProof/>
        </w:rPr>
        <w:instrText xml:space="preserve"> PAGEREF _Toc220056508 \h </w:instrText>
      </w:r>
      <w:r>
        <w:rPr>
          <w:noProof/>
        </w:rPr>
      </w:r>
      <w:r>
        <w:rPr>
          <w:noProof/>
        </w:rPr>
        <w:fldChar w:fldCharType="separate"/>
      </w:r>
      <w:r>
        <w:rPr>
          <w:noProof/>
        </w:rPr>
        <w:t>18</w:t>
      </w:r>
      <w:r>
        <w:rPr>
          <w:noProof/>
        </w:rPr>
        <w:fldChar w:fldCharType="end"/>
      </w:r>
    </w:p>
    <w:p w14:paraId="11A8C75C" w14:textId="2774F439" w:rsidR="00C35BAD" w:rsidRDefault="00C35BAD" w:rsidP="00C35BAD">
      <w:pPr>
        <w:pStyle w:val="TOC3"/>
        <w:tabs>
          <w:tab w:val="left" w:pos="120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(ii)</w:t>
      </w:r>
      <w:r>
        <w:rPr>
          <w:rFonts w:asciiTheme="minorHAnsi" w:eastAsiaTheme="minorEastAsia" w:hAnsiTheme="minorHAnsi" w:cstheme="minorBidi"/>
          <w:noProof/>
          <w:kern w:val="2"/>
          <w:lang w:val="en-CA"/>
          <w14:ligatures w14:val="standardContextual"/>
        </w:rPr>
        <w:tab/>
      </w:r>
      <w:r w:rsidRPr="006864E1">
        <w:rPr>
          <w:noProof/>
        </w:rPr>
        <w:t>The Amended Definition Requires Actual Physical Use by Existing Members</w:t>
      </w:r>
      <w:r>
        <w:rPr>
          <w:noProof/>
        </w:rPr>
        <w:tab/>
      </w:r>
      <w:r>
        <w:rPr>
          <w:noProof/>
        </w:rPr>
        <w:fldChar w:fldCharType="begin"/>
      </w:r>
      <w:r>
        <w:rPr>
          <w:noProof/>
        </w:rPr>
        <w:instrText xml:space="preserve"> PAGEREF _Toc220056509 \h </w:instrText>
      </w:r>
      <w:r>
        <w:rPr>
          <w:noProof/>
        </w:rPr>
      </w:r>
      <w:r>
        <w:rPr>
          <w:noProof/>
        </w:rPr>
        <w:fldChar w:fldCharType="separate"/>
      </w:r>
      <w:r>
        <w:rPr>
          <w:noProof/>
        </w:rPr>
        <w:t>18</w:t>
      </w:r>
      <w:r>
        <w:rPr>
          <w:noProof/>
        </w:rPr>
        <w:fldChar w:fldCharType="end"/>
      </w:r>
    </w:p>
    <w:p w14:paraId="12F4DE61" w14:textId="7B5B0FB0" w:rsidR="00C35BAD" w:rsidRDefault="00C35BAD" w:rsidP="00C35BAD">
      <w:pPr>
        <w:pStyle w:val="TOC3"/>
        <w:tabs>
          <w:tab w:val="left" w:pos="120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(iii)</w:t>
      </w:r>
      <w:r>
        <w:rPr>
          <w:rFonts w:asciiTheme="minorHAnsi" w:eastAsiaTheme="minorEastAsia" w:hAnsiTheme="minorHAnsi" w:cstheme="minorBidi"/>
          <w:noProof/>
          <w:kern w:val="2"/>
          <w:lang w:val="en-CA"/>
          <w14:ligatures w14:val="standardContextual"/>
        </w:rPr>
        <w:tab/>
      </w:r>
      <w:r w:rsidRPr="006864E1">
        <w:rPr>
          <w:noProof/>
        </w:rPr>
        <w:t>The Evidence at Trial Does Not Satisfy the Amended Definition</w:t>
      </w:r>
      <w:r>
        <w:rPr>
          <w:noProof/>
        </w:rPr>
        <w:tab/>
      </w:r>
      <w:r>
        <w:rPr>
          <w:noProof/>
        </w:rPr>
        <w:fldChar w:fldCharType="begin"/>
      </w:r>
      <w:r>
        <w:rPr>
          <w:noProof/>
        </w:rPr>
        <w:instrText xml:space="preserve"> PAGEREF _Toc220056510 \h </w:instrText>
      </w:r>
      <w:r>
        <w:rPr>
          <w:noProof/>
        </w:rPr>
      </w:r>
      <w:r>
        <w:rPr>
          <w:noProof/>
        </w:rPr>
        <w:fldChar w:fldCharType="separate"/>
      </w:r>
      <w:r>
        <w:rPr>
          <w:noProof/>
        </w:rPr>
        <w:t>19</w:t>
      </w:r>
      <w:r>
        <w:rPr>
          <w:noProof/>
        </w:rPr>
        <w:fldChar w:fldCharType="end"/>
      </w:r>
    </w:p>
    <w:p w14:paraId="5703ED6D" w14:textId="1396FBD5" w:rsidR="00C35BAD" w:rsidRDefault="00C35BAD" w:rsidP="00C35BAD">
      <w:pPr>
        <w:pStyle w:val="TOC3"/>
        <w:tabs>
          <w:tab w:val="left" w:pos="1200"/>
          <w:tab w:val="right" w:leader="dot" w:pos="9350"/>
        </w:tabs>
        <w:spacing w:line="276" w:lineRule="auto"/>
        <w:rPr>
          <w:rFonts w:asciiTheme="minorHAnsi" w:eastAsiaTheme="minorEastAsia" w:hAnsiTheme="minorHAnsi" w:cstheme="minorBidi"/>
          <w:noProof/>
          <w:kern w:val="2"/>
          <w:lang w:val="en-CA"/>
          <w14:ligatures w14:val="standardContextual"/>
        </w:rPr>
      </w:pPr>
      <w:r w:rsidRPr="006864E1">
        <w:rPr>
          <w:noProof/>
        </w:rPr>
        <w:t>(iv)</w:t>
      </w:r>
      <w:r>
        <w:rPr>
          <w:rFonts w:asciiTheme="minorHAnsi" w:eastAsiaTheme="minorEastAsia" w:hAnsiTheme="minorHAnsi" w:cstheme="minorBidi"/>
          <w:noProof/>
          <w:kern w:val="2"/>
          <w:lang w:val="en-CA"/>
          <w14:ligatures w14:val="standardContextual"/>
        </w:rPr>
        <w:tab/>
      </w:r>
      <w:r w:rsidRPr="006864E1">
        <w:rPr>
          <w:noProof/>
        </w:rPr>
        <w:t>No Conviction Available Under the Amended Definition</w:t>
      </w:r>
      <w:r>
        <w:rPr>
          <w:noProof/>
        </w:rPr>
        <w:tab/>
      </w:r>
      <w:r>
        <w:rPr>
          <w:noProof/>
        </w:rPr>
        <w:fldChar w:fldCharType="begin"/>
      </w:r>
      <w:r>
        <w:rPr>
          <w:noProof/>
        </w:rPr>
        <w:instrText xml:space="preserve"> PAGEREF _Toc220056511 \h </w:instrText>
      </w:r>
      <w:r>
        <w:rPr>
          <w:noProof/>
        </w:rPr>
      </w:r>
      <w:r>
        <w:rPr>
          <w:noProof/>
        </w:rPr>
        <w:fldChar w:fldCharType="separate"/>
      </w:r>
      <w:r>
        <w:rPr>
          <w:noProof/>
        </w:rPr>
        <w:t>20</w:t>
      </w:r>
      <w:r>
        <w:rPr>
          <w:noProof/>
        </w:rPr>
        <w:fldChar w:fldCharType="end"/>
      </w:r>
    </w:p>
    <w:p w14:paraId="4CB865A9" w14:textId="383B1606" w:rsidR="00C35BAD" w:rsidRDefault="00C35BAD" w:rsidP="00C35BAD">
      <w:pPr>
        <w:pStyle w:val="TOC1"/>
        <w:spacing w:line="276" w:lineRule="auto"/>
        <w:rPr>
          <w:rFonts w:asciiTheme="minorHAnsi" w:eastAsiaTheme="minorEastAsia" w:hAnsiTheme="minorHAnsi" w:cstheme="minorBidi"/>
          <w:b w:val="0"/>
          <w:bCs w:val="0"/>
          <w:kern w:val="2"/>
          <w:lang w:val="en-CA"/>
          <w14:ligatures w14:val="standardContextual"/>
        </w:rPr>
      </w:pPr>
      <w:r w:rsidRPr="006864E1">
        <w:t>PART IV -- ORDER SOUGHT</w:t>
      </w:r>
      <w:r>
        <w:tab/>
      </w:r>
      <w:r>
        <w:fldChar w:fldCharType="begin"/>
      </w:r>
      <w:r>
        <w:instrText xml:space="preserve"> PAGEREF _Toc220056512 \h </w:instrText>
      </w:r>
      <w:r>
        <w:fldChar w:fldCharType="separate"/>
      </w:r>
      <w:r>
        <w:t>20</w:t>
      </w:r>
      <w:r>
        <w:fldChar w:fldCharType="end"/>
      </w:r>
    </w:p>
    <w:p w14:paraId="5920CFEC" w14:textId="2837629D" w:rsidR="00C35BAD" w:rsidRDefault="00C35BAD" w:rsidP="00C35BAD">
      <w:pPr>
        <w:pStyle w:val="TOC1"/>
        <w:spacing w:line="276" w:lineRule="auto"/>
        <w:rPr>
          <w:rFonts w:asciiTheme="minorHAnsi" w:eastAsiaTheme="minorEastAsia" w:hAnsiTheme="minorHAnsi" w:cstheme="minorBidi"/>
          <w:b w:val="0"/>
          <w:bCs w:val="0"/>
          <w:kern w:val="2"/>
          <w:lang w:val="en-CA"/>
          <w14:ligatures w14:val="standardContextual"/>
        </w:rPr>
      </w:pPr>
      <w:r w:rsidRPr="006864E1">
        <w:t>PART V -- TABLE OF AUTHORITIES</w:t>
      </w:r>
      <w:r>
        <w:tab/>
      </w:r>
      <w:r>
        <w:fldChar w:fldCharType="begin"/>
      </w:r>
      <w:r>
        <w:instrText xml:space="preserve"> PAGEREF _Toc220056513 \h </w:instrText>
      </w:r>
      <w:r>
        <w:fldChar w:fldCharType="separate"/>
      </w:r>
      <w:r>
        <w:t>22</w:t>
      </w:r>
      <w:r>
        <w:fldChar w:fldCharType="end"/>
      </w:r>
    </w:p>
    <w:p w14:paraId="5AD56E2B" w14:textId="6E08E842" w:rsidR="00C35BAD" w:rsidRDefault="00C35BAD" w:rsidP="00C35BAD">
      <w:pPr>
        <w:pStyle w:val="TOC1"/>
        <w:spacing w:line="276" w:lineRule="auto"/>
        <w:rPr>
          <w:rFonts w:asciiTheme="minorHAnsi" w:eastAsiaTheme="minorEastAsia" w:hAnsiTheme="minorHAnsi" w:cstheme="minorBidi"/>
          <w:b w:val="0"/>
          <w:bCs w:val="0"/>
          <w:kern w:val="2"/>
          <w:lang w:val="en-CA"/>
          <w14:ligatures w14:val="standardContextual"/>
        </w:rPr>
      </w:pPr>
      <w:r w:rsidRPr="006864E1">
        <w:t>PART VI -- LEGISLATION AT ISSUE</w:t>
      </w:r>
      <w:r>
        <w:tab/>
      </w:r>
      <w:r>
        <w:fldChar w:fldCharType="begin"/>
      </w:r>
      <w:r>
        <w:instrText xml:space="preserve"> PAGEREF _Toc220056514 \h </w:instrText>
      </w:r>
      <w:r>
        <w:fldChar w:fldCharType="separate"/>
      </w:r>
      <w:r>
        <w:t>23</w:t>
      </w:r>
      <w:r>
        <w:fldChar w:fldCharType="end"/>
      </w:r>
    </w:p>
    <w:p w14:paraId="10C312AA" w14:textId="48F054DE" w:rsidR="00CE4218" w:rsidRPr="00EE3B86" w:rsidRDefault="00CE4218" w:rsidP="006511FC">
      <w:pPr>
        <w:pStyle w:val="TOC1"/>
        <w:rPr>
          <w:sz w:val="22"/>
          <w:szCs w:val="22"/>
        </w:rPr>
        <w:sectPr w:rsidR="00CE4218" w:rsidRPr="00EE3B86" w:rsidSect="007C43C1">
          <w:headerReference w:type="default" r:id="rId18"/>
          <w:pgSz w:w="12240" w:h="15840" w:code="1"/>
          <w:pgMar w:top="1440" w:right="1440" w:bottom="1440" w:left="1440" w:header="720" w:footer="720" w:gutter="0"/>
          <w:pgNumType w:fmt="lowerRoman" w:start="1"/>
          <w:cols w:space="720"/>
          <w:docGrid w:linePitch="360"/>
        </w:sectPr>
      </w:pPr>
      <w:r>
        <w:fldChar w:fldCharType="end"/>
      </w:r>
    </w:p>
    <w:p w14:paraId="26AFAFF8" w14:textId="77777777" w:rsidR="00DD6E8C" w:rsidRPr="00EE3B86" w:rsidRDefault="00DD6E8C" w:rsidP="006941A9">
      <w:pPr>
        <w:pStyle w:val="Heading1"/>
        <w:spacing w:line="360" w:lineRule="auto"/>
        <w:rPr>
          <w:rFonts w:ascii="Times New Roman" w:hAnsi="Times New Roman"/>
          <w:sz w:val="24"/>
          <w:szCs w:val="24"/>
        </w:rPr>
      </w:pPr>
      <w:bookmarkStart w:id="0" w:name="_Toc271703729"/>
      <w:bookmarkStart w:id="1" w:name="_Toc220056487"/>
      <w:r w:rsidRPr="00EE3B86">
        <w:rPr>
          <w:rFonts w:ascii="Times New Roman" w:hAnsi="Times New Roman"/>
          <w:sz w:val="24"/>
          <w:szCs w:val="24"/>
        </w:rPr>
        <w:lastRenderedPageBreak/>
        <w:t>OVERVIEW AND STATEMENT OF FACTS</w:t>
      </w:r>
      <w:bookmarkEnd w:id="0"/>
      <w:bookmarkEnd w:id="1"/>
    </w:p>
    <w:p w14:paraId="556EEF68" w14:textId="19D3F79B" w:rsidR="7ED2291F" w:rsidRPr="00EE3B86" w:rsidRDefault="269436AC" w:rsidP="006941A9">
      <w:pPr>
        <w:pStyle w:val="Heading2"/>
        <w:tabs>
          <w:tab w:val="num" w:pos="720"/>
        </w:tabs>
        <w:spacing w:before="0" w:after="0" w:line="360" w:lineRule="auto"/>
        <w:rPr>
          <w:rFonts w:ascii="Times New Roman" w:hAnsi="Times New Roman"/>
          <w:i w:val="0"/>
          <w:sz w:val="24"/>
          <w:szCs w:val="24"/>
        </w:rPr>
      </w:pPr>
      <w:bookmarkStart w:id="2" w:name="_Toc220056488"/>
      <w:r w:rsidRPr="00EE3B86">
        <w:rPr>
          <w:rFonts w:ascii="Times New Roman" w:hAnsi="Times New Roman"/>
          <w:i w:val="0"/>
          <w:iCs w:val="0"/>
          <w:sz w:val="24"/>
          <w:szCs w:val="24"/>
        </w:rPr>
        <w:t>Overview of the Respondent’s Position</w:t>
      </w:r>
      <w:bookmarkEnd w:id="2"/>
    </w:p>
    <w:p w14:paraId="169921F6" w14:textId="7C80FE8E" w:rsidR="006853BE" w:rsidRDefault="00366CD6" w:rsidP="006941A9">
      <w:pPr>
        <w:pStyle w:val="ListParagraph"/>
        <w:numPr>
          <w:ilvl w:val="0"/>
          <w:numId w:val="1"/>
        </w:numPr>
        <w:spacing w:line="360" w:lineRule="auto"/>
        <w:jc w:val="both"/>
      </w:pPr>
      <w:r>
        <w:t xml:space="preserve">It is the position of the Respondent that the </w:t>
      </w:r>
      <w:r w:rsidR="00541577">
        <w:t xml:space="preserve">Ontario Court of Justice (the “OCJ”) correctly found that </w:t>
      </w:r>
      <w:r w:rsidR="4FA8E882" w:rsidRPr="00EE3B86">
        <w:t xml:space="preserve">the Crown </w:t>
      </w:r>
      <w:r w:rsidR="00541577">
        <w:t xml:space="preserve">failed to </w:t>
      </w:r>
      <w:r w:rsidR="4FA8E882" w:rsidRPr="00EE3B86">
        <w:t>prove, beyond a reasonable doubt, that the lands disturbed by Consolidated Homes Ltd.  (“</w:t>
      </w:r>
      <w:r w:rsidR="4FA8E882" w:rsidRPr="00EE3B86">
        <w:rPr>
          <w:b/>
          <w:bCs/>
        </w:rPr>
        <w:t>CHL</w:t>
      </w:r>
      <w:r w:rsidR="4FA8E882" w:rsidRPr="00EE3B86">
        <w:t>”</w:t>
      </w:r>
      <w:r w:rsidR="1A1823E5" w:rsidRPr="00EE3B86">
        <w:t xml:space="preserve"> or “</w:t>
      </w:r>
      <w:r w:rsidR="1A1823E5" w:rsidRPr="00EE3B86">
        <w:rPr>
          <w:b/>
          <w:bCs/>
        </w:rPr>
        <w:t>Respondent</w:t>
      </w:r>
      <w:r w:rsidR="1A1823E5" w:rsidRPr="00EE3B86">
        <w:t>”</w:t>
      </w:r>
      <w:r w:rsidR="4FA8E882" w:rsidRPr="00EE3B86">
        <w:t xml:space="preserve">) </w:t>
      </w:r>
      <w:r w:rsidR="005C687F" w:rsidRPr="00EE3B86">
        <w:t>on the property near Circle Lake (“</w:t>
      </w:r>
      <w:r w:rsidR="005C687F" w:rsidRPr="00EE3B86">
        <w:rPr>
          <w:b/>
          <w:bCs/>
        </w:rPr>
        <w:t>Site</w:t>
      </w:r>
      <w:r w:rsidR="00591CA0" w:rsidRPr="00EE3B86">
        <w:t>”)</w:t>
      </w:r>
      <w:r w:rsidR="005C687F" w:rsidRPr="00EE3B86">
        <w:t xml:space="preserve"> </w:t>
      </w:r>
      <w:r w:rsidR="007F169A">
        <w:t xml:space="preserve">fell within the definition of </w:t>
      </w:r>
      <w:r w:rsidR="4FA8E882" w:rsidRPr="00EE3B86">
        <w:t>“habitat” within the meaning of s</w:t>
      </w:r>
      <w:r w:rsidR="004F4C4D" w:rsidRPr="00EE3B86">
        <w:t xml:space="preserve">ections </w:t>
      </w:r>
      <w:r w:rsidR="4FA8E882" w:rsidRPr="00EE3B86">
        <w:t xml:space="preserve">2(1)(b) and 2(2) of the </w:t>
      </w:r>
      <w:r w:rsidR="4FA8E882" w:rsidRPr="00EE3B86">
        <w:rPr>
          <w:i/>
          <w:iCs/>
        </w:rPr>
        <w:t>Endangered Species Act</w:t>
      </w:r>
      <w:r w:rsidR="4FA8E882" w:rsidRPr="00EE3B86">
        <w:t>,</w:t>
      </w:r>
      <w:r w:rsidR="4FA8E882" w:rsidRPr="00EE3B86">
        <w:rPr>
          <w:i/>
          <w:iCs/>
        </w:rPr>
        <w:t xml:space="preserve"> 2007</w:t>
      </w:r>
      <w:r w:rsidR="00AA6CB6" w:rsidRPr="00EE3B86">
        <w:t>, S.O. 2</w:t>
      </w:r>
      <w:r w:rsidR="00E907D8" w:rsidRPr="00EE3B86">
        <w:t>007, c.6</w:t>
      </w:r>
      <w:r w:rsidR="00310FDB" w:rsidRPr="00EE3B86">
        <w:t xml:space="preserve"> (“</w:t>
      </w:r>
      <w:r w:rsidR="00310FDB" w:rsidRPr="00EE3B86">
        <w:rPr>
          <w:b/>
          <w:bCs/>
          <w:i/>
          <w:iCs/>
        </w:rPr>
        <w:t>ESA</w:t>
      </w:r>
      <w:r w:rsidR="00310FDB" w:rsidRPr="00EE3B86">
        <w:t>”</w:t>
      </w:r>
      <w:r w:rsidR="00261A38" w:rsidRPr="00EE3B86">
        <w:t xml:space="preserve"> or “</w:t>
      </w:r>
      <w:r w:rsidR="00261A38" w:rsidRPr="00EE3B86">
        <w:rPr>
          <w:b/>
          <w:bCs/>
        </w:rPr>
        <w:t>Act</w:t>
      </w:r>
      <w:r w:rsidR="00261A38" w:rsidRPr="00EE3B86">
        <w:t>”</w:t>
      </w:r>
      <w:r w:rsidR="00310FDB" w:rsidRPr="00EE3B86">
        <w:t>)</w:t>
      </w:r>
      <w:r w:rsidR="00E907D8" w:rsidRPr="00EE3B86">
        <w:t xml:space="preserve">, </w:t>
      </w:r>
      <w:r w:rsidR="4FA8E882" w:rsidRPr="00EE3B86">
        <w:t xml:space="preserve">during the offence period. </w:t>
      </w:r>
    </w:p>
    <w:p w14:paraId="502D64EF" w14:textId="318FDB94" w:rsidR="00974C51" w:rsidRDefault="00974C51" w:rsidP="006941A9">
      <w:pPr>
        <w:pStyle w:val="WSParaNum"/>
        <w:numPr>
          <w:ilvl w:val="0"/>
          <w:numId w:val="1"/>
        </w:numPr>
        <w:spacing w:before="0" w:after="0"/>
      </w:pPr>
      <w:r>
        <w:t xml:space="preserve">The decision of the </w:t>
      </w:r>
      <w:r w:rsidR="00F57669">
        <w:t xml:space="preserve">OCJ should be upheld. </w:t>
      </w:r>
    </w:p>
    <w:p w14:paraId="28F0A988" w14:textId="64B76E8F" w:rsidR="00FC4C63" w:rsidRPr="00EE3B86" w:rsidRDefault="00FC4C63" w:rsidP="006941A9">
      <w:pPr>
        <w:pStyle w:val="WSParaNum"/>
        <w:numPr>
          <w:ilvl w:val="0"/>
          <w:numId w:val="1"/>
        </w:numPr>
        <w:spacing w:before="0" w:after="0"/>
      </w:pPr>
      <w:r w:rsidRPr="00EE3B86">
        <w:t xml:space="preserve">There is no regulation prescribing habitat for </w:t>
      </w:r>
      <w:r w:rsidR="00F22422">
        <w:t xml:space="preserve">the </w:t>
      </w:r>
      <w:r w:rsidRPr="00EE3B86">
        <w:t xml:space="preserve">Blanding’s </w:t>
      </w:r>
      <w:r w:rsidR="00F22422">
        <w:t>T</w:t>
      </w:r>
      <w:r w:rsidRPr="00EE3B86">
        <w:t>urtle under s</w:t>
      </w:r>
      <w:r w:rsidR="00090C52" w:rsidRPr="00EE3B86">
        <w:t>ection</w:t>
      </w:r>
      <w:r w:rsidRPr="00EE3B86">
        <w:t xml:space="preserve"> 56 of the </w:t>
      </w:r>
      <w:r w:rsidRPr="00EE3B86">
        <w:rPr>
          <w:i/>
          <w:iCs/>
        </w:rPr>
        <w:t>ESA</w:t>
      </w:r>
      <w:r w:rsidRPr="00EE3B86">
        <w:t xml:space="preserve">. </w:t>
      </w:r>
      <w:r w:rsidR="00E25CF1">
        <w:t>T</w:t>
      </w:r>
      <w:r w:rsidRPr="00EE3B86">
        <w:t xml:space="preserve">he definition of “habitat” applicable in this case was the general definition </w:t>
      </w:r>
      <w:r w:rsidR="00E25CF1">
        <w:t xml:space="preserve">as set out </w:t>
      </w:r>
      <w:r w:rsidRPr="00EE3B86">
        <w:t>in s</w:t>
      </w:r>
      <w:r w:rsidR="0086480F" w:rsidRPr="00EE3B86">
        <w:t>ection</w:t>
      </w:r>
      <w:r w:rsidRPr="00EE3B86">
        <w:t xml:space="preserve"> 2(1)(b), </w:t>
      </w:r>
      <w:r w:rsidR="00E25CF1">
        <w:t xml:space="preserve">and </w:t>
      </w:r>
      <w:r w:rsidRPr="00EE3B86">
        <w:t xml:space="preserve">as </w:t>
      </w:r>
      <w:r w:rsidR="00E25CF1" w:rsidRPr="00EE3B86">
        <w:t>limited</w:t>
      </w:r>
      <w:r w:rsidRPr="00EE3B86">
        <w:t xml:space="preserve"> by s</w:t>
      </w:r>
      <w:r w:rsidR="0086480F" w:rsidRPr="00EE3B86">
        <w:t>ection</w:t>
      </w:r>
      <w:r w:rsidRPr="00EE3B86">
        <w:t xml:space="preserve"> 2(2) of the </w:t>
      </w:r>
      <w:r w:rsidRPr="00EE3B86">
        <w:rPr>
          <w:i/>
          <w:iCs/>
        </w:rPr>
        <w:t>ESA</w:t>
      </w:r>
      <w:r w:rsidRPr="00EE3B86">
        <w:t xml:space="preserve">. </w:t>
      </w:r>
    </w:p>
    <w:p w14:paraId="33A494A2" w14:textId="4B5ED7C4" w:rsidR="00FC4C63" w:rsidRPr="00EE3B86" w:rsidRDefault="00FC4C63" w:rsidP="006941A9">
      <w:pPr>
        <w:pStyle w:val="WSParaNum"/>
        <w:numPr>
          <w:ilvl w:val="0"/>
          <w:numId w:val="1"/>
        </w:numPr>
        <w:spacing w:before="0" w:after="0"/>
      </w:pPr>
      <w:r w:rsidRPr="00EE3B86">
        <w:t xml:space="preserve">“Habitat” under section 2(1) of the </w:t>
      </w:r>
      <w:r w:rsidR="00535249" w:rsidRPr="00EE3B86">
        <w:rPr>
          <w:i/>
          <w:iCs/>
        </w:rPr>
        <w:t xml:space="preserve">ESA </w:t>
      </w:r>
      <w:r w:rsidRPr="00EE3B86">
        <w:t>is defined as follows:</w:t>
      </w:r>
    </w:p>
    <w:p w14:paraId="4BE6D69B" w14:textId="77777777" w:rsidR="00FC4C63" w:rsidRPr="00EE3B86" w:rsidRDefault="00FC4C63" w:rsidP="006941A9">
      <w:pPr>
        <w:spacing w:before="120" w:after="120" w:line="360" w:lineRule="auto"/>
        <w:ind w:right="713" w:firstLine="720"/>
        <w:jc w:val="both"/>
      </w:pPr>
      <w:r w:rsidRPr="00EE3B86">
        <w:t>2(1) “habitat” means, [...]</w:t>
      </w:r>
    </w:p>
    <w:p w14:paraId="71C3C448" w14:textId="77777777" w:rsidR="00FC4C63" w:rsidRPr="00EE3B86" w:rsidRDefault="00FC4C63" w:rsidP="006941A9">
      <w:pPr>
        <w:spacing w:before="120" w:after="120" w:line="360" w:lineRule="auto"/>
        <w:ind w:left="1440" w:right="713"/>
        <w:jc w:val="both"/>
      </w:pPr>
      <w:r w:rsidRPr="00EE3B86">
        <w:t>(b) [...] an area on which the species depends, directly or indirectly, to carry on its life processes, including life processes such as reproduction, rearing, hibernation, migration or feeding, [...]</w:t>
      </w:r>
    </w:p>
    <w:p w14:paraId="7E4E0566" w14:textId="77777777" w:rsidR="00FC4C63" w:rsidRPr="00EE3B86" w:rsidRDefault="00FC4C63" w:rsidP="006941A9">
      <w:pPr>
        <w:spacing w:before="120" w:after="120" w:line="360" w:lineRule="auto"/>
        <w:ind w:left="720" w:right="713"/>
        <w:jc w:val="both"/>
      </w:pPr>
      <w:r w:rsidRPr="00EE3B86">
        <w:t xml:space="preserve">2(2) For greater certainty, clause (b) of the definition of “habitat” in subsection (1) </w:t>
      </w:r>
      <w:r w:rsidRPr="00F8599E">
        <w:t>does not include an area where species formerly occurred or has the potential to be reintroduced</w:t>
      </w:r>
      <w:r w:rsidRPr="00EE3B86">
        <w:t xml:space="preserve"> unless existing members of the species depend on that area to carry out their life processes.</w:t>
      </w:r>
    </w:p>
    <w:p w14:paraId="75F4A0B7" w14:textId="52E7F88F" w:rsidR="4FA8E882" w:rsidRPr="00EE3B86" w:rsidRDefault="4FA8E882" w:rsidP="000616AB">
      <w:pPr>
        <w:pStyle w:val="ListParagraph"/>
        <w:numPr>
          <w:ilvl w:val="0"/>
          <w:numId w:val="1"/>
        </w:numPr>
        <w:spacing w:before="240" w:after="240" w:line="360" w:lineRule="auto"/>
        <w:jc w:val="both"/>
      </w:pPr>
      <w:r w:rsidRPr="00EE3B86">
        <w:t xml:space="preserve">At </w:t>
      </w:r>
      <w:r w:rsidR="00515F53">
        <w:t>T</w:t>
      </w:r>
      <w:r w:rsidRPr="00EE3B86">
        <w:t>rial, the Crown relied on sightings of Blanding’s turtles occurring years before and after the period</w:t>
      </w:r>
      <w:r w:rsidR="006E7674">
        <w:t xml:space="preserve"> </w:t>
      </w:r>
      <w:r w:rsidR="000E5727">
        <w:t>that CHL</w:t>
      </w:r>
      <w:r w:rsidR="00CD65A5">
        <w:t xml:space="preserve"> </w:t>
      </w:r>
      <w:r w:rsidR="000E5727">
        <w:t>is alleged to have damaged or destroyed the habit</w:t>
      </w:r>
      <w:r w:rsidR="00346123">
        <w:t>at</w:t>
      </w:r>
      <w:r w:rsidRPr="00EE3B86">
        <w:t>, generalized ecological evidence, and the General Habitat Description</w:t>
      </w:r>
      <w:r w:rsidR="005D73F9" w:rsidRPr="00EE3B86">
        <w:t xml:space="preserve"> </w:t>
      </w:r>
      <w:r w:rsidRPr="00EE3B86">
        <w:t xml:space="preserve">for the Blanding’s Turtle </w:t>
      </w:r>
      <w:r w:rsidR="006940C1" w:rsidRPr="00EE3B86">
        <w:t>(“</w:t>
      </w:r>
      <w:r w:rsidR="006940C1" w:rsidRPr="00EE3B86">
        <w:rPr>
          <w:b/>
          <w:bCs/>
        </w:rPr>
        <w:t>GHD</w:t>
      </w:r>
      <w:r w:rsidR="006940C1" w:rsidRPr="00EE3B86">
        <w:t xml:space="preserve">”) </w:t>
      </w:r>
      <w:r w:rsidRPr="00EE3B86">
        <w:t xml:space="preserve">to establish </w:t>
      </w:r>
      <w:r w:rsidR="00346123">
        <w:t xml:space="preserve">that the </w:t>
      </w:r>
      <w:r w:rsidRPr="00EE3B86">
        <w:t>habitat</w:t>
      </w:r>
      <w:r w:rsidR="00346123">
        <w:t xml:space="preserve"> of the Blanding’s Turtle existed</w:t>
      </w:r>
      <w:r w:rsidR="007C37BF">
        <w:t xml:space="preserve">. </w:t>
      </w:r>
      <w:r w:rsidRPr="00EE3B86">
        <w:t xml:space="preserve">No </w:t>
      </w:r>
      <w:r w:rsidR="006B20DA">
        <w:t>Blanding’s T</w:t>
      </w:r>
      <w:r w:rsidRPr="00EE3B86">
        <w:t>urtles were observed on the Site during the period</w:t>
      </w:r>
      <w:r w:rsidR="006B20DA">
        <w:t xml:space="preserve"> in question</w:t>
      </w:r>
      <w:r w:rsidRPr="00EE3B86">
        <w:t>, no nests or other physical indicators of use were found, and the Crown’s expert conceded that he had no confirmation that the Site was used by turtles to carry on their life processes in 2018.</w:t>
      </w:r>
    </w:p>
    <w:p w14:paraId="6D561FEC" w14:textId="7DDDCE60" w:rsidR="004401A6" w:rsidRDefault="4FA8E882" w:rsidP="000616AB">
      <w:pPr>
        <w:pStyle w:val="ListParagraph"/>
        <w:numPr>
          <w:ilvl w:val="0"/>
          <w:numId w:val="1"/>
        </w:numPr>
        <w:spacing w:before="240" w:after="240" w:line="360" w:lineRule="auto"/>
        <w:jc w:val="both"/>
      </w:pPr>
      <w:r w:rsidRPr="00EE3B86">
        <w:t xml:space="preserve">The OCJ correctly </w:t>
      </w:r>
      <w:r w:rsidR="00E63C55">
        <w:t>found that CHL did not damage or destroy habitat</w:t>
      </w:r>
      <w:r w:rsidR="004401A6">
        <w:t xml:space="preserve"> in concluding </w:t>
      </w:r>
      <w:r w:rsidRPr="00EE3B86">
        <w:t xml:space="preserve">that the evidentiary record could not satisfy the statutory definition of habitat. </w:t>
      </w:r>
    </w:p>
    <w:p w14:paraId="0919372C" w14:textId="47C0C63A" w:rsidR="4FA8E882" w:rsidRPr="00EE3B86" w:rsidRDefault="4FA8E882" w:rsidP="000616AB">
      <w:pPr>
        <w:pStyle w:val="ListParagraph"/>
        <w:numPr>
          <w:ilvl w:val="0"/>
          <w:numId w:val="1"/>
        </w:numPr>
        <w:spacing w:before="240" w:after="240" w:line="360" w:lineRule="auto"/>
        <w:jc w:val="both"/>
      </w:pPr>
      <w:r w:rsidRPr="00EE3B86">
        <w:lastRenderedPageBreak/>
        <w:t xml:space="preserve">Section 2(2) of the </w:t>
      </w:r>
      <w:r w:rsidRPr="00EE3B86">
        <w:rPr>
          <w:i/>
          <w:iCs/>
        </w:rPr>
        <w:t>ESA</w:t>
      </w:r>
      <w:r w:rsidRPr="00EE3B86">
        <w:t xml:space="preserve"> expressly limits habitat protection to </w:t>
      </w:r>
      <w:r w:rsidR="004401A6">
        <w:t xml:space="preserve">those </w:t>
      </w:r>
      <w:r w:rsidRPr="00EE3B86">
        <w:t xml:space="preserve">areas </w:t>
      </w:r>
      <w:r w:rsidR="004401A6">
        <w:t xml:space="preserve">where </w:t>
      </w:r>
      <w:r w:rsidRPr="00EE3B86">
        <w:t>existing members of the species depend to carry out their life processes. In the absence of site</w:t>
      </w:r>
      <w:r w:rsidR="008620AD" w:rsidRPr="00EE3B86">
        <w:t>-</w:t>
      </w:r>
      <w:r w:rsidRPr="00EE3B86">
        <w:t>specific and temporally relevant evidence of such dependence, an essential element of the offence was not proven.</w:t>
      </w:r>
    </w:p>
    <w:p w14:paraId="0F9A7D2E" w14:textId="612B46EB" w:rsidR="005F4468" w:rsidRPr="00EE3B86" w:rsidRDefault="007C62A4" w:rsidP="000616AB">
      <w:pPr>
        <w:pStyle w:val="ListParagraph"/>
        <w:numPr>
          <w:ilvl w:val="0"/>
          <w:numId w:val="1"/>
        </w:numPr>
        <w:spacing w:before="240" w:after="240" w:line="360" w:lineRule="auto"/>
        <w:jc w:val="both"/>
      </w:pPr>
      <w:r>
        <w:t>T</w:t>
      </w:r>
      <w:r w:rsidR="4FA8E882" w:rsidRPr="00EE3B86">
        <w:t xml:space="preserve">he OCJ did not reweigh evidence or substitute its own factual findings. Rather, it identified and </w:t>
      </w:r>
      <w:r w:rsidR="005C1A46">
        <w:t xml:space="preserve">properly interpreted the provisions of the </w:t>
      </w:r>
      <w:r w:rsidR="005C1A46" w:rsidRPr="00907E45">
        <w:rPr>
          <w:i/>
          <w:iCs/>
        </w:rPr>
        <w:t>ESA</w:t>
      </w:r>
      <w:r w:rsidR="00C92B5A">
        <w:t xml:space="preserve"> and confirmed that </w:t>
      </w:r>
      <w:r w:rsidR="4FA8E882" w:rsidRPr="00EE3B86">
        <w:t xml:space="preserve">temporally remote sightings, generalized ecological potential, and </w:t>
      </w:r>
      <w:r w:rsidR="00D746C9">
        <w:t xml:space="preserve">the application of </w:t>
      </w:r>
      <w:r w:rsidR="4FA8E882" w:rsidRPr="00EE3B86">
        <w:t xml:space="preserve">a </w:t>
      </w:r>
      <w:r w:rsidR="0015333D" w:rsidRPr="00EE3B86">
        <w:t>non-binding</w:t>
      </w:r>
      <w:r w:rsidR="4FA8E882" w:rsidRPr="00EE3B86">
        <w:t xml:space="preserve"> policy document </w:t>
      </w:r>
      <w:r w:rsidR="00D746C9">
        <w:t xml:space="preserve">does not constitute </w:t>
      </w:r>
      <w:r w:rsidR="4FA8E882" w:rsidRPr="00EE3B86">
        <w:t xml:space="preserve">proof of </w:t>
      </w:r>
      <w:r w:rsidR="00AA046F">
        <w:t>species</w:t>
      </w:r>
      <w:r w:rsidR="00AA046F" w:rsidRPr="00EE3B86">
        <w:t xml:space="preserve"> </w:t>
      </w:r>
      <w:r w:rsidR="4FA8E882" w:rsidRPr="00EE3B86">
        <w:t xml:space="preserve">dependence </w:t>
      </w:r>
      <w:r w:rsidR="00AA046F">
        <w:t xml:space="preserve">on the area </w:t>
      </w:r>
      <w:r w:rsidR="4FA8E882" w:rsidRPr="00EE3B86">
        <w:t>during the offence period. The acquittal entered by the OCJ was correct and</w:t>
      </w:r>
      <w:r w:rsidR="00AA046F">
        <w:t xml:space="preserve"> must </w:t>
      </w:r>
      <w:r w:rsidR="1BA5246C" w:rsidRPr="00EE3B86">
        <w:t xml:space="preserve">be upheld. </w:t>
      </w:r>
    </w:p>
    <w:p w14:paraId="621D6D7E" w14:textId="52BEF5BD" w:rsidR="003660DA" w:rsidRPr="00EE3B86" w:rsidRDefault="003660DA" w:rsidP="000616AB">
      <w:pPr>
        <w:pStyle w:val="Heading2"/>
        <w:tabs>
          <w:tab w:val="num" w:pos="720"/>
        </w:tabs>
        <w:spacing w:before="0" w:after="0" w:line="360" w:lineRule="auto"/>
        <w:rPr>
          <w:rFonts w:ascii="Times New Roman" w:hAnsi="Times New Roman"/>
          <w:i w:val="0"/>
          <w:iCs w:val="0"/>
          <w:sz w:val="24"/>
          <w:szCs w:val="24"/>
        </w:rPr>
      </w:pPr>
      <w:bookmarkStart w:id="3" w:name="_Toc220056489"/>
      <w:r w:rsidRPr="00EE3B86">
        <w:rPr>
          <w:rFonts w:ascii="Times New Roman" w:hAnsi="Times New Roman"/>
          <w:i w:val="0"/>
          <w:iCs w:val="0"/>
          <w:sz w:val="24"/>
          <w:szCs w:val="24"/>
        </w:rPr>
        <w:t>Statement of the Facts</w:t>
      </w:r>
      <w:bookmarkEnd w:id="3"/>
    </w:p>
    <w:p w14:paraId="10E93CF5" w14:textId="77777777" w:rsidR="00EC7B29" w:rsidRDefault="002A175E" w:rsidP="00EC7B29">
      <w:pPr>
        <w:pStyle w:val="ListParagraph"/>
        <w:numPr>
          <w:ilvl w:val="0"/>
          <w:numId w:val="1"/>
        </w:numPr>
        <w:spacing w:before="240" w:after="240" w:line="360" w:lineRule="auto"/>
        <w:jc w:val="both"/>
      </w:pPr>
      <w:r>
        <w:t>N</w:t>
      </w:r>
      <w:r w:rsidR="2E36503B" w:rsidRPr="00EE3B86">
        <w:t>o Blanding</w:t>
      </w:r>
      <w:r w:rsidR="00E874E9" w:rsidRPr="00EE3B86">
        <w:t>’</w:t>
      </w:r>
      <w:r w:rsidR="2E36503B" w:rsidRPr="00EE3B86">
        <w:t xml:space="preserve">s </w:t>
      </w:r>
      <w:r w:rsidR="00AD4865" w:rsidRPr="00EE3B86">
        <w:t>t</w:t>
      </w:r>
      <w:r w:rsidR="2E36503B" w:rsidRPr="00EE3B86">
        <w:t xml:space="preserve">urtles were observed on Site during the alleged offence period. </w:t>
      </w:r>
    </w:p>
    <w:p w14:paraId="22268AA0" w14:textId="58780F21" w:rsidR="005570E3" w:rsidRPr="00EC7B29" w:rsidRDefault="005E3DBF" w:rsidP="003E1CAE">
      <w:pPr>
        <w:pStyle w:val="ListParagraph"/>
        <w:spacing w:before="240"/>
        <w:ind w:left="0" w:firstLine="720"/>
        <w:jc w:val="both"/>
      </w:pPr>
      <w:r w:rsidRPr="00EC7B29">
        <w:rPr>
          <w:i/>
          <w:iCs/>
          <w:sz w:val="20"/>
          <w:szCs w:val="20"/>
        </w:rPr>
        <w:t>R v Consolidated Homes Ltd.</w:t>
      </w:r>
      <w:r w:rsidRPr="00EC7B29">
        <w:rPr>
          <w:sz w:val="20"/>
          <w:szCs w:val="20"/>
        </w:rPr>
        <w:t xml:space="preserve"> (20 August 2024), North Bay (OCJ)</w:t>
      </w:r>
      <w:r w:rsidR="001346B8" w:rsidRPr="00EC7B29">
        <w:rPr>
          <w:sz w:val="20"/>
          <w:szCs w:val="20"/>
        </w:rPr>
        <w:t xml:space="preserve"> at </w:t>
      </w:r>
      <w:r w:rsidR="001732BE" w:rsidRPr="00EC7B29">
        <w:rPr>
          <w:sz w:val="20"/>
          <w:szCs w:val="20"/>
        </w:rPr>
        <w:t>47-48 [</w:t>
      </w:r>
      <w:r w:rsidR="00BD5D3D" w:rsidRPr="00EC7B29">
        <w:rPr>
          <w:i/>
          <w:iCs/>
          <w:sz w:val="20"/>
          <w:szCs w:val="20"/>
        </w:rPr>
        <w:t>OCJ Decision</w:t>
      </w:r>
      <w:r w:rsidR="00BD5D3D" w:rsidRPr="00EC7B29">
        <w:rPr>
          <w:sz w:val="20"/>
          <w:szCs w:val="20"/>
        </w:rPr>
        <w:t>].</w:t>
      </w:r>
    </w:p>
    <w:p w14:paraId="7713914A" w14:textId="77777777" w:rsidR="00EC7B29" w:rsidRDefault="69B7A36E" w:rsidP="003E1CAE">
      <w:pPr>
        <w:pStyle w:val="ListParagraph"/>
        <w:numPr>
          <w:ilvl w:val="0"/>
          <w:numId w:val="1"/>
        </w:numPr>
        <w:spacing w:before="240" w:line="360" w:lineRule="auto"/>
        <w:jc w:val="both"/>
      </w:pPr>
      <w:r w:rsidRPr="00EE3B86">
        <w:t>T</w:t>
      </w:r>
      <w:r w:rsidR="6D3D290A" w:rsidRPr="00EE3B86">
        <w:t xml:space="preserve">here were no nests, eggs, tracks, or any other physical indicators of turtles found on the </w:t>
      </w:r>
      <w:r w:rsidR="009A73AC">
        <w:t>S</w:t>
      </w:r>
      <w:r w:rsidR="6D3D290A" w:rsidRPr="00EE3B86">
        <w:t xml:space="preserve">ite. </w:t>
      </w:r>
    </w:p>
    <w:p w14:paraId="6FC7CAFF" w14:textId="33C7123E" w:rsidR="008D195A" w:rsidRPr="00EC7B29" w:rsidRDefault="000D71E0" w:rsidP="00EC7B29">
      <w:pPr>
        <w:pStyle w:val="ListParagraph"/>
        <w:spacing w:after="240"/>
        <w:ind w:left="0" w:firstLine="720"/>
        <w:jc w:val="both"/>
      </w:pPr>
      <w:r w:rsidRPr="00EC7B29">
        <w:rPr>
          <w:i/>
          <w:iCs/>
          <w:sz w:val="20"/>
          <w:szCs w:val="20"/>
        </w:rPr>
        <w:t>OCJ Decision</w:t>
      </w:r>
      <w:r w:rsidRPr="00EC7B29">
        <w:rPr>
          <w:sz w:val="20"/>
          <w:szCs w:val="20"/>
        </w:rPr>
        <w:t xml:space="preserve">, </w:t>
      </w:r>
      <w:r w:rsidRPr="00EC7B29">
        <w:rPr>
          <w:i/>
          <w:iCs/>
          <w:sz w:val="20"/>
          <w:szCs w:val="20"/>
        </w:rPr>
        <w:t xml:space="preserve">supra </w:t>
      </w:r>
      <w:r w:rsidR="00464AB2" w:rsidRPr="00EC7B29">
        <w:rPr>
          <w:sz w:val="20"/>
          <w:szCs w:val="20"/>
        </w:rPr>
        <w:t>note 9</w:t>
      </w:r>
      <w:r w:rsidRPr="00EC7B29">
        <w:rPr>
          <w:i/>
          <w:iCs/>
          <w:sz w:val="20"/>
          <w:szCs w:val="20"/>
        </w:rPr>
        <w:t xml:space="preserve"> </w:t>
      </w:r>
      <w:r w:rsidRPr="00EC7B29">
        <w:rPr>
          <w:sz w:val="20"/>
          <w:szCs w:val="20"/>
        </w:rPr>
        <w:t>at 14.</w:t>
      </w:r>
    </w:p>
    <w:p w14:paraId="68733BB2" w14:textId="0DEC82F5" w:rsidR="005F4468" w:rsidRPr="00EE3B86" w:rsidRDefault="6D3D290A" w:rsidP="000616AB">
      <w:pPr>
        <w:pStyle w:val="ListParagraph"/>
        <w:numPr>
          <w:ilvl w:val="0"/>
          <w:numId w:val="1"/>
        </w:numPr>
        <w:spacing w:before="240" w:after="240" w:line="360" w:lineRule="auto"/>
        <w:jc w:val="both"/>
      </w:pPr>
      <w:r w:rsidRPr="00EE3B86">
        <w:t xml:space="preserve">The evidence of turtle sightings </w:t>
      </w:r>
      <w:r w:rsidR="538D8833" w:rsidRPr="00EE3B86">
        <w:t>relied</w:t>
      </w:r>
      <w:r w:rsidRPr="00EE3B86">
        <w:t xml:space="preserve"> on by the Crown consisted of observations from 2007, 2017 and a photograph taken in 2020. None of </w:t>
      </w:r>
      <w:r w:rsidR="009103E8">
        <w:t xml:space="preserve">these </w:t>
      </w:r>
      <w:r w:rsidR="007C37BF">
        <w:t>sightings</w:t>
      </w:r>
      <w:r w:rsidR="009103E8">
        <w:t xml:space="preserve"> occurred on the Site or during the relevant period being </w:t>
      </w:r>
      <w:r w:rsidRPr="00EE3B86">
        <w:t xml:space="preserve">the </w:t>
      </w:r>
      <w:r w:rsidR="520810FF" w:rsidRPr="00EE3B86">
        <w:t>summer</w:t>
      </w:r>
      <w:r w:rsidRPr="00EE3B86">
        <w:t xml:space="preserve"> of 2018. </w:t>
      </w:r>
    </w:p>
    <w:p w14:paraId="5781C9F7" w14:textId="37388998" w:rsidR="00BF1503" w:rsidRPr="00EC7B29" w:rsidRDefault="00BD5D3D" w:rsidP="003E1CAE">
      <w:pPr>
        <w:ind w:firstLine="720"/>
        <w:jc w:val="both"/>
        <w:rPr>
          <w:sz w:val="20"/>
          <w:szCs w:val="20"/>
        </w:rPr>
      </w:pPr>
      <w:r w:rsidRPr="00EC7B29">
        <w:rPr>
          <w:i/>
          <w:iCs/>
          <w:sz w:val="20"/>
          <w:szCs w:val="20"/>
        </w:rPr>
        <w:t>OCJ Decision</w:t>
      </w:r>
      <w:r w:rsidRPr="00EC7B29">
        <w:rPr>
          <w:sz w:val="20"/>
          <w:szCs w:val="20"/>
        </w:rPr>
        <w:t xml:space="preserve">, </w:t>
      </w:r>
      <w:r w:rsidRPr="00EC7B29">
        <w:rPr>
          <w:i/>
          <w:iCs/>
          <w:sz w:val="20"/>
          <w:szCs w:val="20"/>
        </w:rPr>
        <w:t>supra</w:t>
      </w:r>
      <w:r w:rsidRPr="00EC7B29">
        <w:rPr>
          <w:sz w:val="20"/>
          <w:szCs w:val="20"/>
        </w:rPr>
        <w:t xml:space="preserve"> </w:t>
      </w:r>
      <w:r w:rsidR="00464AB2" w:rsidRPr="00EC7B29">
        <w:rPr>
          <w:sz w:val="20"/>
          <w:szCs w:val="20"/>
        </w:rPr>
        <w:t>note 9</w:t>
      </w:r>
      <w:r w:rsidRPr="00EC7B29">
        <w:rPr>
          <w:sz w:val="20"/>
          <w:szCs w:val="20"/>
        </w:rPr>
        <w:t xml:space="preserve"> at </w:t>
      </w:r>
      <w:r w:rsidR="00B97143" w:rsidRPr="00EC7B29">
        <w:rPr>
          <w:sz w:val="20"/>
          <w:szCs w:val="20"/>
        </w:rPr>
        <w:t>1</w:t>
      </w:r>
      <w:r w:rsidR="00496A7D" w:rsidRPr="00EC7B29">
        <w:rPr>
          <w:sz w:val="20"/>
          <w:szCs w:val="20"/>
        </w:rPr>
        <w:t xml:space="preserve">5. </w:t>
      </w:r>
    </w:p>
    <w:p w14:paraId="177DA312" w14:textId="080D0728" w:rsidR="00700511" w:rsidRPr="00EE3B86" w:rsidRDefault="689FDA74" w:rsidP="000616AB">
      <w:pPr>
        <w:pStyle w:val="ListParagraph"/>
        <w:numPr>
          <w:ilvl w:val="0"/>
          <w:numId w:val="1"/>
        </w:numPr>
        <w:spacing w:before="240" w:after="240" w:line="360" w:lineRule="auto"/>
        <w:jc w:val="both"/>
      </w:pPr>
      <w:r w:rsidRPr="00EE3B86">
        <w:t xml:space="preserve">The </w:t>
      </w:r>
      <w:r w:rsidR="00DD49C3">
        <w:t xml:space="preserve">expert opinion of the </w:t>
      </w:r>
      <w:r w:rsidRPr="00EE3B86">
        <w:t>Crown</w:t>
      </w:r>
      <w:r w:rsidR="00DD49C3">
        <w:t xml:space="preserve"> confirmed that </w:t>
      </w:r>
      <w:r w:rsidR="003C4C02">
        <w:t xml:space="preserve">there was </w:t>
      </w:r>
      <w:r w:rsidRPr="00EE3B86">
        <w:t xml:space="preserve">no confirmation or proof that the Site was actually used by Blanding’s </w:t>
      </w:r>
      <w:r w:rsidR="003C4C02">
        <w:t>T</w:t>
      </w:r>
      <w:r w:rsidR="003C4C02" w:rsidRPr="00EE3B86">
        <w:t xml:space="preserve">urtles </w:t>
      </w:r>
      <w:r w:rsidRPr="00EE3B86">
        <w:t>for nesting, travel, thermoregu</w:t>
      </w:r>
      <w:r w:rsidR="004A59F9" w:rsidRPr="00EE3B86">
        <w:t>lation</w:t>
      </w:r>
      <w:r w:rsidR="00580484" w:rsidRPr="00EE3B86">
        <w:t>, or other life processes</w:t>
      </w:r>
      <w:r w:rsidR="004A59F9" w:rsidRPr="00EE3B86">
        <w:t xml:space="preserve">. </w:t>
      </w:r>
    </w:p>
    <w:p w14:paraId="39D0042E" w14:textId="1E157A1C" w:rsidR="00EF0489" w:rsidRPr="00EE3B86" w:rsidRDefault="000D3666" w:rsidP="005570E3">
      <w:pPr>
        <w:pStyle w:val="ListParagraph"/>
        <w:spacing w:before="240" w:after="240"/>
        <w:ind w:left="0" w:firstLine="720"/>
        <w:jc w:val="both"/>
        <w:rPr>
          <w:sz w:val="20"/>
          <w:szCs w:val="20"/>
        </w:rPr>
      </w:pPr>
      <w:r w:rsidRPr="00EE3B86">
        <w:rPr>
          <w:i/>
          <w:iCs/>
          <w:sz w:val="20"/>
          <w:szCs w:val="20"/>
        </w:rPr>
        <w:t>OCJ Decision</w:t>
      </w:r>
      <w:r w:rsidR="00970418" w:rsidRPr="00EE3B86">
        <w:rPr>
          <w:sz w:val="20"/>
          <w:szCs w:val="20"/>
        </w:rPr>
        <w:t xml:space="preserve">, </w:t>
      </w:r>
      <w:r w:rsidR="009E66AA" w:rsidRPr="00EE3B86">
        <w:rPr>
          <w:i/>
          <w:iCs/>
          <w:sz w:val="20"/>
          <w:szCs w:val="20"/>
        </w:rPr>
        <w:t>supra</w:t>
      </w:r>
      <w:r w:rsidR="00B67FDA" w:rsidRPr="00EE3B86">
        <w:rPr>
          <w:i/>
          <w:iCs/>
          <w:sz w:val="20"/>
          <w:szCs w:val="20"/>
        </w:rPr>
        <w:t xml:space="preserve"> </w:t>
      </w:r>
      <w:r w:rsidR="00464AB2" w:rsidRPr="00EE3B86">
        <w:rPr>
          <w:sz w:val="20"/>
          <w:szCs w:val="20"/>
        </w:rPr>
        <w:t>note 9</w:t>
      </w:r>
      <w:r w:rsidR="007C04B2" w:rsidRPr="00EE3B86">
        <w:rPr>
          <w:i/>
          <w:iCs/>
          <w:sz w:val="20"/>
          <w:szCs w:val="20"/>
        </w:rPr>
        <w:t xml:space="preserve"> </w:t>
      </w:r>
      <w:r w:rsidR="007C04B2" w:rsidRPr="00EE3B86">
        <w:rPr>
          <w:sz w:val="20"/>
          <w:szCs w:val="20"/>
        </w:rPr>
        <w:t xml:space="preserve">at </w:t>
      </w:r>
      <w:r w:rsidR="00436C5D">
        <w:rPr>
          <w:sz w:val="20"/>
          <w:szCs w:val="20"/>
        </w:rPr>
        <w:t>9</w:t>
      </w:r>
      <w:r w:rsidR="003B6308" w:rsidRPr="00EE3B86">
        <w:rPr>
          <w:sz w:val="20"/>
          <w:szCs w:val="20"/>
        </w:rPr>
        <w:t>.</w:t>
      </w:r>
    </w:p>
    <w:p w14:paraId="009E4FF3" w14:textId="1D46A6AE" w:rsidR="00EF0489" w:rsidRPr="00EE3B86" w:rsidRDefault="00504321" w:rsidP="00D701D2">
      <w:pPr>
        <w:pStyle w:val="Heading1"/>
        <w:spacing w:before="0" w:after="0"/>
        <w:rPr>
          <w:rFonts w:ascii="Times New Roman" w:hAnsi="Times New Roman"/>
          <w:sz w:val="24"/>
          <w:szCs w:val="24"/>
        </w:rPr>
      </w:pPr>
      <w:bookmarkStart w:id="4" w:name="_Toc271703733"/>
      <w:bookmarkStart w:id="5" w:name="_Toc220056490"/>
      <w:r w:rsidRPr="00EE3B86">
        <w:rPr>
          <w:rFonts w:ascii="Times New Roman" w:hAnsi="Times New Roman"/>
          <w:sz w:val="24"/>
          <w:szCs w:val="24"/>
        </w:rPr>
        <w:t xml:space="preserve">THE </w:t>
      </w:r>
      <w:r w:rsidR="003C4C02">
        <w:rPr>
          <w:rFonts w:ascii="Times New Roman" w:hAnsi="Times New Roman"/>
          <w:sz w:val="24"/>
          <w:szCs w:val="24"/>
        </w:rPr>
        <w:t>OCJ DID NOT ERR IN ALLOWING THE APPEAL</w:t>
      </w:r>
      <w:bookmarkEnd w:id="4"/>
      <w:bookmarkEnd w:id="5"/>
    </w:p>
    <w:p w14:paraId="44ED800F" w14:textId="699E1256" w:rsidR="003247FD" w:rsidRPr="00EE3B86" w:rsidRDefault="00A90BB4" w:rsidP="00D701D2">
      <w:pPr>
        <w:pStyle w:val="ListParagraph"/>
        <w:numPr>
          <w:ilvl w:val="0"/>
          <w:numId w:val="1"/>
        </w:numPr>
        <w:spacing w:before="240" w:after="240" w:line="360" w:lineRule="auto"/>
        <w:jc w:val="both"/>
      </w:pPr>
      <w:r w:rsidRPr="00EE3B86">
        <w:t>The Respondent</w:t>
      </w:r>
      <w:r w:rsidR="003E3094" w:rsidRPr="00EE3B86">
        <w:t xml:space="preserve"> </w:t>
      </w:r>
      <w:r w:rsidR="003C4C02">
        <w:t xml:space="preserve">respectfully </w:t>
      </w:r>
      <w:r w:rsidR="003E3094" w:rsidRPr="00EE3B86">
        <w:t xml:space="preserve">submits that the </w:t>
      </w:r>
      <w:r w:rsidR="00BC5084" w:rsidRPr="00EE3B86">
        <w:t>OCJ</w:t>
      </w:r>
      <w:r w:rsidR="00E04948" w:rsidRPr="00EE3B86">
        <w:t xml:space="preserve"> did not err in allowi</w:t>
      </w:r>
      <w:r w:rsidR="001A286C" w:rsidRPr="00EE3B86">
        <w:t xml:space="preserve">ng the appeal and entering an acquittal. </w:t>
      </w:r>
    </w:p>
    <w:p w14:paraId="019C12BC" w14:textId="7D009450" w:rsidR="001A286C" w:rsidRPr="00EE3B86" w:rsidRDefault="00151536" w:rsidP="00D701D2">
      <w:pPr>
        <w:pStyle w:val="ListParagraph"/>
        <w:numPr>
          <w:ilvl w:val="0"/>
          <w:numId w:val="1"/>
        </w:numPr>
        <w:spacing w:before="240" w:after="240" w:line="360" w:lineRule="auto"/>
        <w:jc w:val="both"/>
      </w:pPr>
      <w:r>
        <w:t>This appeal raises the following four issues</w:t>
      </w:r>
      <w:r w:rsidR="001A286C" w:rsidRPr="00EE3B86">
        <w:t xml:space="preserve">: </w:t>
      </w:r>
    </w:p>
    <w:p w14:paraId="69D22C8B" w14:textId="77777777" w:rsidR="000C41D1" w:rsidRPr="00EE3B86" w:rsidRDefault="00E8754D" w:rsidP="00D701D2">
      <w:pPr>
        <w:pStyle w:val="WSParaNum"/>
        <w:numPr>
          <w:ilvl w:val="1"/>
          <w:numId w:val="1"/>
        </w:numPr>
        <w:spacing w:before="0" w:after="0"/>
        <w:jc w:val="both"/>
      </w:pPr>
      <w:r w:rsidRPr="00EE3B86">
        <w:t>Are the sightings of Blanding’s turtles near the Site on various dates before and after the time of the offence relevant to establishing habitat at the Site?</w:t>
      </w:r>
    </w:p>
    <w:p w14:paraId="3F03BD24" w14:textId="2E037DEF" w:rsidR="00E8754D" w:rsidRPr="00EE3B86" w:rsidRDefault="00E8754D" w:rsidP="00D701D2">
      <w:pPr>
        <w:pStyle w:val="WSParaNum"/>
        <w:numPr>
          <w:ilvl w:val="2"/>
          <w:numId w:val="1"/>
        </w:numPr>
        <w:spacing w:before="0" w:after="0"/>
        <w:jc w:val="both"/>
      </w:pPr>
      <w:r w:rsidRPr="00EE3B86">
        <w:lastRenderedPageBreak/>
        <w:t xml:space="preserve">No. The sightings relied upon by the Crown occurred years before and after the offence period and not at the Site. In the absence of evidence that Blanding’s </w:t>
      </w:r>
      <w:r w:rsidR="009167D4">
        <w:t>T</w:t>
      </w:r>
      <w:r w:rsidRPr="00EE3B86">
        <w:t xml:space="preserve">urtles depended on the Site during the offence period, those sightings </w:t>
      </w:r>
      <w:r w:rsidR="009167D4">
        <w:t xml:space="preserve">do </w:t>
      </w:r>
      <w:r w:rsidRPr="00EE3B86">
        <w:t>not establish habitat within the meaning of s</w:t>
      </w:r>
      <w:r w:rsidR="004025A1">
        <w:t>ections</w:t>
      </w:r>
      <w:r w:rsidRPr="00EE3B86">
        <w:t xml:space="preserve"> 2(1) and 2(2) of the </w:t>
      </w:r>
      <w:r w:rsidRPr="00EE3B86">
        <w:rPr>
          <w:i/>
          <w:iCs/>
        </w:rPr>
        <w:t>ESA</w:t>
      </w:r>
      <w:r w:rsidRPr="00EE3B86">
        <w:t>.</w:t>
      </w:r>
    </w:p>
    <w:p w14:paraId="0D7BF675" w14:textId="77777777" w:rsidR="00E8754D" w:rsidRPr="00EE3B86" w:rsidRDefault="00E8754D" w:rsidP="00D701D2">
      <w:pPr>
        <w:pStyle w:val="WSParaNum"/>
        <w:numPr>
          <w:ilvl w:val="1"/>
          <w:numId w:val="1"/>
        </w:numPr>
        <w:spacing w:before="0" w:after="0"/>
        <w:jc w:val="both"/>
      </w:pPr>
      <w:r w:rsidRPr="00EE3B86">
        <w:t>Can the GHD document be treated as determinative proof of a legally protected habitat?</w:t>
      </w:r>
    </w:p>
    <w:p w14:paraId="08E40EF4" w14:textId="77777777" w:rsidR="00536BCA" w:rsidRPr="00EE3B86" w:rsidRDefault="00E8754D" w:rsidP="00D701D2">
      <w:pPr>
        <w:pStyle w:val="WSParaNum"/>
        <w:numPr>
          <w:ilvl w:val="2"/>
          <w:numId w:val="1"/>
        </w:numPr>
        <w:spacing w:before="0" w:after="0"/>
        <w:jc w:val="both"/>
      </w:pPr>
      <w:r w:rsidRPr="00EE3B86">
        <w:t xml:space="preserve">No. The GHD is not a legal instrument or a legal document. While it may provide contextual or background information, it cannot substitute for evidence establishing that the specific lands at issue constituted protected habitat under the </w:t>
      </w:r>
      <w:r w:rsidRPr="00EE3B86">
        <w:rPr>
          <w:i/>
          <w:iCs/>
        </w:rPr>
        <w:t xml:space="preserve">ESA </w:t>
      </w:r>
      <w:r w:rsidRPr="00EE3B86">
        <w:t>at the time of the offence.</w:t>
      </w:r>
    </w:p>
    <w:p w14:paraId="3FFE4A82" w14:textId="0B77A629" w:rsidR="00536BCA" w:rsidRPr="00EE3B86" w:rsidRDefault="26626A62" w:rsidP="00D701D2">
      <w:pPr>
        <w:pStyle w:val="WSParaNum"/>
        <w:numPr>
          <w:ilvl w:val="1"/>
          <w:numId w:val="1"/>
        </w:numPr>
        <w:spacing w:before="0" w:after="0"/>
        <w:jc w:val="both"/>
      </w:pPr>
      <w:r w:rsidRPr="00EE3B86">
        <w:t>Did the OCJ correctl</w:t>
      </w:r>
      <w:r w:rsidR="79B2B416" w:rsidRPr="00EE3B86">
        <w:t>y</w:t>
      </w:r>
      <w:r w:rsidRPr="00EE3B86">
        <w:t xml:space="preserve"> apply the statutory definition of “habitat,” including indirect dependence, and conclude that the Crown failed to establish that the Site constituted habitat under the </w:t>
      </w:r>
      <w:r w:rsidR="006F2CEC">
        <w:rPr>
          <w:i/>
          <w:iCs/>
        </w:rPr>
        <w:t>ESA</w:t>
      </w:r>
      <w:r w:rsidRPr="00EE3B86">
        <w:t>?</w:t>
      </w:r>
    </w:p>
    <w:p w14:paraId="582E76FD" w14:textId="78111150" w:rsidR="00536BCA" w:rsidRPr="00EE3B86" w:rsidRDefault="26626A62" w:rsidP="00D701D2">
      <w:pPr>
        <w:pStyle w:val="WSParaNum"/>
        <w:numPr>
          <w:ilvl w:val="2"/>
          <w:numId w:val="1"/>
        </w:numPr>
        <w:spacing w:before="0" w:after="0"/>
        <w:jc w:val="both"/>
      </w:pPr>
      <w:r w:rsidRPr="00EE3B86">
        <w:t>Yes</w:t>
      </w:r>
      <w:r w:rsidR="004677D5" w:rsidRPr="00EE3B86">
        <w:t xml:space="preserve">. The </w:t>
      </w:r>
      <w:r w:rsidR="00A573A7" w:rsidRPr="00EE3B86">
        <w:t>OCJ</w:t>
      </w:r>
      <w:r w:rsidR="004677D5" w:rsidRPr="00EE3B86">
        <w:t xml:space="preserve"> correctly applied the statutory definition of “habitat.” Any focus on direct or indirect use by Blanding’s turtles was not a legal error but a factual determination </w:t>
      </w:r>
      <w:r w:rsidR="006F2CEC">
        <w:t>based on</w:t>
      </w:r>
      <w:r w:rsidR="004677D5" w:rsidRPr="00EE3B86">
        <w:t xml:space="preserve"> the evidentiary record and the requirement of present dependency under s</w:t>
      </w:r>
      <w:r w:rsidR="004025A1">
        <w:t xml:space="preserve">ection </w:t>
      </w:r>
      <w:r w:rsidR="004677D5" w:rsidRPr="00EE3B86">
        <w:t>2(</w:t>
      </w:r>
      <w:r w:rsidR="000B53CA" w:rsidRPr="00EE3B86">
        <w:t xml:space="preserve">2) of the </w:t>
      </w:r>
      <w:r w:rsidR="00A573A7" w:rsidRPr="00EE3B86">
        <w:rPr>
          <w:i/>
          <w:iCs/>
        </w:rPr>
        <w:t>ESA</w:t>
      </w:r>
      <w:r w:rsidR="000B53CA" w:rsidRPr="00EE3B86">
        <w:t>.</w:t>
      </w:r>
    </w:p>
    <w:p w14:paraId="09D987DA" w14:textId="77777777" w:rsidR="00536BCA" w:rsidRPr="00EE3B86" w:rsidRDefault="000B53CA" w:rsidP="00D701D2">
      <w:pPr>
        <w:pStyle w:val="WSParaNum"/>
        <w:numPr>
          <w:ilvl w:val="1"/>
          <w:numId w:val="1"/>
        </w:numPr>
        <w:spacing w:before="0" w:after="0"/>
        <w:jc w:val="both"/>
      </w:pPr>
      <w:r w:rsidRPr="00EE3B86">
        <w:t xml:space="preserve">Would the </w:t>
      </w:r>
      <w:r w:rsidR="3FC79326" w:rsidRPr="00EE3B86">
        <w:t xml:space="preserve">trial </w:t>
      </w:r>
      <w:r w:rsidRPr="00EE3B86">
        <w:t xml:space="preserve">result </w:t>
      </w:r>
      <w:r w:rsidR="01472B82" w:rsidRPr="00EE3B86">
        <w:t xml:space="preserve">have </w:t>
      </w:r>
      <w:r w:rsidRPr="00EE3B86">
        <w:t>differ</w:t>
      </w:r>
      <w:r w:rsidR="115A6318" w:rsidRPr="00EE3B86">
        <w:t xml:space="preserve">ed </w:t>
      </w:r>
      <w:r w:rsidRPr="00EE3B86">
        <w:t>under the amended definition of “habitat”?</w:t>
      </w:r>
    </w:p>
    <w:p w14:paraId="7B7B50EB" w14:textId="01A23968" w:rsidR="006A0FDA" w:rsidRPr="00EE3B86" w:rsidRDefault="75ACF8A4" w:rsidP="00D701D2">
      <w:pPr>
        <w:pStyle w:val="WSParaNum"/>
        <w:numPr>
          <w:ilvl w:val="2"/>
          <w:numId w:val="1"/>
        </w:numPr>
        <w:spacing w:before="0" w:after="0"/>
        <w:jc w:val="both"/>
      </w:pPr>
      <w:r w:rsidRPr="00EE3B86">
        <w:t>Yes. Under the amended definition, the Crown could not have proven that the Site constituted habitat, and an acquittal would have been required.</w:t>
      </w:r>
    </w:p>
    <w:p w14:paraId="10DFEF3E" w14:textId="77777777" w:rsidR="00521FE0" w:rsidRPr="00EE3B86" w:rsidRDefault="00521FE0" w:rsidP="00093DBF">
      <w:pPr>
        <w:pStyle w:val="Heading1"/>
        <w:tabs>
          <w:tab w:val="num" w:pos="720"/>
        </w:tabs>
        <w:spacing w:before="0" w:after="0" w:line="360" w:lineRule="auto"/>
        <w:ind w:left="720" w:hanging="720"/>
        <w:jc w:val="both"/>
        <w:rPr>
          <w:rFonts w:ascii="Times New Roman" w:hAnsi="Times New Roman"/>
          <w:sz w:val="24"/>
          <w:szCs w:val="24"/>
        </w:rPr>
      </w:pPr>
      <w:bookmarkStart w:id="6" w:name="_Toc271703734"/>
      <w:bookmarkStart w:id="7" w:name="_Toc220056491"/>
      <w:r w:rsidRPr="00EE3B86">
        <w:rPr>
          <w:rFonts w:ascii="Times New Roman" w:hAnsi="Times New Roman"/>
          <w:sz w:val="24"/>
          <w:szCs w:val="24"/>
        </w:rPr>
        <w:t>ARGUMENT</w:t>
      </w:r>
      <w:bookmarkEnd w:id="6"/>
      <w:bookmarkEnd w:id="7"/>
    </w:p>
    <w:p w14:paraId="0D414B27" w14:textId="0784A6C0" w:rsidR="00521FE0" w:rsidRPr="00EE3B86" w:rsidRDefault="00521FE0" w:rsidP="00093DBF">
      <w:pPr>
        <w:pStyle w:val="Heading2"/>
        <w:tabs>
          <w:tab w:val="num" w:pos="720"/>
        </w:tabs>
        <w:spacing w:line="360" w:lineRule="auto"/>
        <w:jc w:val="both"/>
        <w:rPr>
          <w:rFonts w:ascii="Times New Roman" w:hAnsi="Times New Roman"/>
          <w:i w:val="0"/>
          <w:iCs w:val="0"/>
          <w:sz w:val="24"/>
          <w:szCs w:val="24"/>
        </w:rPr>
      </w:pPr>
      <w:bookmarkStart w:id="8" w:name="_Toc220056492"/>
      <w:r w:rsidRPr="00EE3B86">
        <w:rPr>
          <w:rFonts w:ascii="Times New Roman" w:hAnsi="Times New Roman"/>
          <w:i w:val="0"/>
          <w:iCs w:val="0"/>
          <w:sz w:val="24"/>
          <w:szCs w:val="24"/>
        </w:rPr>
        <w:t>Issue 1:</w:t>
      </w:r>
      <w:r w:rsidRPr="00EE3B86">
        <w:rPr>
          <w:rFonts w:ascii="Times New Roman" w:hAnsi="Times New Roman"/>
          <w:sz w:val="24"/>
          <w:szCs w:val="24"/>
        </w:rPr>
        <w:t xml:space="preserve"> </w:t>
      </w:r>
      <w:r w:rsidR="006D292D">
        <w:rPr>
          <w:rFonts w:ascii="Times New Roman" w:hAnsi="Times New Roman"/>
          <w:i w:val="0"/>
          <w:iCs w:val="0"/>
          <w:sz w:val="24"/>
          <w:szCs w:val="24"/>
        </w:rPr>
        <w:t>S</w:t>
      </w:r>
      <w:r w:rsidRPr="1B34AF2F">
        <w:rPr>
          <w:rFonts w:ascii="Times New Roman" w:hAnsi="Times New Roman"/>
          <w:i w:val="0"/>
          <w:iCs w:val="0"/>
          <w:sz w:val="24"/>
          <w:szCs w:val="24"/>
        </w:rPr>
        <w:t>ightings</w:t>
      </w:r>
      <w:r w:rsidRPr="00EE3B86">
        <w:rPr>
          <w:rFonts w:ascii="Times New Roman" w:hAnsi="Times New Roman"/>
          <w:i w:val="0"/>
          <w:iCs w:val="0"/>
          <w:sz w:val="24"/>
          <w:szCs w:val="24"/>
        </w:rPr>
        <w:t xml:space="preserve"> </w:t>
      </w:r>
      <w:r w:rsidR="006D292D">
        <w:rPr>
          <w:rFonts w:ascii="Times New Roman" w:hAnsi="Times New Roman"/>
          <w:i w:val="0"/>
          <w:iCs w:val="0"/>
          <w:sz w:val="24"/>
          <w:szCs w:val="24"/>
        </w:rPr>
        <w:t>N</w:t>
      </w:r>
      <w:r w:rsidRPr="1B34AF2F">
        <w:rPr>
          <w:rFonts w:ascii="Times New Roman" w:hAnsi="Times New Roman"/>
          <w:i w:val="0"/>
          <w:iCs w:val="0"/>
          <w:sz w:val="24"/>
          <w:szCs w:val="24"/>
        </w:rPr>
        <w:t>ear</w:t>
      </w:r>
      <w:r w:rsidRPr="00EE3B86">
        <w:rPr>
          <w:rFonts w:ascii="Times New Roman" w:hAnsi="Times New Roman"/>
          <w:i w:val="0"/>
          <w:iCs w:val="0"/>
          <w:sz w:val="24"/>
          <w:szCs w:val="24"/>
        </w:rPr>
        <w:t xml:space="preserve"> the Site </w:t>
      </w:r>
      <w:r w:rsidR="006D292D">
        <w:rPr>
          <w:rFonts w:ascii="Times New Roman" w:hAnsi="Times New Roman"/>
          <w:i w:val="0"/>
          <w:iCs w:val="0"/>
          <w:sz w:val="24"/>
          <w:szCs w:val="24"/>
        </w:rPr>
        <w:t>B</w:t>
      </w:r>
      <w:r w:rsidRPr="1B34AF2F">
        <w:rPr>
          <w:rFonts w:ascii="Times New Roman" w:hAnsi="Times New Roman"/>
          <w:i w:val="0"/>
          <w:iCs w:val="0"/>
          <w:sz w:val="24"/>
          <w:szCs w:val="24"/>
        </w:rPr>
        <w:t>efore</w:t>
      </w:r>
      <w:r w:rsidRPr="00EE3B86">
        <w:rPr>
          <w:rFonts w:ascii="Times New Roman" w:hAnsi="Times New Roman"/>
          <w:i w:val="0"/>
          <w:iCs w:val="0"/>
          <w:sz w:val="24"/>
          <w:szCs w:val="24"/>
        </w:rPr>
        <w:t xml:space="preserve"> and </w:t>
      </w:r>
      <w:r w:rsidR="002E2645">
        <w:rPr>
          <w:rFonts w:ascii="Times New Roman" w:hAnsi="Times New Roman"/>
          <w:i w:val="0"/>
          <w:iCs w:val="0"/>
          <w:sz w:val="24"/>
          <w:szCs w:val="24"/>
        </w:rPr>
        <w:t>A</w:t>
      </w:r>
      <w:r w:rsidRPr="1B34AF2F">
        <w:rPr>
          <w:rFonts w:ascii="Times New Roman" w:hAnsi="Times New Roman"/>
          <w:i w:val="0"/>
          <w:iCs w:val="0"/>
          <w:sz w:val="24"/>
          <w:szCs w:val="24"/>
        </w:rPr>
        <w:t>fter</w:t>
      </w:r>
      <w:r w:rsidRPr="00EE3B86">
        <w:rPr>
          <w:rFonts w:ascii="Times New Roman" w:hAnsi="Times New Roman"/>
          <w:i w:val="0"/>
          <w:iCs w:val="0"/>
          <w:sz w:val="24"/>
          <w:szCs w:val="24"/>
        </w:rPr>
        <w:t xml:space="preserve"> the </w:t>
      </w:r>
      <w:r w:rsidR="002E2645">
        <w:rPr>
          <w:rFonts w:ascii="Times New Roman" w:hAnsi="Times New Roman"/>
          <w:i w:val="0"/>
          <w:iCs w:val="0"/>
          <w:sz w:val="24"/>
          <w:szCs w:val="24"/>
        </w:rPr>
        <w:t>O</w:t>
      </w:r>
      <w:r w:rsidRPr="1B34AF2F">
        <w:rPr>
          <w:rFonts w:ascii="Times New Roman" w:hAnsi="Times New Roman"/>
          <w:i w:val="0"/>
          <w:iCs w:val="0"/>
          <w:sz w:val="24"/>
          <w:szCs w:val="24"/>
        </w:rPr>
        <w:t>ffence</w:t>
      </w:r>
      <w:r w:rsidRPr="00EE3B86">
        <w:rPr>
          <w:rFonts w:ascii="Times New Roman" w:hAnsi="Times New Roman"/>
          <w:i w:val="0"/>
          <w:iCs w:val="0"/>
          <w:sz w:val="24"/>
          <w:szCs w:val="24"/>
        </w:rPr>
        <w:t xml:space="preserve"> are </w:t>
      </w:r>
      <w:r w:rsidR="002E2645">
        <w:rPr>
          <w:rFonts w:ascii="Times New Roman" w:hAnsi="Times New Roman"/>
          <w:i w:val="0"/>
          <w:iCs w:val="0"/>
          <w:sz w:val="24"/>
          <w:szCs w:val="24"/>
        </w:rPr>
        <w:t>I</w:t>
      </w:r>
      <w:r w:rsidRPr="1B34AF2F">
        <w:rPr>
          <w:rFonts w:ascii="Times New Roman" w:hAnsi="Times New Roman"/>
          <w:i w:val="0"/>
          <w:iCs w:val="0"/>
          <w:sz w:val="24"/>
          <w:szCs w:val="24"/>
        </w:rPr>
        <w:t>rrelevant</w:t>
      </w:r>
      <w:bookmarkEnd w:id="8"/>
    </w:p>
    <w:p w14:paraId="711C405C" w14:textId="1DCC47E8" w:rsidR="004F4E6F" w:rsidRDefault="00366CF1" w:rsidP="00093DBF">
      <w:pPr>
        <w:pStyle w:val="WSParaNum"/>
        <w:numPr>
          <w:ilvl w:val="0"/>
          <w:numId w:val="1"/>
        </w:numPr>
        <w:spacing w:before="0" w:after="0"/>
        <w:jc w:val="both"/>
      </w:pPr>
      <w:r w:rsidRPr="00EE3B86">
        <w:t xml:space="preserve">The OCJ </w:t>
      </w:r>
      <w:r w:rsidR="008D79F6" w:rsidRPr="00EE3B86">
        <w:t xml:space="preserve">was correct and </w:t>
      </w:r>
      <w:r w:rsidRPr="00EE3B86">
        <w:t xml:space="preserve">did not err in finding that the </w:t>
      </w:r>
      <w:r w:rsidR="00BB6D3B" w:rsidRPr="00EE3B86">
        <w:t xml:space="preserve">Trial Justice </w:t>
      </w:r>
      <w:r w:rsidR="008D79F6" w:rsidRPr="00EE3B86">
        <w:t xml:space="preserve">could not rely on </w:t>
      </w:r>
      <w:r w:rsidR="00BB6D3B" w:rsidRPr="00EE3B86">
        <w:t xml:space="preserve">evidence of sightings of a Blanding’s Turtle near the Site on various dates before and after the time of the offence. </w:t>
      </w:r>
    </w:p>
    <w:p w14:paraId="029E67C0" w14:textId="73D94440" w:rsidR="00AC32D9" w:rsidRPr="004F4E6F" w:rsidRDefault="00AC32D9" w:rsidP="003E1CAE">
      <w:pPr>
        <w:pStyle w:val="WSParaNum"/>
        <w:numPr>
          <w:ilvl w:val="0"/>
          <w:numId w:val="0"/>
        </w:numPr>
        <w:spacing w:before="0"/>
        <w:ind w:firstLine="720"/>
        <w:jc w:val="both"/>
      </w:pPr>
      <w:r w:rsidRPr="004F4E6F">
        <w:rPr>
          <w:i/>
          <w:iCs/>
          <w:sz w:val="20"/>
          <w:szCs w:val="20"/>
        </w:rPr>
        <w:t>OCJ Decision</w:t>
      </w:r>
      <w:r w:rsidRPr="004F4E6F">
        <w:rPr>
          <w:sz w:val="20"/>
          <w:szCs w:val="20"/>
        </w:rPr>
        <w:t xml:space="preserve">, </w:t>
      </w:r>
      <w:r w:rsidRPr="004F4E6F">
        <w:rPr>
          <w:i/>
          <w:iCs/>
          <w:sz w:val="20"/>
          <w:szCs w:val="20"/>
        </w:rPr>
        <w:t>supra</w:t>
      </w:r>
      <w:r w:rsidR="00173D38" w:rsidRPr="004F4E6F">
        <w:rPr>
          <w:i/>
          <w:iCs/>
          <w:sz w:val="20"/>
          <w:szCs w:val="20"/>
        </w:rPr>
        <w:t xml:space="preserve"> </w:t>
      </w:r>
      <w:r w:rsidR="00464AB2" w:rsidRPr="004F4E6F">
        <w:rPr>
          <w:sz w:val="20"/>
          <w:szCs w:val="20"/>
        </w:rPr>
        <w:t>note 9</w:t>
      </w:r>
      <w:r w:rsidRPr="004F4E6F">
        <w:rPr>
          <w:i/>
          <w:iCs/>
          <w:sz w:val="20"/>
          <w:szCs w:val="20"/>
        </w:rPr>
        <w:t xml:space="preserve"> </w:t>
      </w:r>
      <w:r w:rsidRPr="004F4E6F">
        <w:rPr>
          <w:sz w:val="20"/>
          <w:szCs w:val="20"/>
        </w:rPr>
        <w:t>at 20.</w:t>
      </w:r>
    </w:p>
    <w:p w14:paraId="33E18DE6" w14:textId="4155B6C6" w:rsidR="00B34C94" w:rsidRPr="00EE3B86" w:rsidRDefault="00B34C94" w:rsidP="00093DBF">
      <w:pPr>
        <w:pStyle w:val="WSParaNum"/>
        <w:numPr>
          <w:ilvl w:val="0"/>
          <w:numId w:val="1"/>
        </w:numPr>
        <w:spacing w:before="0" w:after="0"/>
        <w:jc w:val="both"/>
      </w:pPr>
      <w:r w:rsidRPr="00EE3B86">
        <w:t>The language of s</w:t>
      </w:r>
      <w:r w:rsidR="00AC32D9" w:rsidRPr="00EE3B86">
        <w:t>ection</w:t>
      </w:r>
      <w:r w:rsidRPr="00EE3B86">
        <w:t xml:space="preserve"> 2(2) of the </w:t>
      </w:r>
      <w:r w:rsidRPr="00EE3B86">
        <w:rPr>
          <w:i/>
          <w:iCs/>
        </w:rPr>
        <w:t>ESA</w:t>
      </w:r>
      <w:r w:rsidRPr="00EE3B86">
        <w:t xml:space="preserve"> explicitly states that </w:t>
      </w:r>
      <w:r w:rsidR="008E4C93" w:rsidRPr="00EE3B86">
        <w:t>the definition of habitat does not include an area where species have formally occurred</w:t>
      </w:r>
      <w:r w:rsidR="004C1170" w:rsidRPr="00EE3B86">
        <w:t xml:space="preserve"> or has the potential to be reintroduced unless existing members of the species depend on that area to carry out their life processes. </w:t>
      </w:r>
      <w:r w:rsidR="008D79F6" w:rsidRPr="00EE3B86">
        <w:t xml:space="preserve">The </w:t>
      </w:r>
      <w:r w:rsidR="008D79F6" w:rsidRPr="00EE3B86">
        <w:lastRenderedPageBreak/>
        <w:t xml:space="preserve">burden is on the Appellants to show that </w:t>
      </w:r>
      <w:r w:rsidR="004E607B" w:rsidRPr="00EE3B86">
        <w:t>the Blanding’s Turtle</w:t>
      </w:r>
      <w:r w:rsidR="00BE207F" w:rsidRPr="00EE3B86">
        <w:t xml:space="preserve"> e</w:t>
      </w:r>
      <w:r w:rsidR="002F6AA9" w:rsidRPr="00EE3B86">
        <w:t xml:space="preserve">xisted </w:t>
      </w:r>
      <w:r w:rsidR="00BD036E" w:rsidRPr="00EE3B86">
        <w:t xml:space="preserve">and depended on the site area to carry out their life processes during the offence. </w:t>
      </w:r>
    </w:p>
    <w:p w14:paraId="71949184" w14:textId="5E7E04C0" w:rsidR="511B8B07" w:rsidRPr="00EE3B86" w:rsidRDefault="00C07891" w:rsidP="003E1CAE">
      <w:pPr>
        <w:pStyle w:val="WSParaNum"/>
        <w:numPr>
          <w:ilvl w:val="0"/>
          <w:numId w:val="0"/>
        </w:numPr>
        <w:spacing w:before="0"/>
        <w:ind w:firstLine="720"/>
        <w:jc w:val="both"/>
        <w:rPr>
          <w:sz w:val="20"/>
          <w:szCs w:val="20"/>
          <w:highlight w:val="magenta"/>
        </w:rPr>
      </w:pPr>
      <w:r w:rsidRPr="00EE3B86">
        <w:rPr>
          <w:i/>
          <w:iCs/>
          <w:sz w:val="20"/>
          <w:szCs w:val="20"/>
        </w:rPr>
        <w:t>Endangered Species Act</w:t>
      </w:r>
      <w:r w:rsidRPr="00EE3B86">
        <w:rPr>
          <w:sz w:val="20"/>
          <w:szCs w:val="20"/>
        </w:rPr>
        <w:t>, SO 2007, c 6</w:t>
      </w:r>
      <w:r w:rsidR="00860241">
        <w:rPr>
          <w:sz w:val="20"/>
          <w:szCs w:val="20"/>
        </w:rPr>
        <w:t xml:space="preserve"> </w:t>
      </w:r>
      <w:r w:rsidR="00860241" w:rsidRPr="00860241">
        <w:rPr>
          <w:sz w:val="20"/>
          <w:szCs w:val="20"/>
        </w:rPr>
        <w:t>as it appeared between 30 June 2008 and 5 June 2019</w:t>
      </w:r>
      <w:r w:rsidR="00860241">
        <w:rPr>
          <w:sz w:val="20"/>
          <w:szCs w:val="20"/>
        </w:rPr>
        <w:t>,</w:t>
      </w:r>
      <w:r w:rsidRPr="00EE3B86">
        <w:rPr>
          <w:sz w:val="20"/>
          <w:szCs w:val="20"/>
        </w:rPr>
        <w:t xml:space="preserve"> s 2(2) [</w:t>
      </w:r>
      <w:r w:rsidRPr="00EE3B86">
        <w:rPr>
          <w:i/>
          <w:iCs/>
          <w:sz w:val="20"/>
          <w:szCs w:val="20"/>
        </w:rPr>
        <w:t>ESA</w:t>
      </w:r>
      <w:r w:rsidRPr="00EE3B86">
        <w:rPr>
          <w:sz w:val="20"/>
          <w:szCs w:val="20"/>
        </w:rPr>
        <w:t xml:space="preserve">]. </w:t>
      </w:r>
    </w:p>
    <w:p w14:paraId="07098DDB" w14:textId="6F43800B" w:rsidR="0083101F" w:rsidRPr="00EE3B86" w:rsidRDefault="00A40BC6" w:rsidP="00093DBF">
      <w:pPr>
        <w:pStyle w:val="WSParaNum"/>
        <w:numPr>
          <w:ilvl w:val="0"/>
          <w:numId w:val="1"/>
        </w:numPr>
        <w:spacing w:before="0" w:after="0"/>
        <w:jc w:val="both"/>
      </w:pPr>
      <w:r w:rsidRPr="00EE3B86">
        <w:t xml:space="preserve">The </w:t>
      </w:r>
      <w:r w:rsidR="008D79F6" w:rsidRPr="00EE3B86">
        <w:t>A</w:t>
      </w:r>
      <w:r w:rsidRPr="00EE3B86">
        <w:t xml:space="preserve">ppellants are unable to </w:t>
      </w:r>
      <w:r w:rsidR="008D79F6" w:rsidRPr="00EE3B86">
        <w:t>show that the Blanding’s Turtle existed on the Site</w:t>
      </w:r>
      <w:r w:rsidRPr="00EE3B86">
        <w:t>:</w:t>
      </w:r>
    </w:p>
    <w:p w14:paraId="3C873E80" w14:textId="6FBF2797" w:rsidR="00660DDA" w:rsidRPr="00EE3B86" w:rsidRDefault="00883B04" w:rsidP="00093DBF">
      <w:pPr>
        <w:pStyle w:val="ListParagraph"/>
        <w:numPr>
          <w:ilvl w:val="1"/>
          <w:numId w:val="1"/>
        </w:numPr>
        <w:spacing w:line="360" w:lineRule="auto"/>
        <w:jc w:val="both"/>
        <w:rPr>
          <w:lang w:val="en-CA"/>
        </w:rPr>
      </w:pPr>
      <w:r w:rsidRPr="00EE3B86">
        <w:rPr>
          <w:lang w:val="en-CA"/>
        </w:rPr>
        <w:t xml:space="preserve">Section 2(2) of the </w:t>
      </w:r>
      <w:r w:rsidR="00601943" w:rsidRPr="00EE3B86">
        <w:rPr>
          <w:i/>
          <w:iCs/>
          <w:lang w:val="en-CA"/>
        </w:rPr>
        <w:t>ESA</w:t>
      </w:r>
      <w:r w:rsidRPr="00EE3B86">
        <w:rPr>
          <w:i/>
          <w:iCs/>
          <w:lang w:val="en-CA"/>
        </w:rPr>
        <w:t xml:space="preserve"> </w:t>
      </w:r>
      <w:r w:rsidRPr="00EE3B86">
        <w:rPr>
          <w:lang w:val="en-CA"/>
        </w:rPr>
        <w:t>precludes reliance on sightings outside of the offence period to establish habitat use at the relevant time; and</w:t>
      </w:r>
    </w:p>
    <w:p w14:paraId="2C3B95B1" w14:textId="441CC11A" w:rsidR="00B920E5" w:rsidRPr="00EE3B86" w:rsidRDefault="001C6112" w:rsidP="00093DBF">
      <w:pPr>
        <w:pStyle w:val="ListParagraph"/>
        <w:numPr>
          <w:ilvl w:val="1"/>
          <w:numId w:val="1"/>
        </w:numPr>
        <w:spacing w:line="360" w:lineRule="auto"/>
        <w:jc w:val="both"/>
        <w:rPr>
          <w:lang w:val="en-CA"/>
        </w:rPr>
      </w:pPr>
      <w:r w:rsidRPr="00EE3B86">
        <w:rPr>
          <w:lang w:val="en-CA"/>
        </w:rPr>
        <w:t>The Trial Justice</w:t>
      </w:r>
      <w:r w:rsidR="00B0121D" w:rsidRPr="00EE3B86">
        <w:rPr>
          <w:lang w:val="en-CA"/>
        </w:rPr>
        <w:t>,</w:t>
      </w:r>
      <w:r w:rsidRPr="00EE3B86">
        <w:rPr>
          <w:lang w:val="en-CA"/>
        </w:rPr>
        <w:t xml:space="preserve"> </w:t>
      </w:r>
      <w:r w:rsidR="008D79F6" w:rsidRPr="00EE3B86">
        <w:rPr>
          <w:lang w:val="en-CA"/>
        </w:rPr>
        <w:t>without any factual basis</w:t>
      </w:r>
      <w:r w:rsidR="00B0121D" w:rsidRPr="00EE3B86">
        <w:rPr>
          <w:lang w:val="en-CA"/>
        </w:rPr>
        <w:t>,</w:t>
      </w:r>
      <w:r w:rsidR="008D79F6" w:rsidRPr="00EE3B86">
        <w:rPr>
          <w:lang w:val="en-CA"/>
        </w:rPr>
        <w:t xml:space="preserve"> inferred </w:t>
      </w:r>
      <w:r w:rsidR="006B18C7" w:rsidRPr="00EE3B86">
        <w:rPr>
          <w:lang w:val="en-CA"/>
        </w:rPr>
        <w:t>that the Blanding’s Turtle existed on the</w:t>
      </w:r>
      <w:r w:rsidR="00E816AF" w:rsidRPr="00EE3B86">
        <w:rPr>
          <w:lang w:val="en-CA"/>
        </w:rPr>
        <w:t xml:space="preserve"> site, </w:t>
      </w:r>
      <w:r w:rsidR="00C401B6" w:rsidRPr="00EE3B86">
        <w:rPr>
          <w:lang w:val="en-CA"/>
        </w:rPr>
        <w:t>contrary to existing case law.</w:t>
      </w:r>
    </w:p>
    <w:p w14:paraId="1CECD091" w14:textId="0BF06B56" w:rsidR="00D678D8" w:rsidRPr="00EE3B86" w:rsidRDefault="00F047B7" w:rsidP="00093DBF">
      <w:pPr>
        <w:pStyle w:val="Heading3"/>
        <w:spacing w:before="0" w:after="0" w:line="360" w:lineRule="auto"/>
        <w:jc w:val="both"/>
        <w:rPr>
          <w:rFonts w:ascii="Times New Roman" w:hAnsi="Times New Roman"/>
          <w:bCs w:val="0"/>
          <w:sz w:val="24"/>
          <w:szCs w:val="24"/>
        </w:rPr>
      </w:pPr>
      <w:bookmarkStart w:id="9" w:name="_Toc220056493"/>
      <w:r>
        <w:rPr>
          <w:rFonts w:ascii="Times New Roman" w:hAnsi="Times New Roman"/>
          <w:bCs w:val="0"/>
          <w:sz w:val="24"/>
          <w:szCs w:val="24"/>
        </w:rPr>
        <w:t>T</w:t>
      </w:r>
      <w:r w:rsidR="000E1D54" w:rsidRPr="000E1D54">
        <w:rPr>
          <w:rFonts w:ascii="Times New Roman" w:hAnsi="Times New Roman"/>
          <w:bCs w:val="0"/>
          <w:sz w:val="24"/>
          <w:szCs w:val="24"/>
        </w:rPr>
        <w:t xml:space="preserve">he </w:t>
      </w:r>
      <w:r w:rsidR="0000283D">
        <w:rPr>
          <w:rFonts w:ascii="Times New Roman" w:hAnsi="Times New Roman"/>
          <w:bCs w:val="0"/>
          <w:i/>
          <w:iCs/>
          <w:sz w:val="24"/>
          <w:szCs w:val="24"/>
        </w:rPr>
        <w:t>ESA</w:t>
      </w:r>
      <w:r w:rsidR="000E1D54" w:rsidRPr="000E1D54">
        <w:rPr>
          <w:rFonts w:ascii="Times New Roman" w:hAnsi="Times New Roman"/>
          <w:bCs w:val="0"/>
          <w:sz w:val="24"/>
          <w:szCs w:val="24"/>
        </w:rPr>
        <w:t xml:space="preserve"> </w:t>
      </w:r>
      <w:r w:rsidR="00CA4D04">
        <w:rPr>
          <w:rFonts w:ascii="Times New Roman" w:hAnsi="Times New Roman"/>
          <w:bCs w:val="0"/>
          <w:sz w:val="24"/>
          <w:szCs w:val="24"/>
        </w:rPr>
        <w:t>P</w:t>
      </w:r>
      <w:r w:rsidR="000E1D54" w:rsidRPr="000E1D54">
        <w:rPr>
          <w:rFonts w:ascii="Times New Roman" w:hAnsi="Times New Roman"/>
          <w:bCs w:val="0"/>
          <w:sz w:val="24"/>
          <w:szCs w:val="24"/>
        </w:rPr>
        <w:t xml:space="preserve">recludes </w:t>
      </w:r>
      <w:r w:rsidR="00CA4D04">
        <w:rPr>
          <w:rFonts w:ascii="Times New Roman" w:hAnsi="Times New Roman"/>
          <w:bCs w:val="0"/>
          <w:sz w:val="24"/>
          <w:szCs w:val="24"/>
        </w:rPr>
        <w:t>R</w:t>
      </w:r>
      <w:r w:rsidR="000E1D54" w:rsidRPr="000E1D54">
        <w:rPr>
          <w:rFonts w:ascii="Times New Roman" w:hAnsi="Times New Roman"/>
          <w:bCs w:val="0"/>
          <w:sz w:val="24"/>
          <w:szCs w:val="24"/>
        </w:rPr>
        <w:t xml:space="preserve">eliance on </w:t>
      </w:r>
      <w:r w:rsidR="00CA4D04">
        <w:rPr>
          <w:rFonts w:ascii="Times New Roman" w:hAnsi="Times New Roman"/>
          <w:bCs w:val="0"/>
          <w:sz w:val="24"/>
          <w:szCs w:val="24"/>
        </w:rPr>
        <w:t>S</w:t>
      </w:r>
      <w:r w:rsidR="000E1D54" w:rsidRPr="000E1D54">
        <w:rPr>
          <w:rFonts w:ascii="Times New Roman" w:hAnsi="Times New Roman"/>
          <w:bCs w:val="0"/>
          <w:sz w:val="24"/>
          <w:szCs w:val="24"/>
        </w:rPr>
        <w:t xml:space="preserve">ightings </w:t>
      </w:r>
      <w:r w:rsidR="00CA4D04">
        <w:rPr>
          <w:rFonts w:ascii="Times New Roman" w:hAnsi="Times New Roman"/>
          <w:bCs w:val="0"/>
          <w:sz w:val="24"/>
          <w:szCs w:val="24"/>
        </w:rPr>
        <w:t>O</w:t>
      </w:r>
      <w:r w:rsidR="000E1D54" w:rsidRPr="000E1D54">
        <w:rPr>
          <w:rFonts w:ascii="Times New Roman" w:hAnsi="Times New Roman"/>
          <w:bCs w:val="0"/>
          <w:sz w:val="24"/>
          <w:szCs w:val="24"/>
        </w:rPr>
        <w:t xml:space="preserve">utside of the </w:t>
      </w:r>
      <w:r w:rsidR="00CA4D04">
        <w:rPr>
          <w:rFonts w:ascii="Times New Roman" w:hAnsi="Times New Roman"/>
          <w:bCs w:val="0"/>
          <w:sz w:val="24"/>
          <w:szCs w:val="24"/>
        </w:rPr>
        <w:t>O</w:t>
      </w:r>
      <w:r w:rsidR="000E1D54" w:rsidRPr="000E1D54">
        <w:rPr>
          <w:rFonts w:ascii="Times New Roman" w:hAnsi="Times New Roman"/>
          <w:bCs w:val="0"/>
          <w:sz w:val="24"/>
          <w:szCs w:val="24"/>
        </w:rPr>
        <w:t xml:space="preserve">ffence </w:t>
      </w:r>
      <w:r w:rsidR="00CA4D04">
        <w:rPr>
          <w:rFonts w:ascii="Times New Roman" w:hAnsi="Times New Roman"/>
          <w:bCs w:val="0"/>
          <w:sz w:val="24"/>
          <w:szCs w:val="24"/>
        </w:rPr>
        <w:t>P</w:t>
      </w:r>
      <w:r w:rsidR="000E1D54" w:rsidRPr="000E1D54">
        <w:rPr>
          <w:rFonts w:ascii="Times New Roman" w:hAnsi="Times New Roman"/>
          <w:bCs w:val="0"/>
          <w:sz w:val="24"/>
          <w:szCs w:val="24"/>
        </w:rPr>
        <w:t>eriod</w:t>
      </w:r>
      <w:bookmarkEnd w:id="9"/>
    </w:p>
    <w:p w14:paraId="440A0366" w14:textId="7075CB38" w:rsidR="001B7635" w:rsidRPr="00EE3B86" w:rsidRDefault="00780910" w:rsidP="00093DBF">
      <w:pPr>
        <w:pStyle w:val="WSParaNum"/>
        <w:numPr>
          <w:ilvl w:val="0"/>
          <w:numId w:val="1"/>
        </w:numPr>
        <w:spacing w:before="0" w:after="0"/>
        <w:jc w:val="both"/>
      </w:pPr>
      <w:r w:rsidRPr="00EE3B86">
        <w:t xml:space="preserve">The </w:t>
      </w:r>
      <w:r w:rsidR="008D79F6" w:rsidRPr="00EE3B86">
        <w:t xml:space="preserve">period of the </w:t>
      </w:r>
      <w:r w:rsidRPr="00EE3B86">
        <w:t>offence alleged against the Respondent</w:t>
      </w:r>
      <w:r w:rsidR="00F047B7">
        <w:t>, CHL</w:t>
      </w:r>
      <w:r w:rsidR="00277900">
        <w:t>,</w:t>
      </w:r>
      <w:r w:rsidRPr="00EE3B86">
        <w:t xml:space="preserve"> </w:t>
      </w:r>
      <w:r w:rsidR="008D79F6" w:rsidRPr="00EE3B86">
        <w:t xml:space="preserve">is </w:t>
      </w:r>
      <w:r w:rsidRPr="00EE3B86">
        <w:t>June 1 to August 5, 2018</w:t>
      </w:r>
      <w:r w:rsidR="001B7635" w:rsidRPr="00EE3B86">
        <w:t>.</w:t>
      </w:r>
      <w:r w:rsidRPr="00EE3B86">
        <w:t xml:space="preserve"> </w:t>
      </w:r>
      <w:r w:rsidR="008D79F6" w:rsidRPr="00EE3B86">
        <w:t>T</w:t>
      </w:r>
      <w:r w:rsidRPr="00EE3B86">
        <w:t xml:space="preserve">he Crown </w:t>
      </w:r>
      <w:r w:rsidR="00277900">
        <w:t xml:space="preserve">has not shown, and </w:t>
      </w:r>
      <w:r w:rsidR="008D79F6" w:rsidRPr="00EE3B86">
        <w:t>is unable to show</w:t>
      </w:r>
      <w:r w:rsidR="00277900">
        <w:t>,</w:t>
      </w:r>
      <w:r w:rsidR="008D79F6" w:rsidRPr="00EE3B86">
        <w:t xml:space="preserve"> </w:t>
      </w:r>
      <w:r w:rsidRPr="00EE3B86">
        <w:t xml:space="preserve">that existing members of the Blanding’s Turtle depended on the Site </w:t>
      </w:r>
      <w:r w:rsidR="008D79F6" w:rsidRPr="00EE3B86">
        <w:t xml:space="preserve">during this period </w:t>
      </w:r>
      <w:r w:rsidRPr="00EE3B86">
        <w:t>to carry on their life processes as required by s</w:t>
      </w:r>
      <w:r w:rsidR="00D41E43" w:rsidRPr="00EE3B86">
        <w:t>ection</w:t>
      </w:r>
      <w:r w:rsidRPr="00EE3B86">
        <w:t xml:space="preserve"> 2(1)</w:t>
      </w:r>
      <w:r w:rsidR="00EC6DA7" w:rsidRPr="00EE3B86">
        <w:t xml:space="preserve">(b) of the </w:t>
      </w:r>
      <w:r w:rsidR="00EC6DA7" w:rsidRPr="00EE3B86">
        <w:rPr>
          <w:i/>
          <w:iCs/>
        </w:rPr>
        <w:t>ESA</w:t>
      </w:r>
      <w:r w:rsidR="00EC6DA7" w:rsidRPr="00EE3B86">
        <w:t>, as limited by s</w:t>
      </w:r>
      <w:r w:rsidR="00D41E43" w:rsidRPr="00EE3B86">
        <w:t>ection</w:t>
      </w:r>
      <w:r w:rsidR="00EC6DA7" w:rsidRPr="00EE3B86">
        <w:t xml:space="preserve"> 2</w:t>
      </w:r>
      <w:r w:rsidR="00FC0C28" w:rsidRPr="00EE3B86">
        <w:t xml:space="preserve"> </w:t>
      </w:r>
      <w:r w:rsidR="00EC6DA7" w:rsidRPr="00EE3B86">
        <w:t xml:space="preserve">(2). </w:t>
      </w:r>
    </w:p>
    <w:p w14:paraId="7A838000" w14:textId="2BEB1129" w:rsidR="6E7E0F9D" w:rsidRPr="00EE3B86" w:rsidRDefault="00F27588" w:rsidP="003E1CAE">
      <w:pPr>
        <w:pStyle w:val="WSParaNum"/>
        <w:numPr>
          <w:ilvl w:val="0"/>
          <w:numId w:val="0"/>
        </w:numPr>
        <w:spacing w:line="240" w:lineRule="auto"/>
        <w:ind w:firstLine="720"/>
        <w:jc w:val="both"/>
        <w:rPr>
          <w:sz w:val="20"/>
          <w:szCs w:val="20"/>
          <w:highlight w:val="magenta"/>
        </w:rPr>
      </w:pPr>
      <w:r w:rsidRPr="00EE3B86">
        <w:rPr>
          <w:i/>
          <w:iCs/>
          <w:sz w:val="20"/>
          <w:szCs w:val="20"/>
        </w:rPr>
        <w:t>R v Consolidated Homes Ltd</w:t>
      </w:r>
      <w:r w:rsidRPr="00EE3B86">
        <w:rPr>
          <w:sz w:val="20"/>
          <w:szCs w:val="20"/>
        </w:rPr>
        <w:t>, 2025 ONCA 41</w:t>
      </w:r>
      <w:r w:rsidR="002F51D9" w:rsidRPr="00EE3B86">
        <w:rPr>
          <w:sz w:val="20"/>
          <w:szCs w:val="20"/>
        </w:rPr>
        <w:t xml:space="preserve"> </w:t>
      </w:r>
      <w:r w:rsidR="00E17F4B" w:rsidRPr="00EE3B86">
        <w:rPr>
          <w:sz w:val="20"/>
          <w:szCs w:val="20"/>
        </w:rPr>
        <w:t>at para 4</w:t>
      </w:r>
      <w:r w:rsidRPr="00EE3B86">
        <w:rPr>
          <w:sz w:val="20"/>
          <w:szCs w:val="20"/>
        </w:rPr>
        <w:t xml:space="preserve"> [</w:t>
      </w:r>
      <w:r w:rsidRPr="00EE3B86">
        <w:rPr>
          <w:i/>
          <w:iCs/>
          <w:sz w:val="20"/>
          <w:szCs w:val="20"/>
        </w:rPr>
        <w:t>ONCA Decision</w:t>
      </w:r>
      <w:r w:rsidRPr="00EE3B86">
        <w:rPr>
          <w:sz w:val="20"/>
          <w:szCs w:val="20"/>
        </w:rPr>
        <w:t>]</w:t>
      </w:r>
      <w:r w:rsidR="00E17F4B" w:rsidRPr="00EE3B86">
        <w:rPr>
          <w:sz w:val="20"/>
          <w:szCs w:val="20"/>
        </w:rPr>
        <w:t>.</w:t>
      </w:r>
      <w:r w:rsidRPr="00EE3B86">
        <w:rPr>
          <w:sz w:val="20"/>
          <w:szCs w:val="20"/>
        </w:rPr>
        <w:t xml:space="preserve"> </w:t>
      </w:r>
    </w:p>
    <w:p w14:paraId="7FE7B181" w14:textId="63706E57" w:rsidR="00F26D28" w:rsidRPr="00EE3B86" w:rsidRDefault="008D79F6" w:rsidP="003E1CAE">
      <w:pPr>
        <w:pStyle w:val="WSParaNum"/>
        <w:numPr>
          <w:ilvl w:val="0"/>
          <w:numId w:val="1"/>
        </w:numPr>
        <w:spacing w:after="0"/>
        <w:jc w:val="both"/>
      </w:pPr>
      <w:r w:rsidRPr="00EE3B86">
        <w:t xml:space="preserve">The </w:t>
      </w:r>
      <w:r w:rsidR="00F26D28" w:rsidRPr="00EE3B86">
        <w:t xml:space="preserve">definition of </w:t>
      </w:r>
      <w:r w:rsidRPr="00EE3B86">
        <w:t xml:space="preserve">habitat as set out in </w:t>
      </w:r>
      <w:r w:rsidR="002A59CF" w:rsidRPr="00EE3B86">
        <w:t>section 2</w:t>
      </w:r>
      <w:r w:rsidR="00F26D28" w:rsidRPr="00EE3B86">
        <w:t>(2)</w:t>
      </w:r>
      <w:r w:rsidR="004C740D" w:rsidRPr="00EE3B86">
        <w:t xml:space="preserve"> </w:t>
      </w:r>
      <w:r w:rsidRPr="00EE3B86">
        <w:t xml:space="preserve">requires that there be </w:t>
      </w:r>
      <w:r w:rsidR="004C740D" w:rsidRPr="00EE3B86">
        <w:t>a temporal</w:t>
      </w:r>
      <w:r w:rsidRPr="00EE3B86">
        <w:t xml:space="preserve"> or time</w:t>
      </w:r>
      <w:r w:rsidR="004C740D" w:rsidRPr="00EE3B86">
        <w:t xml:space="preserve"> constraint on habitat determination</w:t>
      </w:r>
      <w:r w:rsidRPr="00EE3B86">
        <w:t xml:space="preserve">. This means that the </w:t>
      </w:r>
      <w:r w:rsidR="00EA4682" w:rsidRPr="00EE3B86">
        <w:t xml:space="preserve">Blanding’s Turtle </w:t>
      </w:r>
      <w:r w:rsidR="00034DCE" w:rsidRPr="00EE3B86">
        <w:t xml:space="preserve">must have existed and depended </w:t>
      </w:r>
      <w:r w:rsidRPr="00EE3B86">
        <w:t>on the</w:t>
      </w:r>
      <w:r w:rsidR="00034DCE" w:rsidRPr="00EE3B86">
        <w:t xml:space="preserve"> Site to</w:t>
      </w:r>
      <w:r w:rsidR="00F43954" w:rsidRPr="00EE3B86">
        <w:t xml:space="preserve"> carry out their life processes during the </w:t>
      </w:r>
      <w:r w:rsidRPr="00EE3B86">
        <w:t>period in question</w:t>
      </w:r>
      <w:r w:rsidR="00F43954" w:rsidRPr="00EE3B86">
        <w:t>.</w:t>
      </w:r>
    </w:p>
    <w:p w14:paraId="6881F4DB" w14:textId="01AAEC54" w:rsidR="006B106A" w:rsidRPr="00EE3B86" w:rsidRDefault="006B106A" w:rsidP="00093DBF">
      <w:pPr>
        <w:pStyle w:val="WSParaNum"/>
        <w:numPr>
          <w:ilvl w:val="0"/>
          <w:numId w:val="1"/>
        </w:numPr>
        <w:spacing w:before="0" w:after="0"/>
        <w:jc w:val="both"/>
      </w:pPr>
      <w:r w:rsidRPr="00EE3B86">
        <w:t xml:space="preserve">The </w:t>
      </w:r>
      <w:r w:rsidR="00DF28E8" w:rsidRPr="00EE3B86">
        <w:t xml:space="preserve">OCJ </w:t>
      </w:r>
      <w:r w:rsidRPr="00EE3B86">
        <w:t>correctly held that the Trial Justice erred by relying on Blanding’s Turtle sightings that occur</w:t>
      </w:r>
      <w:r w:rsidR="00D47E5C" w:rsidRPr="00EE3B86">
        <w:t>r</w:t>
      </w:r>
      <w:r w:rsidRPr="00EE3B86">
        <w:t>ed years before and years after the charged offence period to establish habitat use during the offence window itself</w:t>
      </w:r>
      <w:r w:rsidR="00D47E5C" w:rsidRPr="00EE3B86">
        <w:t>.</w:t>
      </w:r>
    </w:p>
    <w:p w14:paraId="5ACC148E" w14:textId="03BB40EE" w:rsidR="55F3046D" w:rsidRPr="00EE3B86" w:rsidRDefault="008771F8" w:rsidP="003E1CAE">
      <w:pPr>
        <w:pStyle w:val="WSParaNum"/>
        <w:numPr>
          <w:ilvl w:val="0"/>
          <w:numId w:val="0"/>
        </w:numPr>
        <w:spacing w:before="0" w:line="240" w:lineRule="auto"/>
        <w:ind w:firstLine="720"/>
        <w:jc w:val="both"/>
        <w:rPr>
          <w:sz w:val="20"/>
          <w:szCs w:val="20"/>
          <w:highlight w:val="magenta"/>
        </w:rPr>
      </w:pPr>
      <w:r w:rsidRPr="00EE3B86">
        <w:rPr>
          <w:i/>
          <w:iCs/>
          <w:sz w:val="20"/>
          <w:szCs w:val="20"/>
        </w:rPr>
        <w:t>OCJ Decision</w:t>
      </w:r>
      <w:r w:rsidRPr="00EE3B86">
        <w:rPr>
          <w:sz w:val="20"/>
          <w:szCs w:val="20"/>
        </w:rPr>
        <w:t xml:space="preserve">, </w:t>
      </w:r>
      <w:r w:rsidRPr="00EE3B86">
        <w:rPr>
          <w:i/>
          <w:iCs/>
          <w:sz w:val="20"/>
          <w:szCs w:val="20"/>
        </w:rPr>
        <w:t xml:space="preserve">supra </w:t>
      </w:r>
      <w:r w:rsidR="00464AB2" w:rsidRPr="00EE3B86">
        <w:rPr>
          <w:sz w:val="20"/>
          <w:szCs w:val="20"/>
        </w:rPr>
        <w:t>note 9</w:t>
      </w:r>
      <w:r w:rsidRPr="00EE3B86">
        <w:rPr>
          <w:i/>
          <w:iCs/>
          <w:sz w:val="20"/>
          <w:szCs w:val="20"/>
        </w:rPr>
        <w:t xml:space="preserve"> </w:t>
      </w:r>
      <w:r w:rsidRPr="00EE3B86">
        <w:rPr>
          <w:sz w:val="20"/>
          <w:szCs w:val="20"/>
        </w:rPr>
        <w:t>at 14</w:t>
      </w:r>
      <w:r w:rsidR="0053434E" w:rsidRPr="00EE3B86">
        <w:rPr>
          <w:sz w:val="20"/>
          <w:szCs w:val="20"/>
        </w:rPr>
        <w:t>.</w:t>
      </w:r>
    </w:p>
    <w:p w14:paraId="33DD551F" w14:textId="2C513E47" w:rsidR="0018197E" w:rsidRDefault="002936AD" w:rsidP="00837980">
      <w:pPr>
        <w:pStyle w:val="WSParaNum"/>
        <w:numPr>
          <w:ilvl w:val="0"/>
          <w:numId w:val="1"/>
        </w:numPr>
        <w:spacing w:before="0" w:after="0"/>
        <w:jc w:val="both"/>
      </w:pPr>
      <w:r w:rsidRPr="00EE3B86">
        <w:t>The</w:t>
      </w:r>
      <w:r w:rsidR="002F63C1" w:rsidRPr="00EE3B86">
        <w:t xml:space="preserve"> Crown failed to provide any </w:t>
      </w:r>
      <w:r w:rsidRPr="00EE3B86">
        <w:t xml:space="preserve">evidence that Blanding’s </w:t>
      </w:r>
      <w:r w:rsidR="0062281E">
        <w:t>T</w:t>
      </w:r>
      <w:r w:rsidR="0062281E" w:rsidRPr="00EE3B86">
        <w:t xml:space="preserve">urtles </w:t>
      </w:r>
      <w:r w:rsidRPr="00EE3B86">
        <w:t xml:space="preserve">were present on, or depended upon, the Site during </w:t>
      </w:r>
      <w:r w:rsidR="002F63C1" w:rsidRPr="00EE3B86">
        <w:t xml:space="preserve">the period in question from </w:t>
      </w:r>
      <w:r w:rsidRPr="00EE3B86">
        <w:t>June</w:t>
      </w:r>
      <w:r w:rsidR="003D21CB">
        <w:t xml:space="preserve"> to </w:t>
      </w:r>
      <w:r w:rsidR="006207B6" w:rsidRPr="00EE3B86">
        <w:t xml:space="preserve">August 2018. </w:t>
      </w:r>
      <w:r w:rsidR="002F63C1" w:rsidRPr="00EE3B86">
        <w:t>Instead, t</w:t>
      </w:r>
      <w:r w:rsidR="00386A36" w:rsidRPr="00EE3B86">
        <w:t xml:space="preserve">he evidence of </w:t>
      </w:r>
      <w:r w:rsidR="002F63C1" w:rsidRPr="00EE3B86">
        <w:t>Blanding’s T</w:t>
      </w:r>
      <w:r w:rsidR="00386A36" w:rsidRPr="00EE3B86">
        <w:t xml:space="preserve">urtle sightings relied on by the Crown consisted of observations from 2007, 2017 and a photograph taken in 2020. </w:t>
      </w:r>
      <w:r w:rsidR="0022615A">
        <w:t xml:space="preserve">None of those sightings occurred during the relevant time period. </w:t>
      </w:r>
    </w:p>
    <w:p w14:paraId="79BD26A3" w14:textId="120DE102" w:rsidR="0018197E" w:rsidRPr="00EE3B86" w:rsidRDefault="0018197E" w:rsidP="003E1CAE">
      <w:pPr>
        <w:pStyle w:val="WSParaNum"/>
        <w:numPr>
          <w:ilvl w:val="0"/>
          <w:numId w:val="0"/>
        </w:numPr>
        <w:spacing w:before="0" w:after="0" w:line="240" w:lineRule="auto"/>
        <w:ind w:firstLine="720"/>
        <w:jc w:val="both"/>
      </w:pPr>
      <w:r w:rsidRPr="0018197E">
        <w:rPr>
          <w:i/>
          <w:iCs/>
          <w:sz w:val="20"/>
          <w:szCs w:val="20"/>
        </w:rPr>
        <w:t>OCJ Decision</w:t>
      </w:r>
      <w:r w:rsidRPr="0018197E">
        <w:rPr>
          <w:sz w:val="20"/>
          <w:szCs w:val="20"/>
        </w:rPr>
        <w:t xml:space="preserve">, </w:t>
      </w:r>
      <w:r w:rsidRPr="0018197E">
        <w:rPr>
          <w:i/>
          <w:iCs/>
          <w:sz w:val="20"/>
          <w:szCs w:val="20"/>
        </w:rPr>
        <w:t>supra</w:t>
      </w:r>
      <w:r w:rsidRPr="0018197E">
        <w:rPr>
          <w:sz w:val="20"/>
          <w:szCs w:val="20"/>
        </w:rPr>
        <w:t xml:space="preserve"> note 9 at 15. </w:t>
      </w:r>
    </w:p>
    <w:p w14:paraId="4CA1F5E6" w14:textId="51701883" w:rsidR="00042D61" w:rsidRPr="00EE3B86" w:rsidRDefault="00042D61" w:rsidP="00837980">
      <w:pPr>
        <w:pStyle w:val="WSParaNum"/>
        <w:numPr>
          <w:ilvl w:val="0"/>
          <w:numId w:val="1"/>
        </w:numPr>
        <w:jc w:val="both"/>
      </w:pPr>
      <w:r w:rsidRPr="00EE3B86">
        <w:t xml:space="preserve">In addition, the </w:t>
      </w:r>
      <w:r w:rsidR="0022615A">
        <w:t xml:space="preserve">expert evidence submitted confirmed that there was </w:t>
      </w:r>
      <w:r w:rsidRPr="00EE3B86">
        <w:t xml:space="preserve">no confirmation or proof that the Site was actually used by Blanding’s </w:t>
      </w:r>
      <w:r w:rsidR="0022615A">
        <w:t>T</w:t>
      </w:r>
      <w:r w:rsidRPr="00EE3B86">
        <w:t>urtles for nesting, travel, thermoregulation, or other life processes.</w:t>
      </w:r>
    </w:p>
    <w:p w14:paraId="41769C61" w14:textId="5CDB0EDF" w:rsidR="14E1E51A" w:rsidRPr="00EE3B86" w:rsidRDefault="00C5746A" w:rsidP="00837980">
      <w:pPr>
        <w:pStyle w:val="WSParaNum"/>
        <w:numPr>
          <w:ilvl w:val="0"/>
          <w:numId w:val="0"/>
        </w:numPr>
        <w:spacing w:line="240" w:lineRule="auto"/>
        <w:ind w:firstLine="720"/>
        <w:jc w:val="both"/>
        <w:rPr>
          <w:sz w:val="22"/>
          <w:szCs w:val="22"/>
          <w:highlight w:val="magenta"/>
        </w:rPr>
      </w:pPr>
      <w:r w:rsidRPr="00EE3B86">
        <w:rPr>
          <w:i/>
          <w:iCs/>
          <w:sz w:val="20"/>
          <w:szCs w:val="20"/>
        </w:rPr>
        <w:t>OCJ Decision</w:t>
      </w:r>
      <w:r w:rsidRPr="00EE3B86">
        <w:rPr>
          <w:sz w:val="20"/>
          <w:szCs w:val="20"/>
        </w:rPr>
        <w:t xml:space="preserve">, </w:t>
      </w:r>
      <w:r w:rsidRPr="00EE3B86">
        <w:rPr>
          <w:i/>
          <w:iCs/>
          <w:sz w:val="20"/>
          <w:szCs w:val="20"/>
        </w:rPr>
        <w:t xml:space="preserve">supra </w:t>
      </w:r>
      <w:r w:rsidR="00464AB2" w:rsidRPr="00EE3B86">
        <w:rPr>
          <w:sz w:val="20"/>
          <w:szCs w:val="20"/>
        </w:rPr>
        <w:t>note 9</w:t>
      </w:r>
      <w:r w:rsidRPr="00EE3B86">
        <w:rPr>
          <w:i/>
          <w:iCs/>
          <w:sz w:val="20"/>
          <w:szCs w:val="20"/>
        </w:rPr>
        <w:t xml:space="preserve"> </w:t>
      </w:r>
      <w:r w:rsidRPr="00EE3B86">
        <w:rPr>
          <w:sz w:val="20"/>
          <w:szCs w:val="20"/>
        </w:rPr>
        <w:t xml:space="preserve">at 9. </w:t>
      </w:r>
    </w:p>
    <w:p w14:paraId="184151C7" w14:textId="37220C68" w:rsidR="00C277DA" w:rsidRPr="00EE3B86" w:rsidRDefault="00C277DA" w:rsidP="00837980">
      <w:pPr>
        <w:pStyle w:val="WSParaNum"/>
        <w:numPr>
          <w:ilvl w:val="0"/>
          <w:numId w:val="1"/>
        </w:numPr>
        <w:spacing w:before="0" w:after="0"/>
        <w:jc w:val="both"/>
      </w:pPr>
      <w:r w:rsidRPr="00EE3B86">
        <w:lastRenderedPageBreak/>
        <w:t>Despite</w:t>
      </w:r>
      <w:r w:rsidR="00CD1EEC" w:rsidRPr="00EE3B86">
        <w:t xml:space="preserve"> the lack of </w:t>
      </w:r>
      <w:r w:rsidR="002F63C1" w:rsidRPr="00EE3B86">
        <w:t>sightings during the time period in question</w:t>
      </w:r>
      <w:r w:rsidR="00CD1EEC" w:rsidRPr="00EE3B86">
        <w:t>, t</w:t>
      </w:r>
      <w:r w:rsidR="006207B6" w:rsidRPr="00EE3B86">
        <w:t>he Trial Justice treated sightings outside the offence period as proof of habitat use</w:t>
      </w:r>
      <w:r w:rsidR="00573314" w:rsidRPr="00EE3B86">
        <w:t xml:space="preserve">. That is </w:t>
      </w:r>
      <w:r w:rsidR="006C5AA4">
        <w:t xml:space="preserve">an error and </w:t>
      </w:r>
      <w:r w:rsidR="003D21CB">
        <w:t xml:space="preserve">an </w:t>
      </w:r>
      <w:r w:rsidR="00573314" w:rsidRPr="00EE3B86">
        <w:t>incorrect</w:t>
      </w:r>
      <w:r w:rsidR="006C5AA4">
        <w:t xml:space="preserve"> interpretation of the statutory requirements</w:t>
      </w:r>
      <w:r w:rsidR="00573314" w:rsidRPr="00EE3B86">
        <w:t xml:space="preserve">. The required temporal </w:t>
      </w:r>
      <w:r w:rsidR="006207B6" w:rsidRPr="00EE3B86">
        <w:t xml:space="preserve">element of the offence </w:t>
      </w:r>
      <w:r w:rsidR="00573314" w:rsidRPr="00EE3B86">
        <w:t xml:space="preserve">was </w:t>
      </w:r>
      <w:r w:rsidR="002A59CF" w:rsidRPr="00EE3B86">
        <w:t>not</w:t>
      </w:r>
      <w:r w:rsidR="00925D8B">
        <w:t>,</w:t>
      </w:r>
      <w:r w:rsidR="002A59CF" w:rsidRPr="00EE3B86">
        <w:t xml:space="preserve"> and</w:t>
      </w:r>
      <w:r w:rsidR="00573314" w:rsidRPr="00EE3B86">
        <w:t xml:space="preserve"> could not be</w:t>
      </w:r>
      <w:r w:rsidR="00925D8B">
        <w:t>,</w:t>
      </w:r>
      <w:r w:rsidR="00573314" w:rsidRPr="00EE3B86">
        <w:t xml:space="preserve"> shown by the Crown based on the evidence presented</w:t>
      </w:r>
      <w:r w:rsidR="006207B6" w:rsidRPr="00EE3B86">
        <w:t>.</w:t>
      </w:r>
    </w:p>
    <w:p w14:paraId="39E33ECE" w14:textId="6EF4B182" w:rsidR="2668B1C9" w:rsidRPr="00EE3B86" w:rsidRDefault="00865A90" w:rsidP="003E1CAE">
      <w:pPr>
        <w:pStyle w:val="WSParaNum"/>
        <w:numPr>
          <w:ilvl w:val="0"/>
          <w:numId w:val="0"/>
        </w:numPr>
        <w:spacing w:before="0" w:line="240" w:lineRule="auto"/>
        <w:ind w:firstLine="720"/>
        <w:jc w:val="both"/>
        <w:rPr>
          <w:sz w:val="22"/>
          <w:szCs w:val="22"/>
          <w:highlight w:val="magenta"/>
        </w:rPr>
      </w:pPr>
      <w:r w:rsidRPr="00EE3B86">
        <w:rPr>
          <w:i/>
          <w:iCs/>
          <w:sz w:val="20"/>
          <w:szCs w:val="20"/>
        </w:rPr>
        <w:t>OCJ Decision</w:t>
      </w:r>
      <w:r w:rsidRPr="00EE3B86">
        <w:rPr>
          <w:sz w:val="20"/>
          <w:szCs w:val="20"/>
        </w:rPr>
        <w:t xml:space="preserve">, </w:t>
      </w:r>
      <w:r w:rsidRPr="00EE3B86">
        <w:rPr>
          <w:i/>
          <w:iCs/>
          <w:sz w:val="20"/>
          <w:szCs w:val="20"/>
        </w:rPr>
        <w:t>supra</w:t>
      </w:r>
      <w:r w:rsidR="00B412CA" w:rsidRPr="00EE3B86">
        <w:rPr>
          <w:i/>
          <w:iCs/>
          <w:sz w:val="20"/>
          <w:szCs w:val="20"/>
        </w:rPr>
        <w:t xml:space="preserve"> </w:t>
      </w:r>
      <w:r w:rsidR="00464AB2" w:rsidRPr="00EE3B86">
        <w:rPr>
          <w:sz w:val="20"/>
          <w:szCs w:val="20"/>
        </w:rPr>
        <w:t>note 9</w:t>
      </w:r>
      <w:r w:rsidRPr="00EE3B86">
        <w:rPr>
          <w:i/>
          <w:iCs/>
          <w:sz w:val="20"/>
          <w:szCs w:val="20"/>
        </w:rPr>
        <w:t xml:space="preserve"> </w:t>
      </w:r>
      <w:r w:rsidRPr="00EE3B86">
        <w:rPr>
          <w:sz w:val="20"/>
          <w:szCs w:val="20"/>
        </w:rPr>
        <w:t xml:space="preserve">at </w:t>
      </w:r>
      <w:r w:rsidR="00864552" w:rsidRPr="00EE3B86">
        <w:rPr>
          <w:sz w:val="20"/>
          <w:szCs w:val="20"/>
        </w:rPr>
        <w:t xml:space="preserve">8-9. </w:t>
      </w:r>
    </w:p>
    <w:p w14:paraId="0219615F" w14:textId="3BAB447F" w:rsidR="001B7635" w:rsidRPr="00EE3B86" w:rsidRDefault="00573314" w:rsidP="00837980">
      <w:pPr>
        <w:pStyle w:val="WSParaNum"/>
        <w:numPr>
          <w:ilvl w:val="0"/>
          <w:numId w:val="1"/>
        </w:numPr>
        <w:spacing w:before="0" w:after="0"/>
        <w:jc w:val="both"/>
      </w:pPr>
      <w:r w:rsidRPr="00EE3B86">
        <w:t>T</w:t>
      </w:r>
      <w:r w:rsidR="00050B16" w:rsidRPr="00EE3B86">
        <w:t xml:space="preserve">he </w:t>
      </w:r>
      <w:r w:rsidRPr="00EE3B86">
        <w:t xml:space="preserve">Appellants appear to </w:t>
      </w:r>
      <w:r w:rsidR="00050B16" w:rsidRPr="00EE3B86">
        <w:t>suggest that</w:t>
      </w:r>
      <w:r w:rsidR="00175F97" w:rsidRPr="00EE3B86">
        <w:t xml:space="preserve"> </w:t>
      </w:r>
      <w:r w:rsidR="007360A8" w:rsidRPr="00EE3B86">
        <w:t>envi</w:t>
      </w:r>
      <w:r w:rsidR="000E5C9B" w:rsidRPr="00EE3B86">
        <w:t>ronmen</w:t>
      </w:r>
      <w:r w:rsidR="007360A8" w:rsidRPr="00EE3B86">
        <w:t xml:space="preserve">tal and species </w:t>
      </w:r>
      <w:r w:rsidR="00981EF3" w:rsidRPr="00EE3B86">
        <w:t>protection legislation</w:t>
      </w:r>
      <w:r w:rsidR="00851BDD" w:rsidRPr="00EE3B86">
        <w:t xml:space="preserve">, such as the </w:t>
      </w:r>
      <w:r w:rsidR="00851BDD" w:rsidRPr="00C022B7">
        <w:rPr>
          <w:i/>
          <w:iCs/>
        </w:rPr>
        <w:t>ESA</w:t>
      </w:r>
      <w:r w:rsidR="00851BDD" w:rsidRPr="00EE3B86">
        <w:t>, should be given</w:t>
      </w:r>
      <w:r w:rsidR="000E5C9B" w:rsidRPr="00EE3B86">
        <w:t xml:space="preserve"> a “generous interpretation” to help achieve its objectives</w:t>
      </w:r>
      <w:r w:rsidR="007F69CB" w:rsidRPr="00EE3B86">
        <w:t xml:space="preserve">. </w:t>
      </w:r>
      <w:r w:rsidR="00487C1C">
        <w:t>S</w:t>
      </w:r>
      <w:r w:rsidRPr="00EE3B86">
        <w:t xml:space="preserve">uch </w:t>
      </w:r>
      <w:r w:rsidR="002A59CF" w:rsidRPr="00EE3B86">
        <w:t xml:space="preserve">an </w:t>
      </w:r>
      <w:r w:rsidR="000E5C9B" w:rsidRPr="00EE3B86">
        <w:t xml:space="preserve">interpretation cannot mean that the </w:t>
      </w:r>
      <w:r w:rsidRPr="00EE3B86">
        <w:t xml:space="preserve">clear language of the </w:t>
      </w:r>
      <w:r w:rsidR="000E5C9B" w:rsidRPr="00EE3B86">
        <w:t xml:space="preserve">legislation is </w:t>
      </w:r>
      <w:r w:rsidRPr="00EE3B86">
        <w:t>ignored</w:t>
      </w:r>
      <w:r w:rsidR="00487C1C">
        <w:t xml:space="preserve"> and disregarded</w:t>
      </w:r>
      <w:r w:rsidRPr="00EE3B86">
        <w:t xml:space="preserve">. </w:t>
      </w:r>
    </w:p>
    <w:p w14:paraId="715AD5DA" w14:textId="0DD3581B" w:rsidR="002A59CF" w:rsidRPr="00EE3B86" w:rsidRDefault="009A4F44" w:rsidP="00837980">
      <w:pPr>
        <w:pStyle w:val="WSParaNum"/>
        <w:numPr>
          <w:ilvl w:val="0"/>
          <w:numId w:val="1"/>
        </w:numPr>
        <w:spacing w:before="0" w:after="0"/>
        <w:jc w:val="both"/>
      </w:pPr>
      <w:r w:rsidRPr="00EE3B86">
        <w:t>The OCJ did not reweigh the evidence. Rather,</w:t>
      </w:r>
      <w:r w:rsidR="00471360" w:rsidRPr="00EE3B86">
        <w:t xml:space="preserve"> it correctly </w:t>
      </w:r>
      <w:r w:rsidR="00540F81">
        <w:t>found</w:t>
      </w:r>
      <w:r w:rsidR="00540F81" w:rsidRPr="00EE3B86">
        <w:t xml:space="preserve"> </w:t>
      </w:r>
      <w:r w:rsidR="00471360" w:rsidRPr="00EE3B86">
        <w:t xml:space="preserve">that the Trial Justice </w:t>
      </w:r>
      <w:r w:rsidR="00540F81" w:rsidRPr="00EE3B86">
        <w:t>erroneously</w:t>
      </w:r>
      <w:r w:rsidR="00573314" w:rsidRPr="00EE3B86">
        <w:t xml:space="preserve"> interpreted </w:t>
      </w:r>
      <w:r w:rsidR="00471360" w:rsidRPr="00EE3B86">
        <w:t xml:space="preserve">the statutory definition of habitat by permitting evidence of past or future presence </w:t>
      </w:r>
      <w:r w:rsidR="004E43E7">
        <w:t xml:space="preserve">of the species </w:t>
      </w:r>
      <w:r w:rsidR="00471360" w:rsidRPr="00EE3B86">
        <w:t>to substitute for proof of current dependence, contrary to s</w:t>
      </w:r>
      <w:r w:rsidR="004025A1">
        <w:t>ection</w:t>
      </w:r>
      <w:r w:rsidR="00471360" w:rsidRPr="00EE3B86">
        <w:t xml:space="preserve"> 2 (2) of the </w:t>
      </w:r>
      <w:r w:rsidR="00471360" w:rsidRPr="00093DBF">
        <w:rPr>
          <w:i/>
          <w:iCs/>
        </w:rPr>
        <w:t>ESA</w:t>
      </w:r>
      <w:r w:rsidR="00471360" w:rsidRPr="00EE3B86">
        <w:t>.</w:t>
      </w:r>
    </w:p>
    <w:p w14:paraId="0DAC126F" w14:textId="77777777" w:rsidR="008276A3" w:rsidRDefault="00382A8E" w:rsidP="003E1CAE">
      <w:pPr>
        <w:pStyle w:val="WSParaNum"/>
        <w:numPr>
          <w:ilvl w:val="0"/>
          <w:numId w:val="0"/>
        </w:numPr>
        <w:spacing w:before="0" w:after="0" w:line="240" w:lineRule="auto"/>
        <w:ind w:firstLine="720"/>
        <w:jc w:val="both"/>
        <w:rPr>
          <w:sz w:val="20"/>
          <w:szCs w:val="20"/>
        </w:rPr>
      </w:pPr>
      <w:r w:rsidRPr="00EE3B86">
        <w:rPr>
          <w:i/>
          <w:iCs/>
          <w:sz w:val="20"/>
          <w:szCs w:val="20"/>
        </w:rPr>
        <w:t>OCJ Decision</w:t>
      </w:r>
      <w:r w:rsidRPr="00EE3B86">
        <w:rPr>
          <w:sz w:val="20"/>
          <w:szCs w:val="20"/>
        </w:rPr>
        <w:t xml:space="preserve">, </w:t>
      </w:r>
      <w:r w:rsidRPr="00EE3B86">
        <w:rPr>
          <w:i/>
          <w:iCs/>
          <w:sz w:val="20"/>
          <w:szCs w:val="20"/>
        </w:rPr>
        <w:t xml:space="preserve">supra </w:t>
      </w:r>
      <w:r w:rsidR="00464AB2" w:rsidRPr="00EE3B86">
        <w:rPr>
          <w:sz w:val="20"/>
          <w:szCs w:val="20"/>
        </w:rPr>
        <w:t>note 9</w:t>
      </w:r>
      <w:r w:rsidRPr="00EE3B86">
        <w:rPr>
          <w:i/>
          <w:iCs/>
          <w:sz w:val="20"/>
          <w:szCs w:val="20"/>
        </w:rPr>
        <w:t xml:space="preserve"> </w:t>
      </w:r>
      <w:r w:rsidRPr="00EE3B86">
        <w:rPr>
          <w:sz w:val="20"/>
          <w:szCs w:val="20"/>
        </w:rPr>
        <w:t xml:space="preserve">at </w:t>
      </w:r>
      <w:r w:rsidR="00A52423" w:rsidRPr="00EE3B86">
        <w:rPr>
          <w:sz w:val="20"/>
          <w:szCs w:val="20"/>
        </w:rPr>
        <w:t>8</w:t>
      </w:r>
      <w:r w:rsidR="00173D38" w:rsidRPr="00EE3B86">
        <w:rPr>
          <w:sz w:val="20"/>
          <w:szCs w:val="20"/>
        </w:rPr>
        <w:t>-</w:t>
      </w:r>
      <w:r w:rsidR="00A52423" w:rsidRPr="00EE3B86">
        <w:rPr>
          <w:sz w:val="20"/>
          <w:szCs w:val="20"/>
        </w:rPr>
        <w:t>10</w:t>
      </w:r>
    </w:p>
    <w:p w14:paraId="76641EE7" w14:textId="70E49EC6" w:rsidR="002A59CF" w:rsidRPr="00EE3B86" w:rsidRDefault="00884FFF" w:rsidP="003E1CAE">
      <w:pPr>
        <w:pStyle w:val="WSParaNum"/>
        <w:numPr>
          <w:ilvl w:val="0"/>
          <w:numId w:val="0"/>
        </w:numPr>
        <w:spacing w:before="0" w:line="240" w:lineRule="auto"/>
        <w:ind w:firstLine="720"/>
        <w:jc w:val="both"/>
        <w:rPr>
          <w:highlight w:val="magenta"/>
        </w:rPr>
      </w:pPr>
      <w:r w:rsidRPr="00EE3B86">
        <w:rPr>
          <w:i/>
          <w:iCs/>
          <w:sz w:val="20"/>
          <w:szCs w:val="20"/>
        </w:rPr>
        <w:t>ONCA Decision</w:t>
      </w:r>
      <w:r w:rsidR="005137E0" w:rsidRPr="00EE3B86">
        <w:rPr>
          <w:sz w:val="20"/>
          <w:szCs w:val="20"/>
        </w:rPr>
        <w:t xml:space="preserve">, </w:t>
      </w:r>
      <w:r w:rsidR="005137E0" w:rsidRPr="00EE3B86">
        <w:rPr>
          <w:i/>
          <w:iCs/>
          <w:sz w:val="20"/>
          <w:szCs w:val="20"/>
        </w:rPr>
        <w:t>supra</w:t>
      </w:r>
      <w:r w:rsidR="00A568B9" w:rsidRPr="00EE3B86">
        <w:rPr>
          <w:i/>
          <w:iCs/>
          <w:sz w:val="20"/>
          <w:szCs w:val="20"/>
        </w:rPr>
        <w:t xml:space="preserve"> </w:t>
      </w:r>
      <w:r w:rsidR="00173D38" w:rsidRPr="00EE3B86">
        <w:rPr>
          <w:sz w:val="20"/>
          <w:szCs w:val="20"/>
        </w:rPr>
        <w:t>note</w:t>
      </w:r>
      <w:r w:rsidR="00A977BA" w:rsidRPr="00EE3B86">
        <w:rPr>
          <w:sz w:val="20"/>
          <w:szCs w:val="20"/>
        </w:rPr>
        <w:t xml:space="preserve"> 18</w:t>
      </w:r>
      <w:r w:rsidR="009A5498" w:rsidRPr="00EE3B86">
        <w:rPr>
          <w:sz w:val="20"/>
          <w:szCs w:val="20"/>
        </w:rPr>
        <w:t xml:space="preserve"> at paras</w:t>
      </w:r>
      <w:r w:rsidR="00DA2D43" w:rsidRPr="00EE3B86">
        <w:rPr>
          <w:sz w:val="20"/>
          <w:szCs w:val="20"/>
        </w:rPr>
        <w:t xml:space="preserve"> 24-26.</w:t>
      </w:r>
      <w:r w:rsidR="005137E0" w:rsidRPr="00EE3B86">
        <w:rPr>
          <w:sz w:val="20"/>
          <w:szCs w:val="20"/>
        </w:rPr>
        <w:t xml:space="preserve"> </w:t>
      </w:r>
    </w:p>
    <w:p w14:paraId="56CB7DDC" w14:textId="51E57BBF" w:rsidR="002A59CF" w:rsidRPr="00EE3B86" w:rsidRDefault="004E43E7" w:rsidP="00DD428E">
      <w:pPr>
        <w:pStyle w:val="Heading3"/>
        <w:spacing w:before="0" w:after="0"/>
        <w:jc w:val="both"/>
        <w:rPr>
          <w:rFonts w:ascii="Times New Roman" w:hAnsi="Times New Roman"/>
          <w:bCs w:val="0"/>
          <w:sz w:val="24"/>
          <w:szCs w:val="24"/>
        </w:rPr>
      </w:pPr>
      <w:bookmarkStart w:id="10" w:name="_Toc220056494"/>
      <w:r>
        <w:rPr>
          <w:rFonts w:ascii="Times New Roman" w:hAnsi="Times New Roman"/>
          <w:bCs w:val="0"/>
          <w:sz w:val="24"/>
          <w:szCs w:val="24"/>
        </w:rPr>
        <w:t xml:space="preserve">No </w:t>
      </w:r>
      <w:r w:rsidR="002A59CF" w:rsidRPr="00EE3B86">
        <w:rPr>
          <w:rFonts w:ascii="Times New Roman" w:hAnsi="Times New Roman"/>
          <w:bCs w:val="0"/>
          <w:sz w:val="24"/>
          <w:szCs w:val="24"/>
        </w:rPr>
        <w:t xml:space="preserve">Blanding’s </w:t>
      </w:r>
      <w:r w:rsidR="002A59CF" w:rsidRPr="002A59CF">
        <w:rPr>
          <w:rFonts w:ascii="Times New Roman" w:hAnsi="Times New Roman"/>
          <w:bCs w:val="0"/>
          <w:sz w:val="24"/>
          <w:szCs w:val="24"/>
        </w:rPr>
        <w:t>Turtle</w:t>
      </w:r>
      <w:r w:rsidR="003660FA">
        <w:rPr>
          <w:rFonts w:ascii="Times New Roman" w:hAnsi="Times New Roman"/>
          <w:bCs w:val="0"/>
          <w:sz w:val="24"/>
          <w:szCs w:val="24"/>
        </w:rPr>
        <w:t>s</w:t>
      </w:r>
      <w:r w:rsidR="002A59CF" w:rsidRPr="002A59CF">
        <w:rPr>
          <w:rFonts w:ascii="Times New Roman" w:hAnsi="Times New Roman"/>
          <w:bCs w:val="0"/>
          <w:sz w:val="24"/>
          <w:szCs w:val="24"/>
        </w:rPr>
        <w:t xml:space="preserve"> </w:t>
      </w:r>
      <w:r w:rsidR="003660FA">
        <w:rPr>
          <w:rFonts w:ascii="Times New Roman" w:hAnsi="Times New Roman"/>
          <w:bCs w:val="0"/>
          <w:sz w:val="24"/>
          <w:szCs w:val="24"/>
        </w:rPr>
        <w:t>E</w:t>
      </w:r>
      <w:r w:rsidR="002A59CF" w:rsidRPr="002A59CF">
        <w:rPr>
          <w:rFonts w:ascii="Times New Roman" w:hAnsi="Times New Roman"/>
          <w:bCs w:val="0"/>
          <w:sz w:val="24"/>
          <w:szCs w:val="24"/>
        </w:rPr>
        <w:t>xist</w:t>
      </w:r>
      <w:r>
        <w:rPr>
          <w:rFonts w:ascii="Times New Roman" w:hAnsi="Times New Roman"/>
          <w:bCs w:val="0"/>
          <w:sz w:val="24"/>
          <w:szCs w:val="24"/>
        </w:rPr>
        <w:t>ing</w:t>
      </w:r>
      <w:r w:rsidR="002A59CF" w:rsidRPr="00EE3B86">
        <w:rPr>
          <w:rFonts w:ascii="Times New Roman" w:hAnsi="Times New Roman"/>
          <w:bCs w:val="0"/>
          <w:sz w:val="24"/>
          <w:szCs w:val="24"/>
        </w:rPr>
        <w:t xml:space="preserve"> on the Site</w:t>
      </w:r>
      <w:bookmarkEnd w:id="10"/>
    </w:p>
    <w:p w14:paraId="62EBD0B5" w14:textId="691C80E1" w:rsidR="002D0A80" w:rsidRPr="00EE3B86" w:rsidRDefault="006A1754" w:rsidP="00837980">
      <w:pPr>
        <w:pStyle w:val="WSParaNum"/>
        <w:numPr>
          <w:ilvl w:val="0"/>
          <w:numId w:val="1"/>
        </w:numPr>
        <w:spacing w:before="0" w:after="0"/>
        <w:jc w:val="both"/>
      </w:pPr>
      <w:r w:rsidRPr="00EE3B86">
        <w:t>The Trial Justice</w:t>
      </w:r>
      <w:r w:rsidR="00573314" w:rsidRPr="00EE3B86">
        <w:t xml:space="preserve"> </w:t>
      </w:r>
      <w:r w:rsidR="00365DF8">
        <w:t xml:space="preserve">inappropriately </w:t>
      </w:r>
      <w:r w:rsidR="00573314" w:rsidRPr="00EE3B86">
        <w:t xml:space="preserve">relied on </w:t>
      </w:r>
      <w:r w:rsidRPr="00EE3B86">
        <w:t xml:space="preserve">a circumstantial inference: that </w:t>
      </w:r>
      <w:r w:rsidR="00573314" w:rsidRPr="00EE3B86">
        <w:t xml:space="preserve">merely </w:t>
      </w:r>
      <w:r w:rsidRPr="00EE3B86">
        <w:t xml:space="preserve">because Blanding’s </w:t>
      </w:r>
      <w:r w:rsidR="00365DF8">
        <w:t>T</w:t>
      </w:r>
      <w:r w:rsidRPr="00EE3B86">
        <w:t xml:space="preserve">urtles had been observed near the Site at other times, they must have been </w:t>
      </w:r>
      <w:r w:rsidR="00DF6F53" w:rsidRPr="00EE3B86">
        <w:t xml:space="preserve">using the Site during the offence period. </w:t>
      </w:r>
    </w:p>
    <w:p w14:paraId="32517308" w14:textId="6DDD6625" w:rsidR="3C14B7BD" w:rsidRPr="00994721" w:rsidRDefault="00B412CA" w:rsidP="00837980">
      <w:pPr>
        <w:pStyle w:val="WSParaNum"/>
        <w:numPr>
          <w:ilvl w:val="0"/>
          <w:numId w:val="0"/>
        </w:numPr>
        <w:spacing w:before="0" w:after="0"/>
        <w:ind w:firstLine="720"/>
        <w:jc w:val="both"/>
        <w:rPr>
          <w:sz w:val="22"/>
          <w:szCs w:val="22"/>
          <w:highlight w:val="magenta"/>
        </w:rPr>
      </w:pPr>
      <w:r w:rsidRPr="00EE3B86">
        <w:rPr>
          <w:i/>
          <w:iCs/>
          <w:sz w:val="20"/>
          <w:szCs w:val="20"/>
        </w:rPr>
        <w:t>OCJ Decision</w:t>
      </w:r>
      <w:r w:rsidRPr="00EE3B86">
        <w:rPr>
          <w:sz w:val="20"/>
          <w:szCs w:val="20"/>
        </w:rPr>
        <w:t xml:space="preserve">, </w:t>
      </w:r>
      <w:r w:rsidRPr="00EE3B86">
        <w:rPr>
          <w:i/>
          <w:iCs/>
          <w:sz w:val="20"/>
          <w:szCs w:val="20"/>
        </w:rPr>
        <w:t xml:space="preserve">supra </w:t>
      </w:r>
      <w:r w:rsidR="00464AB2" w:rsidRPr="00EE3B86">
        <w:rPr>
          <w:sz w:val="20"/>
          <w:szCs w:val="20"/>
        </w:rPr>
        <w:t>note 9</w:t>
      </w:r>
      <w:r w:rsidRPr="00EE3B86">
        <w:rPr>
          <w:i/>
          <w:iCs/>
          <w:sz w:val="20"/>
          <w:szCs w:val="20"/>
        </w:rPr>
        <w:t xml:space="preserve"> </w:t>
      </w:r>
      <w:r w:rsidRPr="00EE3B86">
        <w:rPr>
          <w:sz w:val="20"/>
          <w:szCs w:val="20"/>
        </w:rPr>
        <w:t xml:space="preserve">at 8-9. </w:t>
      </w:r>
    </w:p>
    <w:p w14:paraId="0324FB53" w14:textId="25A591AB" w:rsidR="00DF6F53" w:rsidRPr="00EE3B86" w:rsidRDefault="00365DF8" w:rsidP="0085450F">
      <w:pPr>
        <w:pStyle w:val="WSParaNum"/>
        <w:numPr>
          <w:ilvl w:val="0"/>
          <w:numId w:val="1"/>
        </w:numPr>
        <w:spacing w:before="0" w:after="0"/>
        <w:jc w:val="both"/>
      </w:pPr>
      <w:r>
        <w:t>I</w:t>
      </w:r>
      <w:r w:rsidR="00DF6F53" w:rsidRPr="00EE3B86">
        <w:t xml:space="preserve">n </w:t>
      </w:r>
      <w:r w:rsidR="00DF6F53" w:rsidRPr="00EE3B86">
        <w:rPr>
          <w:i/>
          <w:iCs/>
        </w:rPr>
        <w:t>R v Villaroman</w:t>
      </w:r>
      <w:r w:rsidR="00DF6F53" w:rsidRPr="00EE3B86">
        <w:t xml:space="preserve">, </w:t>
      </w:r>
      <w:r>
        <w:t xml:space="preserve">the Supreme Court </w:t>
      </w:r>
      <w:r w:rsidR="00A74879">
        <w:t xml:space="preserve">of Canada </w:t>
      </w:r>
      <w:r w:rsidR="00DF6F53" w:rsidRPr="00EE3B86">
        <w:t xml:space="preserve">cautioned that fact-finders must not use circumstantial evidence to bridge evidentiary gaps through speculation. An inference is </w:t>
      </w:r>
      <w:r w:rsidR="00BC0F44" w:rsidRPr="00EE3B86">
        <w:t xml:space="preserve">only permissible where it is the only reasonable inference available on the evidence. </w:t>
      </w:r>
      <w:r w:rsidR="00573314" w:rsidRPr="00EE3B86">
        <w:t xml:space="preserve">The findings of Blanding’s </w:t>
      </w:r>
      <w:r w:rsidR="00A74879">
        <w:t>T</w:t>
      </w:r>
      <w:r w:rsidR="00A74879" w:rsidRPr="00EE3B86">
        <w:t xml:space="preserve">urtles </w:t>
      </w:r>
      <w:r w:rsidR="00573314" w:rsidRPr="00EE3B86">
        <w:t xml:space="preserve">on the Site absence an actual siting is not </w:t>
      </w:r>
      <w:r w:rsidR="00A74879">
        <w:t xml:space="preserve">and cannot be </w:t>
      </w:r>
      <w:r w:rsidR="00573314" w:rsidRPr="00EE3B86">
        <w:t xml:space="preserve">a reasonable inference. </w:t>
      </w:r>
    </w:p>
    <w:p w14:paraId="45AB693A" w14:textId="5AC745F3" w:rsidR="3BABED94" w:rsidRPr="00B94092" w:rsidRDefault="00575B93" w:rsidP="0085450F">
      <w:pPr>
        <w:pStyle w:val="WSParaNum"/>
        <w:numPr>
          <w:ilvl w:val="0"/>
          <w:numId w:val="0"/>
        </w:numPr>
        <w:spacing w:before="0" w:after="0"/>
        <w:ind w:firstLine="720"/>
        <w:jc w:val="both"/>
        <w:rPr>
          <w:sz w:val="20"/>
          <w:szCs w:val="20"/>
          <w:highlight w:val="magenta"/>
        </w:rPr>
      </w:pPr>
      <w:r>
        <w:rPr>
          <w:i/>
          <w:iCs/>
          <w:sz w:val="20"/>
          <w:szCs w:val="20"/>
        </w:rPr>
        <w:t>R v Vi</w:t>
      </w:r>
      <w:r w:rsidR="00B94092">
        <w:rPr>
          <w:i/>
          <w:iCs/>
          <w:sz w:val="20"/>
          <w:szCs w:val="20"/>
        </w:rPr>
        <w:t>llaroman</w:t>
      </w:r>
      <w:r w:rsidR="00B94092">
        <w:rPr>
          <w:sz w:val="20"/>
          <w:szCs w:val="20"/>
        </w:rPr>
        <w:t xml:space="preserve">, </w:t>
      </w:r>
      <w:r w:rsidR="008B7BC1">
        <w:rPr>
          <w:sz w:val="20"/>
          <w:szCs w:val="20"/>
        </w:rPr>
        <w:t xml:space="preserve">2016 SCC </w:t>
      </w:r>
      <w:r w:rsidR="0025444B">
        <w:rPr>
          <w:sz w:val="20"/>
          <w:szCs w:val="20"/>
        </w:rPr>
        <w:t>33</w:t>
      </w:r>
      <w:r w:rsidR="000F4149">
        <w:rPr>
          <w:sz w:val="20"/>
          <w:szCs w:val="20"/>
        </w:rPr>
        <w:t xml:space="preserve"> at para </w:t>
      </w:r>
      <w:r w:rsidR="00E8182A">
        <w:rPr>
          <w:sz w:val="20"/>
          <w:szCs w:val="20"/>
        </w:rPr>
        <w:t>30</w:t>
      </w:r>
      <w:r w:rsidR="0053179A">
        <w:rPr>
          <w:sz w:val="20"/>
          <w:szCs w:val="20"/>
        </w:rPr>
        <w:t xml:space="preserve"> [</w:t>
      </w:r>
      <w:r w:rsidR="0053179A">
        <w:rPr>
          <w:i/>
          <w:iCs/>
          <w:sz w:val="20"/>
          <w:szCs w:val="20"/>
        </w:rPr>
        <w:t>Villaroman</w:t>
      </w:r>
      <w:r w:rsidR="0053179A">
        <w:rPr>
          <w:sz w:val="20"/>
          <w:szCs w:val="20"/>
        </w:rPr>
        <w:t>]</w:t>
      </w:r>
      <w:r w:rsidR="00E8182A">
        <w:rPr>
          <w:sz w:val="20"/>
          <w:szCs w:val="20"/>
        </w:rPr>
        <w:t xml:space="preserve">. </w:t>
      </w:r>
    </w:p>
    <w:p w14:paraId="651E8572" w14:textId="16FC47A4" w:rsidR="00BC0F44" w:rsidRPr="00EE3B86" w:rsidRDefault="00901687" w:rsidP="0085450F">
      <w:pPr>
        <w:pStyle w:val="WSParaNum"/>
        <w:numPr>
          <w:ilvl w:val="0"/>
          <w:numId w:val="1"/>
        </w:numPr>
        <w:spacing w:before="0" w:after="0"/>
        <w:jc w:val="both"/>
      </w:pPr>
      <w:r w:rsidRPr="00EE3B86">
        <w:t>The Trial Justice ignored numerous</w:t>
      </w:r>
      <w:r w:rsidR="00BC0F44" w:rsidRPr="00EE3B86">
        <w:t xml:space="preserve"> reasonable alternatives</w:t>
      </w:r>
      <w:r w:rsidRPr="00EE3B86">
        <w:t xml:space="preserve"> as they related to the evidence of the </w:t>
      </w:r>
      <w:r w:rsidR="007C37BF">
        <w:t>sightings</w:t>
      </w:r>
      <w:r w:rsidRPr="00EE3B86">
        <w:t xml:space="preserve"> of the Blanding’s </w:t>
      </w:r>
      <w:r w:rsidR="00352305">
        <w:t>T</w:t>
      </w:r>
      <w:r w:rsidRPr="00EE3B86">
        <w:t>urtles</w:t>
      </w:r>
      <w:r w:rsidR="00BC0F44" w:rsidRPr="00EE3B86">
        <w:t xml:space="preserve">, including: </w:t>
      </w:r>
    </w:p>
    <w:p w14:paraId="0A271512" w14:textId="2CE5C98B" w:rsidR="00BC0F44" w:rsidRPr="00EE3B86" w:rsidRDefault="00562B5B" w:rsidP="0085450F">
      <w:pPr>
        <w:pStyle w:val="WSParaNum"/>
        <w:numPr>
          <w:ilvl w:val="1"/>
          <w:numId w:val="1"/>
        </w:numPr>
        <w:spacing w:before="0" w:after="0"/>
        <w:jc w:val="both"/>
      </w:pPr>
      <w:r w:rsidRPr="00EE3B86">
        <w:t>That the sightings reflected movement through the broader Circle Lake area rather than the use of the Site itself;</w:t>
      </w:r>
    </w:p>
    <w:p w14:paraId="694CF4AD" w14:textId="41F823B7" w:rsidR="00E01B2D" w:rsidRPr="00EE3B86" w:rsidRDefault="00ED1589" w:rsidP="0085450F">
      <w:pPr>
        <w:pStyle w:val="WSParaNum"/>
        <w:numPr>
          <w:ilvl w:val="1"/>
          <w:numId w:val="1"/>
        </w:numPr>
        <w:spacing w:before="0" w:after="0"/>
        <w:jc w:val="both"/>
      </w:pPr>
      <w:r w:rsidRPr="00EE3B86">
        <w:t xml:space="preserve">That </w:t>
      </w:r>
      <w:r w:rsidR="00352305" w:rsidRPr="00EE3B86">
        <w:t xml:space="preserve">Blanding’s </w:t>
      </w:r>
      <w:r w:rsidR="00352305">
        <w:t>T</w:t>
      </w:r>
      <w:r w:rsidR="00352305" w:rsidRPr="00EE3B86">
        <w:t>urtles</w:t>
      </w:r>
      <w:r w:rsidR="00352305" w:rsidRPr="00EE3B86" w:rsidDel="00352305">
        <w:t xml:space="preserve"> </w:t>
      </w:r>
      <w:r w:rsidRPr="00EE3B86">
        <w:t>may have used adjacent lands rather than the Site; and</w:t>
      </w:r>
    </w:p>
    <w:p w14:paraId="730D9C6B" w14:textId="4C978854" w:rsidR="00E01B2D" w:rsidRPr="00EE3B86" w:rsidRDefault="00ED1589" w:rsidP="0085450F">
      <w:pPr>
        <w:pStyle w:val="WSParaNum"/>
        <w:numPr>
          <w:ilvl w:val="1"/>
          <w:numId w:val="1"/>
        </w:numPr>
        <w:spacing w:before="0" w:after="0"/>
        <w:jc w:val="both"/>
      </w:pPr>
      <w:r w:rsidRPr="00EE3B86">
        <w:t>T</w:t>
      </w:r>
      <w:r w:rsidR="00C07AED" w:rsidRPr="00EE3B86">
        <w:t>hat t</w:t>
      </w:r>
      <w:r w:rsidRPr="00EE3B86">
        <w:t xml:space="preserve">he </w:t>
      </w:r>
      <w:r w:rsidR="00352305" w:rsidRPr="00EE3B86">
        <w:t xml:space="preserve">Blanding’s </w:t>
      </w:r>
      <w:r w:rsidR="00352305">
        <w:t>T</w:t>
      </w:r>
      <w:r w:rsidR="00352305" w:rsidRPr="00EE3B86">
        <w:t>urtles</w:t>
      </w:r>
      <w:r w:rsidR="00352305" w:rsidRPr="00EE3B86" w:rsidDel="00352305">
        <w:t xml:space="preserve"> </w:t>
      </w:r>
      <w:r w:rsidRPr="00EE3B86">
        <w:t xml:space="preserve">were </w:t>
      </w:r>
      <w:r w:rsidR="000154CB" w:rsidRPr="00EE3B86">
        <w:t>absen</w:t>
      </w:r>
      <w:r w:rsidRPr="00EE3B86">
        <w:t>t</w:t>
      </w:r>
      <w:r w:rsidR="000154CB" w:rsidRPr="00EE3B86">
        <w:t xml:space="preserve"> from the Site</w:t>
      </w:r>
      <w:r w:rsidR="00686AE6" w:rsidRPr="00EE3B86">
        <w:t xml:space="preserve"> during the construction period. </w:t>
      </w:r>
    </w:p>
    <w:p w14:paraId="0BB2A997" w14:textId="106A4359" w:rsidR="002D0A80" w:rsidRPr="00EE3B86" w:rsidRDefault="009865B4" w:rsidP="0085450F">
      <w:pPr>
        <w:pStyle w:val="WSParaNum"/>
        <w:numPr>
          <w:ilvl w:val="0"/>
          <w:numId w:val="1"/>
        </w:numPr>
        <w:spacing w:before="0" w:after="0"/>
        <w:jc w:val="both"/>
      </w:pPr>
      <w:r w:rsidRPr="00EE3B86">
        <w:t xml:space="preserve">These alternatives are especially reasonable given that Justice Mathias noted that: </w:t>
      </w:r>
    </w:p>
    <w:p w14:paraId="4F8F2701" w14:textId="228AE53A" w:rsidR="00257F6B" w:rsidRPr="00EE3B86" w:rsidRDefault="00EF527B" w:rsidP="0085450F">
      <w:pPr>
        <w:pStyle w:val="WSParaNum"/>
        <w:numPr>
          <w:ilvl w:val="1"/>
          <w:numId w:val="1"/>
        </w:numPr>
        <w:spacing w:before="0" w:after="0"/>
        <w:jc w:val="both"/>
      </w:pPr>
      <w:r w:rsidRPr="00EE3B86">
        <w:lastRenderedPageBreak/>
        <w:t>S</w:t>
      </w:r>
      <w:r w:rsidR="00FA525D" w:rsidRPr="00EE3B86">
        <w:t xml:space="preserve">ightings of Blanding’s </w:t>
      </w:r>
      <w:r w:rsidR="00352305">
        <w:t>T</w:t>
      </w:r>
      <w:r w:rsidR="00352305" w:rsidRPr="00EE3B86">
        <w:t xml:space="preserve">urtles </w:t>
      </w:r>
      <w:r w:rsidR="00FA525D" w:rsidRPr="00EE3B86">
        <w:t>in the Circle Lak</w:t>
      </w:r>
      <w:r w:rsidR="001F28DA" w:rsidRPr="00EE3B86">
        <w:t>e area were sporadic and occurred at different times and locations before and after the offence period;</w:t>
      </w:r>
      <w:r w:rsidR="00257F6B" w:rsidRPr="00EE3B86">
        <w:t xml:space="preserve"> </w:t>
      </w:r>
    </w:p>
    <w:p w14:paraId="00816293" w14:textId="6F40C5B1" w:rsidR="00257F6B" w:rsidRPr="00EE3B86" w:rsidRDefault="00EF527B" w:rsidP="0085450F">
      <w:pPr>
        <w:pStyle w:val="WSParaNum"/>
        <w:numPr>
          <w:ilvl w:val="1"/>
          <w:numId w:val="1"/>
        </w:numPr>
        <w:spacing w:before="0" w:after="0"/>
        <w:jc w:val="both"/>
      </w:pPr>
      <w:r w:rsidRPr="00EE3B86">
        <w:t xml:space="preserve">There was no evidence that Blanding’s </w:t>
      </w:r>
      <w:r w:rsidR="00794370">
        <w:t>T</w:t>
      </w:r>
      <w:r w:rsidR="00794370" w:rsidRPr="00EE3B86">
        <w:t xml:space="preserve">urtles </w:t>
      </w:r>
      <w:r w:rsidRPr="00EE3B86">
        <w:t>were using the Site itself as opposed to the surrounding area; and</w:t>
      </w:r>
    </w:p>
    <w:p w14:paraId="369C31CC" w14:textId="2D8269B2" w:rsidR="0085450F" w:rsidRDefault="00EF527B" w:rsidP="0085450F">
      <w:pPr>
        <w:pStyle w:val="WSParaNum"/>
        <w:numPr>
          <w:ilvl w:val="0"/>
          <w:numId w:val="1"/>
        </w:numPr>
        <w:spacing w:before="0" w:after="0"/>
        <w:jc w:val="both"/>
      </w:pPr>
      <w:r w:rsidRPr="00EE3B86">
        <w:t xml:space="preserve">The absence of </w:t>
      </w:r>
      <w:r w:rsidR="00194EC3" w:rsidRPr="00194EC3">
        <w:t>sightings or other evidence of use during the offence period meant that presence at other times could not establish habitat at the legally relevant time</w:t>
      </w:r>
      <w:r w:rsidR="00DC1B38" w:rsidRPr="00EE3B86">
        <w:t xml:space="preserve">. </w:t>
      </w:r>
    </w:p>
    <w:p w14:paraId="7D08400E" w14:textId="30E0AEBC" w:rsidR="1951EBE2" w:rsidRPr="0085450F" w:rsidRDefault="00A865BC" w:rsidP="0085450F">
      <w:pPr>
        <w:pStyle w:val="WSParaNum"/>
        <w:numPr>
          <w:ilvl w:val="0"/>
          <w:numId w:val="0"/>
        </w:numPr>
        <w:spacing w:before="0" w:after="0"/>
        <w:ind w:firstLine="720"/>
        <w:jc w:val="both"/>
      </w:pPr>
      <w:r w:rsidRPr="0085450F">
        <w:rPr>
          <w:i/>
          <w:iCs/>
          <w:sz w:val="20"/>
          <w:szCs w:val="20"/>
        </w:rPr>
        <w:t>OCJ Decision</w:t>
      </w:r>
      <w:r w:rsidRPr="0085450F">
        <w:rPr>
          <w:sz w:val="20"/>
          <w:szCs w:val="20"/>
        </w:rPr>
        <w:t xml:space="preserve">, </w:t>
      </w:r>
      <w:r w:rsidRPr="0085450F">
        <w:rPr>
          <w:i/>
          <w:iCs/>
          <w:sz w:val="20"/>
          <w:szCs w:val="20"/>
        </w:rPr>
        <w:t xml:space="preserve">supra </w:t>
      </w:r>
      <w:r w:rsidR="00464AB2" w:rsidRPr="0085450F">
        <w:rPr>
          <w:sz w:val="20"/>
          <w:szCs w:val="20"/>
        </w:rPr>
        <w:t>note 9</w:t>
      </w:r>
      <w:r w:rsidRPr="0085450F">
        <w:rPr>
          <w:i/>
          <w:iCs/>
          <w:sz w:val="20"/>
          <w:szCs w:val="20"/>
        </w:rPr>
        <w:t xml:space="preserve"> </w:t>
      </w:r>
      <w:r w:rsidRPr="0085450F">
        <w:rPr>
          <w:sz w:val="20"/>
          <w:szCs w:val="20"/>
        </w:rPr>
        <w:t xml:space="preserve">at 8-9. </w:t>
      </w:r>
    </w:p>
    <w:p w14:paraId="50B0799F" w14:textId="6304440F" w:rsidR="0024780B" w:rsidRPr="00EE3B86" w:rsidRDefault="00FA5D50" w:rsidP="0085450F">
      <w:pPr>
        <w:pStyle w:val="WSParaNum"/>
        <w:numPr>
          <w:ilvl w:val="0"/>
          <w:numId w:val="1"/>
        </w:numPr>
        <w:spacing w:before="0" w:after="0"/>
        <w:jc w:val="both"/>
      </w:pPr>
      <w:r w:rsidRPr="00EE3B86">
        <w:t xml:space="preserve">The </w:t>
      </w:r>
      <w:r w:rsidR="00102D73" w:rsidRPr="00EE3B86">
        <w:t>Trial Justice</w:t>
      </w:r>
      <w:r w:rsidR="007C472A" w:rsidRPr="00EE3B86">
        <w:t xml:space="preserve"> unreasonably relied on </w:t>
      </w:r>
      <w:r w:rsidR="00844144" w:rsidRPr="00EE3B86">
        <w:t xml:space="preserve">observations </w:t>
      </w:r>
      <w:r w:rsidR="001F0C58" w:rsidRPr="00EE3B86">
        <w:t xml:space="preserve">occurring </w:t>
      </w:r>
      <w:r w:rsidR="00844144" w:rsidRPr="00EE3B86">
        <w:t>years before and after the offence</w:t>
      </w:r>
      <w:r w:rsidR="00D942D8" w:rsidRPr="00EE3B86">
        <w:t xml:space="preserve"> </w:t>
      </w:r>
      <w:r w:rsidR="007C472A" w:rsidRPr="00EE3B86">
        <w:t xml:space="preserve">to attempt to </w:t>
      </w:r>
      <w:r w:rsidR="00F915C7" w:rsidRPr="00EE3B86">
        <w:t xml:space="preserve">explain </w:t>
      </w:r>
      <w:r w:rsidR="0006617A" w:rsidRPr="00EE3B86">
        <w:t xml:space="preserve">that the </w:t>
      </w:r>
      <w:r w:rsidR="00794370" w:rsidRPr="00EE3B86">
        <w:t xml:space="preserve">Blanding’s </w:t>
      </w:r>
      <w:r w:rsidR="00794370">
        <w:t>T</w:t>
      </w:r>
      <w:r w:rsidR="00794370" w:rsidRPr="00EE3B86">
        <w:t>urtles</w:t>
      </w:r>
      <w:r w:rsidR="0006617A" w:rsidRPr="00EE3B86">
        <w:t xml:space="preserve"> did not exist on the </w:t>
      </w:r>
      <w:r w:rsidR="00A426AE">
        <w:t>S</w:t>
      </w:r>
      <w:r w:rsidR="00A426AE" w:rsidRPr="00EE3B86">
        <w:t xml:space="preserve">ite </w:t>
      </w:r>
      <w:r w:rsidR="0006617A" w:rsidRPr="00EE3B86">
        <w:t>at the time of the offence.</w:t>
      </w:r>
    </w:p>
    <w:p w14:paraId="32C5CF9B" w14:textId="30570A8E" w:rsidR="0024780B" w:rsidRPr="008E3FF8" w:rsidRDefault="008E3FF8" w:rsidP="0085450F">
      <w:pPr>
        <w:pStyle w:val="WSParaNum"/>
        <w:numPr>
          <w:ilvl w:val="0"/>
          <w:numId w:val="0"/>
        </w:numPr>
        <w:spacing w:before="0" w:after="0" w:line="240" w:lineRule="auto"/>
        <w:ind w:firstLine="720"/>
        <w:jc w:val="both"/>
        <w:rPr>
          <w:highlight w:val="magenta"/>
        </w:rPr>
      </w:pPr>
      <w:r w:rsidRPr="00EE3B86">
        <w:rPr>
          <w:i/>
          <w:iCs/>
          <w:sz w:val="20"/>
          <w:szCs w:val="20"/>
        </w:rPr>
        <w:t>ONCA Decision</w:t>
      </w:r>
      <w:r w:rsidRPr="00EE3B86">
        <w:rPr>
          <w:sz w:val="20"/>
          <w:szCs w:val="20"/>
        </w:rPr>
        <w:t xml:space="preserve">, </w:t>
      </w:r>
      <w:r w:rsidRPr="00EE3B86">
        <w:rPr>
          <w:i/>
          <w:iCs/>
          <w:sz w:val="20"/>
          <w:szCs w:val="20"/>
        </w:rPr>
        <w:t xml:space="preserve">supra </w:t>
      </w:r>
      <w:r w:rsidRPr="00EE3B86">
        <w:rPr>
          <w:sz w:val="20"/>
          <w:szCs w:val="20"/>
        </w:rPr>
        <w:t xml:space="preserve">note 18 at paras </w:t>
      </w:r>
      <w:r>
        <w:rPr>
          <w:sz w:val="20"/>
          <w:szCs w:val="20"/>
        </w:rPr>
        <w:t>9-11</w:t>
      </w:r>
      <w:r w:rsidRPr="00EE3B86">
        <w:rPr>
          <w:sz w:val="20"/>
          <w:szCs w:val="20"/>
        </w:rPr>
        <w:t xml:space="preserve">. </w:t>
      </w:r>
    </w:p>
    <w:p w14:paraId="3E75CB5C" w14:textId="23D82C44" w:rsidR="0085450F" w:rsidRDefault="00E20077" w:rsidP="0085450F">
      <w:pPr>
        <w:pStyle w:val="WSParaNum"/>
        <w:numPr>
          <w:ilvl w:val="0"/>
          <w:numId w:val="1"/>
        </w:numPr>
        <w:jc w:val="both"/>
      </w:pPr>
      <w:r w:rsidRPr="00EE3B86">
        <w:t>As confirmed by</w:t>
      </w:r>
      <w:r w:rsidR="001F0756" w:rsidRPr="00EE3B86">
        <w:t xml:space="preserve"> the S</w:t>
      </w:r>
      <w:r w:rsidR="007C472A" w:rsidRPr="00EE3B86">
        <w:t xml:space="preserve">upreme Court of Canada </w:t>
      </w:r>
      <w:r w:rsidR="001F0756" w:rsidRPr="00EE3B86">
        <w:t>in</w:t>
      </w:r>
      <w:r w:rsidR="00B71AF0">
        <w:rPr>
          <w:i/>
          <w:iCs/>
        </w:rPr>
        <w:t xml:space="preserve"> Villaroman</w:t>
      </w:r>
      <w:r w:rsidR="001F0756" w:rsidRPr="00EE3B86">
        <w:t xml:space="preserve">, </w:t>
      </w:r>
      <w:r w:rsidR="002522D7" w:rsidRPr="00EE3B86">
        <w:t xml:space="preserve">a finding is </w:t>
      </w:r>
      <w:r w:rsidR="00C05661" w:rsidRPr="00EE3B86">
        <w:t xml:space="preserve">unreasonable </w:t>
      </w:r>
      <w:r w:rsidR="002522D7" w:rsidRPr="00EE3B86">
        <w:t xml:space="preserve">where a trier of fact relies on </w:t>
      </w:r>
      <w:r w:rsidR="00C05661" w:rsidRPr="00EE3B86">
        <w:t xml:space="preserve">speculation or conjecture </w:t>
      </w:r>
      <w:r w:rsidR="00484776" w:rsidRPr="00EE3B86">
        <w:t>to fill</w:t>
      </w:r>
      <w:r w:rsidR="00C05661" w:rsidRPr="00EE3B86">
        <w:t xml:space="preserve"> gaps in the evidentiary </w:t>
      </w:r>
      <w:r w:rsidR="005B61BF" w:rsidRPr="00EE3B86">
        <w:t>record or</w:t>
      </w:r>
      <w:r w:rsidR="00C05661" w:rsidRPr="00EE3B86">
        <w:t xml:space="preserve"> </w:t>
      </w:r>
      <w:r w:rsidR="00484776" w:rsidRPr="00EE3B86">
        <w:t xml:space="preserve">draws an inference that is not </w:t>
      </w:r>
      <w:r w:rsidR="003E693F" w:rsidRPr="00EE3B86">
        <w:t>supported by the evidence</w:t>
      </w:r>
      <w:r w:rsidR="00484776" w:rsidRPr="00EE3B86">
        <w:t xml:space="preserve"> viewed</w:t>
      </w:r>
      <w:r w:rsidR="003E693F" w:rsidRPr="00EE3B86">
        <w:t xml:space="preserve"> as a whole.</w:t>
      </w:r>
      <w:r w:rsidR="001F0756" w:rsidRPr="00EE3B86">
        <w:t xml:space="preserve"> </w:t>
      </w:r>
    </w:p>
    <w:p w14:paraId="64609A30" w14:textId="5FD49266" w:rsidR="0FF5FAEF" w:rsidRPr="0085450F" w:rsidRDefault="00B71AF0" w:rsidP="00795FB5">
      <w:pPr>
        <w:pStyle w:val="WSParaNum"/>
        <w:numPr>
          <w:ilvl w:val="0"/>
          <w:numId w:val="0"/>
        </w:numPr>
        <w:spacing w:line="240" w:lineRule="auto"/>
        <w:ind w:firstLine="720"/>
        <w:jc w:val="both"/>
      </w:pPr>
      <w:r>
        <w:rPr>
          <w:i/>
          <w:iCs/>
          <w:sz w:val="20"/>
          <w:szCs w:val="20"/>
        </w:rPr>
        <w:t>Villaroman</w:t>
      </w:r>
      <w:r w:rsidR="004C6BAD" w:rsidRPr="0085450F">
        <w:rPr>
          <w:sz w:val="20"/>
          <w:szCs w:val="20"/>
        </w:rPr>
        <w:t xml:space="preserve">, </w:t>
      </w:r>
      <w:r>
        <w:rPr>
          <w:i/>
          <w:iCs/>
          <w:sz w:val="20"/>
          <w:szCs w:val="20"/>
        </w:rPr>
        <w:t xml:space="preserve">supra </w:t>
      </w:r>
      <w:r>
        <w:rPr>
          <w:sz w:val="20"/>
          <w:szCs w:val="20"/>
        </w:rPr>
        <w:t>note 2</w:t>
      </w:r>
      <w:r w:rsidR="00795FB5">
        <w:rPr>
          <w:sz w:val="20"/>
          <w:szCs w:val="20"/>
        </w:rPr>
        <w:t>7 at para 37</w:t>
      </w:r>
      <w:r w:rsidR="00F4234F">
        <w:rPr>
          <w:sz w:val="20"/>
          <w:szCs w:val="20"/>
        </w:rPr>
        <w:t>.</w:t>
      </w:r>
    </w:p>
    <w:p w14:paraId="534BF134" w14:textId="15954E15" w:rsidR="003B433A" w:rsidRPr="00EE3B86" w:rsidRDefault="00633887" w:rsidP="0085450F">
      <w:pPr>
        <w:pStyle w:val="WSParaNum"/>
        <w:numPr>
          <w:ilvl w:val="0"/>
          <w:numId w:val="1"/>
        </w:numPr>
        <w:jc w:val="both"/>
      </w:pPr>
      <w:r w:rsidRPr="00EE3B86">
        <w:t>T</w:t>
      </w:r>
      <w:r w:rsidR="00DB2949" w:rsidRPr="00EE3B86">
        <w:t xml:space="preserve">he Trial Justice </w:t>
      </w:r>
      <w:r w:rsidRPr="00EE3B86">
        <w:t xml:space="preserve">incorrectly </w:t>
      </w:r>
      <w:r w:rsidR="0062731D" w:rsidRPr="00EE3B86">
        <w:t>filled a critical evidentiary gap by inferring habitat use despite</w:t>
      </w:r>
      <w:r w:rsidR="00A644A1" w:rsidRPr="00EE3B86">
        <w:t xml:space="preserve"> the absence of any evidence of Blanding’s Turtle presen</w:t>
      </w:r>
      <w:r w:rsidR="00A247E8" w:rsidRPr="00EE3B86">
        <w:t>c</w:t>
      </w:r>
      <w:r w:rsidR="00A644A1" w:rsidRPr="00EE3B86">
        <w:t xml:space="preserve">e at the Site </w:t>
      </w:r>
      <w:r w:rsidR="0033090A" w:rsidRPr="00EE3B86">
        <w:t>during June-August 2018</w:t>
      </w:r>
      <w:r w:rsidR="005671EF" w:rsidRPr="00EE3B86">
        <w:t>.</w:t>
      </w:r>
      <w:r w:rsidR="00DB2949" w:rsidRPr="00EE3B86">
        <w:t xml:space="preserve"> </w:t>
      </w:r>
    </w:p>
    <w:p w14:paraId="396173E6" w14:textId="6916F852" w:rsidR="00727C17" w:rsidRDefault="003B433A" w:rsidP="00CA23C5">
      <w:pPr>
        <w:pStyle w:val="WSParaNum"/>
        <w:numPr>
          <w:ilvl w:val="0"/>
          <w:numId w:val="1"/>
        </w:numPr>
        <w:jc w:val="both"/>
      </w:pPr>
      <w:r w:rsidRPr="00EE3B86">
        <w:t xml:space="preserve">That inference was not </w:t>
      </w:r>
      <w:r w:rsidR="00BA3095" w:rsidRPr="00EE3B86">
        <w:t>supported</w:t>
      </w:r>
      <w:r w:rsidRPr="00EE3B86">
        <w:t xml:space="preserve"> by the evidence. Rather, it required the assumption that wildlife presence at one time necessarily implies presence at another, despite the </w:t>
      </w:r>
      <w:r w:rsidR="00460965" w:rsidRPr="00EE3B86">
        <w:t xml:space="preserve">lack of </w:t>
      </w:r>
      <w:r w:rsidR="004E0155" w:rsidRPr="00EE3B86">
        <w:t xml:space="preserve">nests, eggs, tracks, or any other physical indicators of </w:t>
      </w:r>
      <w:r w:rsidR="00A426AE" w:rsidRPr="00EE3B86">
        <w:t xml:space="preserve">Blanding’s </w:t>
      </w:r>
      <w:r w:rsidR="00A426AE">
        <w:t>T</w:t>
      </w:r>
      <w:r w:rsidR="00A426AE" w:rsidRPr="00EE3B86">
        <w:t>urtles</w:t>
      </w:r>
      <w:r w:rsidR="00585F01">
        <w:t>’</w:t>
      </w:r>
      <w:r w:rsidR="00A426AE" w:rsidRPr="00EE3B86" w:rsidDel="00A426AE">
        <w:t xml:space="preserve"> </w:t>
      </w:r>
      <w:r w:rsidR="00DA70B7" w:rsidRPr="00EE3B86">
        <w:t>activity</w:t>
      </w:r>
      <w:r w:rsidR="00EB0A3B" w:rsidRPr="00EE3B86">
        <w:t xml:space="preserve"> on the </w:t>
      </w:r>
      <w:r w:rsidR="00A426AE">
        <w:t>S</w:t>
      </w:r>
      <w:r w:rsidR="00EB0A3B" w:rsidRPr="00EE3B86">
        <w:t>ite in 2018</w:t>
      </w:r>
      <w:r w:rsidR="004E0155" w:rsidRPr="00EE3B86">
        <w:t xml:space="preserve">. </w:t>
      </w:r>
      <w:r w:rsidR="00A247E8" w:rsidRPr="00EE3B86">
        <w:t xml:space="preserve">In the absence of such evidence, the inference that turtles were using the Site during the offence period was speculative and unsupported by the </w:t>
      </w:r>
      <w:r w:rsidR="00ED0036" w:rsidRPr="00EE3B86">
        <w:t xml:space="preserve">evidence as a whole. </w:t>
      </w:r>
      <w:r w:rsidR="006C2E40" w:rsidRPr="00EE3B86">
        <w:t xml:space="preserve">This is precisely the analytical error identified in </w:t>
      </w:r>
      <w:r w:rsidR="00DC2D3A">
        <w:rPr>
          <w:i/>
          <w:iCs/>
        </w:rPr>
        <w:t>Villaroman</w:t>
      </w:r>
      <w:r w:rsidR="006C2E40" w:rsidRPr="00EE3B86">
        <w:t xml:space="preserve"> as rendering a verdict unreasonable.</w:t>
      </w:r>
    </w:p>
    <w:p w14:paraId="76D9C0A0" w14:textId="0C5F26D5" w:rsidR="16073F2D" w:rsidRPr="00727C17" w:rsidRDefault="00A9271D" w:rsidP="00CA23C5">
      <w:pPr>
        <w:pStyle w:val="WSParaNum"/>
        <w:numPr>
          <w:ilvl w:val="0"/>
          <w:numId w:val="0"/>
        </w:numPr>
        <w:spacing w:line="240" w:lineRule="auto"/>
        <w:ind w:firstLine="720"/>
        <w:jc w:val="both"/>
      </w:pPr>
      <w:r w:rsidRPr="00727C17">
        <w:rPr>
          <w:i/>
          <w:iCs/>
          <w:sz w:val="20"/>
          <w:szCs w:val="20"/>
        </w:rPr>
        <w:t>OCJ Decision</w:t>
      </w:r>
      <w:r w:rsidRPr="00727C17">
        <w:rPr>
          <w:sz w:val="20"/>
          <w:szCs w:val="20"/>
        </w:rPr>
        <w:t xml:space="preserve">, </w:t>
      </w:r>
      <w:r w:rsidRPr="00727C17">
        <w:rPr>
          <w:i/>
          <w:iCs/>
          <w:sz w:val="20"/>
          <w:szCs w:val="20"/>
        </w:rPr>
        <w:t xml:space="preserve">supra </w:t>
      </w:r>
      <w:r w:rsidR="00464AB2" w:rsidRPr="00727C17">
        <w:rPr>
          <w:sz w:val="20"/>
          <w:szCs w:val="20"/>
        </w:rPr>
        <w:t>note 9</w:t>
      </w:r>
      <w:r w:rsidRPr="00727C17">
        <w:rPr>
          <w:i/>
          <w:iCs/>
          <w:sz w:val="20"/>
          <w:szCs w:val="20"/>
        </w:rPr>
        <w:t xml:space="preserve"> </w:t>
      </w:r>
      <w:r w:rsidRPr="00727C17">
        <w:rPr>
          <w:sz w:val="20"/>
          <w:szCs w:val="20"/>
        </w:rPr>
        <w:t>at 14.</w:t>
      </w:r>
    </w:p>
    <w:p w14:paraId="60FF414A" w14:textId="647B29B3" w:rsidR="00C2434F" w:rsidRDefault="00633887" w:rsidP="00CA23C5">
      <w:pPr>
        <w:pStyle w:val="WSParaNum"/>
        <w:numPr>
          <w:ilvl w:val="0"/>
          <w:numId w:val="1"/>
        </w:numPr>
        <w:jc w:val="both"/>
      </w:pPr>
      <w:r w:rsidRPr="00EE3B86">
        <w:t>T</w:t>
      </w:r>
      <w:r w:rsidR="00896E9A" w:rsidRPr="00EE3B86">
        <w:t>he</w:t>
      </w:r>
      <w:r w:rsidR="00892781" w:rsidRPr="00EE3B86">
        <w:t xml:space="preserve"> </w:t>
      </w:r>
      <w:r w:rsidR="00920A86">
        <w:t>OCJ</w:t>
      </w:r>
      <w:r w:rsidR="00892781" w:rsidRPr="00EE3B86">
        <w:t xml:space="preserve"> </w:t>
      </w:r>
      <w:r w:rsidRPr="00EE3B86">
        <w:t xml:space="preserve">confirmed </w:t>
      </w:r>
      <w:r w:rsidR="00EB3EEA" w:rsidRPr="00EE3B86">
        <w:t>that</w:t>
      </w:r>
      <w:r w:rsidR="00896E9A" w:rsidRPr="00EE3B86">
        <w:t xml:space="preserve"> the reliance of the Trial Justice on sightings outside the offence period amounted to speculative reasoning rather than a permissible inference grounded in the evidence</w:t>
      </w:r>
      <w:r w:rsidRPr="00EE3B86">
        <w:t xml:space="preserve">. </w:t>
      </w:r>
      <w:r w:rsidR="0033351E" w:rsidRPr="00EE3B86">
        <w:t>The sightings were not tied to the impugned site or to the offence period, and there</w:t>
      </w:r>
      <w:r w:rsidR="005169E7" w:rsidRPr="00EE3B86">
        <w:t xml:space="preserve"> was no evidence establishing that </w:t>
      </w:r>
      <w:r w:rsidR="00170741" w:rsidRPr="00EE3B86">
        <w:t xml:space="preserve">Blanding’s </w:t>
      </w:r>
      <w:r w:rsidR="00170741">
        <w:t>T</w:t>
      </w:r>
      <w:r w:rsidR="00170741" w:rsidRPr="00EE3B86">
        <w:t>urtles</w:t>
      </w:r>
      <w:r w:rsidR="00170741" w:rsidRPr="00EE3B86" w:rsidDel="00170741">
        <w:t xml:space="preserve"> </w:t>
      </w:r>
      <w:r w:rsidR="005169E7" w:rsidRPr="00EE3B86">
        <w:t xml:space="preserve">depended on the Grubbed Area to carry on life processes in 2018. In the absence of site-specific or temporally relevant evidence, the inference that the habitat existed at the time of the offence was based on ecological possibility rather than </w:t>
      </w:r>
      <w:r w:rsidR="005169E7" w:rsidRPr="00EE3B86">
        <w:lastRenderedPageBreak/>
        <w:t>proof</w:t>
      </w:r>
      <w:r w:rsidR="00D74EB9" w:rsidRPr="00EE3B86">
        <w:t xml:space="preserve">. </w:t>
      </w:r>
      <w:r w:rsidRPr="00EE3B86">
        <w:t>This</w:t>
      </w:r>
      <w:r w:rsidR="00D74EB9" w:rsidRPr="00EE3B86">
        <w:t xml:space="preserve"> reasoning impermissibly bypassed the statutory requirement in s</w:t>
      </w:r>
      <w:r w:rsidR="004025A1">
        <w:t>ection</w:t>
      </w:r>
      <w:r w:rsidR="00D74EB9" w:rsidRPr="00EE3B86">
        <w:t xml:space="preserve"> 2(2) of the </w:t>
      </w:r>
      <w:r w:rsidR="00D74EB9" w:rsidRPr="00DC1F17">
        <w:rPr>
          <w:i/>
          <w:iCs/>
        </w:rPr>
        <w:t xml:space="preserve">ESA </w:t>
      </w:r>
      <w:r w:rsidR="00D74EB9" w:rsidRPr="00EE3B86">
        <w:t>and undermined the legal sufficiency of the conviction.</w:t>
      </w:r>
      <w:r w:rsidRPr="00EE3B86">
        <w:t xml:space="preserve"> </w:t>
      </w:r>
    </w:p>
    <w:p w14:paraId="75DDB7C5" w14:textId="60451DE6" w:rsidR="0BAD0CC0" w:rsidRPr="00C2434F" w:rsidRDefault="00A9271D" w:rsidP="00CA23C5">
      <w:pPr>
        <w:pStyle w:val="WSParaNum"/>
        <w:numPr>
          <w:ilvl w:val="0"/>
          <w:numId w:val="0"/>
        </w:numPr>
        <w:spacing w:line="240" w:lineRule="auto"/>
        <w:ind w:firstLine="720"/>
        <w:jc w:val="both"/>
      </w:pPr>
      <w:r w:rsidRPr="00C2434F">
        <w:rPr>
          <w:i/>
          <w:iCs/>
          <w:sz w:val="20"/>
          <w:szCs w:val="20"/>
        </w:rPr>
        <w:t>OCJ Decision</w:t>
      </w:r>
      <w:r w:rsidRPr="00C2434F">
        <w:rPr>
          <w:sz w:val="20"/>
          <w:szCs w:val="20"/>
        </w:rPr>
        <w:t xml:space="preserve">, </w:t>
      </w:r>
      <w:r w:rsidRPr="00C2434F">
        <w:rPr>
          <w:i/>
          <w:iCs/>
          <w:sz w:val="20"/>
          <w:szCs w:val="20"/>
        </w:rPr>
        <w:t xml:space="preserve">supra </w:t>
      </w:r>
      <w:r w:rsidR="00464AB2" w:rsidRPr="00C2434F">
        <w:rPr>
          <w:sz w:val="20"/>
          <w:szCs w:val="20"/>
        </w:rPr>
        <w:t>note 9</w:t>
      </w:r>
      <w:r w:rsidRPr="00C2434F">
        <w:rPr>
          <w:i/>
          <w:iCs/>
          <w:sz w:val="20"/>
          <w:szCs w:val="20"/>
        </w:rPr>
        <w:t xml:space="preserve"> </w:t>
      </w:r>
      <w:r w:rsidRPr="00C2434F">
        <w:rPr>
          <w:sz w:val="20"/>
          <w:szCs w:val="20"/>
        </w:rPr>
        <w:t>at 8.</w:t>
      </w:r>
    </w:p>
    <w:p w14:paraId="006E92F4" w14:textId="3D07EA63" w:rsidR="00FC29E2" w:rsidRPr="00EE3B86" w:rsidRDefault="0090693D" w:rsidP="00CA23C5">
      <w:pPr>
        <w:pStyle w:val="Heading3"/>
        <w:jc w:val="both"/>
        <w:rPr>
          <w:rFonts w:ascii="Times New Roman" w:hAnsi="Times New Roman"/>
          <w:bCs w:val="0"/>
          <w:sz w:val="24"/>
          <w:szCs w:val="24"/>
        </w:rPr>
      </w:pPr>
      <w:bookmarkStart w:id="11" w:name="_Toc220056495"/>
      <w:r w:rsidRPr="00EE3B86">
        <w:rPr>
          <w:rFonts w:ascii="Times New Roman" w:hAnsi="Times New Roman"/>
          <w:bCs w:val="0"/>
          <w:sz w:val="24"/>
          <w:szCs w:val="24"/>
        </w:rPr>
        <w:t>No Reliable Evidence of Blanding’s Turtle Habitat During the Offence Period</w:t>
      </w:r>
      <w:bookmarkEnd w:id="11"/>
    </w:p>
    <w:p w14:paraId="6876AF25" w14:textId="6B583F7B" w:rsidR="00350BD7" w:rsidRDefault="00A3038C" w:rsidP="00CA23C5">
      <w:pPr>
        <w:pStyle w:val="WSParaNum"/>
        <w:numPr>
          <w:ilvl w:val="0"/>
          <w:numId w:val="1"/>
        </w:numPr>
        <w:jc w:val="both"/>
      </w:pPr>
      <w:r w:rsidRPr="00EE3B86">
        <w:t xml:space="preserve">Justice Mathias </w:t>
      </w:r>
      <w:r w:rsidR="00633887" w:rsidRPr="00EE3B86">
        <w:t xml:space="preserve">was correct </w:t>
      </w:r>
      <w:r w:rsidR="002A307F" w:rsidRPr="00EE3B86">
        <w:t xml:space="preserve">in finding that the Trial Justice improperly relied on sightings of Blanding’s </w:t>
      </w:r>
      <w:r w:rsidR="00B16DC6">
        <w:t>t</w:t>
      </w:r>
      <w:r w:rsidR="002A307F" w:rsidRPr="00EE3B86">
        <w:t xml:space="preserve">urtles occurring before and after the charged offence period. </w:t>
      </w:r>
      <w:r w:rsidR="00633887" w:rsidRPr="00EE3B86">
        <w:t xml:space="preserve">Section 2(2) of the </w:t>
      </w:r>
      <w:r w:rsidR="00633887" w:rsidRPr="00EE3B86">
        <w:rPr>
          <w:i/>
          <w:iCs/>
        </w:rPr>
        <w:t xml:space="preserve">ESA </w:t>
      </w:r>
      <w:r w:rsidR="001D5F8E">
        <w:t xml:space="preserve">is clear and </w:t>
      </w:r>
      <w:r w:rsidR="00633887" w:rsidRPr="00EE3B86">
        <w:t>requires the sighting occur during the time period of the offence. It has been confirmed by the Supreme Court of Canada that it is inappropriate to rely on any speculative inferences.</w:t>
      </w:r>
    </w:p>
    <w:p w14:paraId="1E79A320" w14:textId="154F1B41" w:rsidR="003661D9" w:rsidRDefault="003661D9" w:rsidP="003661D9">
      <w:pPr>
        <w:pStyle w:val="WSParaNum"/>
        <w:numPr>
          <w:ilvl w:val="0"/>
          <w:numId w:val="0"/>
        </w:numPr>
        <w:spacing w:line="240" w:lineRule="auto"/>
        <w:ind w:firstLine="720"/>
        <w:jc w:val="both"/>
      </w:pPr>
      <w:r w:rsidRPr="00350BD7">
        <w:rPr>
          <w:i/>
          <w:iCs/>
          <w:sz w:val="20"/>
          <w:szCs w:val="20"/>
        </w:rPr>
        <w:t>Villaroman</w:t>
      </w:r>
      <w:r w:rsidRPr="00350BD7">
        <w:rPr>
          <w:sz w:val="20"/>
          <w:szCs w:val="20"/>
        </w:rPr>
        <w:t xml:space="preserve">, </w:t>
      </w:r>
      <w:r w:rsidRPr="00350BD7">
        <w:rPr>
          <w:i/>
          <w:iCs/>
          <w:sz w:val="20"/>
          <w:szCs w:val="20"/>
        </w:rPr>
        <w:t xml:space="preserve">supra </w:t>
      </w:r>
      <w:r w:rsidRPr="00350BD7">
        <w:rPr>
          <w:sz w:val="20"/>
          <w:szCs w:val="20"/>
        </w:rPr>
        <w:t>note 27 at para 37.</w:t>
      </w:r>
    </w:p>
    <w:p w14:paraId="110521A1" w14:textId="22A7B48F" w:rsidR="003661D9" w:rsidRPr="003661D9" w:rsidRDefault="003661D9" w:rsidP="003661D9">
      <w:pPr>
        <w:pStyle w:val="Heading3"/>
        <w:jc w:val="both"/>
        <w:rPr>
          <w:rFonts w:ascii="Times New Roman" w:hAnsi="Times New Roman"/>
          <w:bCs w:val="0"/>
          <w:sz w:val="24"/>
          <w:szCs w:val="24"/>
        </w:rPr>
      </w:pPr>
      <w:bookmarkStart w:id="12" w:name="_Toc220056496"/>
      <w:r w:rsidRPr="00EE3B86">
        <w:rPr>
          <w:rFonts w:ascii="Times New Roman" w:hAnsi="Times New Roman"/>
          <w:bCs w:val="0"/>
          <w:sz w:val="24"/>
          <w:szCs w:val="24"/>
        </w:rPr>
        <w:t xml:space="preserve">The Purpose of the </w:t>
      </w:r>
      <w:r w:rsidRPr="00DC1F17">
        <w:rPr>
          <w:rFonts w:ascii="Times New Roman" w:hAnsi="Times New Roman"/>
          <w:bCs w:val="0"/>
          <w:i/>
          <w:iCs/>
          <w:sz w:val="24"/>
          <w:szCs w:val="24"/>
        </w:rPr>
        <w:t>ESA</w:t>
      </w:r>
      <w:r w:rsidRPr="00EE3B86">
        <w:rPr>
          <w:rFonts w:ascii="Times New Roman" w:hAnsi="Times New Roman"/>
          <w:bCs w:val="0"/>
          <w:sz w:val="24"/>
          <w:szCs w:val="24"/>
        </w:rPr>
        <w:t xml:space="preserve"> is Upheld</w:t>
      </w:r>
      <w:bookmarkEnd w:id="12"/>
    </w:p>
    <w:p w14:paraId="6442038C" w14:textId="60C087B8" w:rsidR="009D32EB" w:rsidRPr="00EE3B86" w:rsidRDefault="000C6883" w:rsidP="003661D9">
      <w:pPr>
        <w:pStyle w:val="WSParaNum"/>
        <w:numPr>
          <w:ilvl w:val="0"/>
          <w:numId w:val="1"/>
        </w:numPr>
        <w:jc w:val="both"/>
      </w:pPr>
      <w:r w:rsidRPr="00EE3B86">
        <w:t>The Appe</w:t>
      </w:r>
      <w:r w:rsidR="007305AC" w:rsidRPr="00EE3B86">
        <w:t xml:space="preserve">llant argues that the OCJ erred by failing to rely on turtle sightings because doing so undermines the purpose of the </w:t>
      </w:r>
      <w:r w:rsidR="007305AC" w:rsidRPr="003661D9">
        <w:rPr>
          <w:i/>
          <w:iCs/>
        </w:rPr>
        <w:t>ESA</w:t>
      </w:r>
      <w:r w:rsidR="007305AC" w:rsidRPr="00EE3B86">
        <w:t>, ignores community knowledge</w:t>
      </w:r>
      <w:r w:rsidR="00BF001A" w:rsidRPr="00EE3B86">
        <w:t>, improperly interferes with the Trial Judge's findings, and wrongly dismisses the 2020 sighting as “after-the-fact” evidence.</w:t>
      </w:r>
      <w:r w:rsidR="007305AC" w:rsidRPr="00EE3B86">
        <w:t xml:space="preserve"> </w:t>
      </w:r>
      <w:r w:rsidR="009D32EB" w:rsidRPr="00EE3B86">
        <w:t>These submissions should be rejected for the following reasons.</w:t>
      </w:r>
    </w:p>
    <w:p w14:paraId="4D7A2FCC" w14:textId="1C0E5C51" w:rsidR="009D32EB" w:rsidRPr="00EE3B86" w:rsidRDefault="00CE14FE" w:rsidP="00CA23C5">
      <w:pPr>
        <w:pStyle w:val="WSParaNum"/>
        <w:numPr>
          <w:ilvl w:val="0"/>
          <w:numId w:val="1"/>
        </w:numPr>
        <w:jc w:val="both"/>
      </w:pPr>
      <w:r w:rsidRPr="00EE3B86">
        <w:t>T</w:t>
      </w:r>
      <w:r w:rsidR="009D32EB" w:rsidRPr="00EE3B86">
        <w:t>he purpose</w:t>
      </w:r>
      <w:r w:rsidR="0020126D" w:rsidRPr="00EE3B86">
        <w:t xml:space="preserve"> of the </w:t>
      </w:r>
      <w:r w:rsidR="0020126D" w:rsidRPr="00DC1F17">
        <w:rPr>
          <w:i/>
          <w:iCs/>
        </w:rPr>
        <w:t>ESA</w:t>
      </w:r>
      <w:r w:rsidR="0020126D" w:rsidRPr="00EE3B86">
        <w:t xml:space="preserve"> does not relieve the Crown of </w:t>
      </w:r>
      <w:r w:rsidRPr="00EE3B86">
        <w:t xml:space="preserve">its onus on </w:t>
      </w:r>
      <w:r w:rsidR="0020126D" w:rsidRPr="00EE3B86">
        <w:t>proving</w:t>
      </w:r>
      <w:r w:rsidR="00AA6733" w:rsidRPr="00EE3B86">
        <w:t xml:space="preserve"> habitat at the time of the offence. While the </w:t>
      </w:r>
      <w:r w:rsidR="00AA6733" w:rsidRPr="00DC1F17">
        <w:rPr>
          <w:i/>
          <w:iCs/>
        </w:rPr>
        <w:t>ESA</w:t>
      </w:r>
      <w:r w:rsidR="00AA6733" w:rsidRPr="00EE3B86">
        <w:t xml:space="preserve"> recognizes community knowledge a</w:t>
      </w:r>
      <w:r w:rsidR="00B954EA" w:rsidRPr="00EE3B86">
        <w:t xml:space="preserve">nd calls for a generous interpretation, it protects </w:t>
      </w:r>
      <w:r w:rsidR="00B954EA" w:rsidRPr="00275543">
        <w:t>habitat</w:t>
      </w:r>
      <w:r w:rsidR="00B954EA" w:rsidRPr="00EE3B86">
        <w:t>, not mere species presence in a broader area.</w:t>
      </w:r>
      <w:r w:rsidR="00AA7D4F" w:rsidRPr="00EE3B86">
        <w:t xml:space="preserve"> The O</w:t>
      </w:r>
      <w:r w:rsidR="00526F1A" w:rsidRPr="00EE3B86">
        <w:t>CJ did not reject sightings as a whole</w:t>
      </w:r>
      <w:r w:rsidR="005D5065" w:rsidRPr="00EE3B86">
        <w:t>;</w:t>
      </w:r>
      <w:r w:rsidR="00526F1A" w:rsidRPr="00EE3B86">
        <w:t xml:space="preserve"> it held that sightings alone, occurring years before </w:t>
      </w:r>
      <w:r w:rsidR="00C82AC2" w:rsidRPr="00EE3B86">
        <w:t>or after the offence and not at the impugned site, could not establish dependency under s</w:t>
      </w:r>
      <w:r w:rsidR="00275543">
        <w:t xml:space="preserve">ections </w:t>
      </w:r>
      <w:r w:rsidR="00C82AC2" w:rsidRPr="00EE3B86">
        <w:t xml:space="preserve">2(1) and 2(2) of the </w:t>
      </w:r>
      <w:r w:rsidR="00C82AC2" w:rsidRPr="00275543">
        <w:rPr>
          <w:i/>
          <w:iCs/>
        </w:rPr>
        <w:t>ESA</w:t>
      </w:r>
      <w:r w:rsidR="00C82AC2" w:rsidRPr="00EE3B86">
        <w:t xml:space="preserve">. </w:t>
      </w:r>
    </w:p>
    <w:p w14:paraId="18F6CE81" w14:textId="11BF9515" w:rsidR="218D3C5C" w:rsidRPr="00EE3B86" w:rsidRDefault="00070767" w:rsidP="00CA23C5">
      <w:pPr>
        <w:pStyle w:val="WSParaNum"/>
        <w:numPr>
          <w:ilvl w:val="0"/>
          <w:numId w:val="0"/>
        </w:numPr>
        <w:ind w:left="720"/>
        <w:jc w:val="both"/>
        <w:rPr>
          <w:sz w:val="20"/>
          <w:szCs w:val="20"/>
          <w:highlight w:val="magenta"/>
        </w:rPr>
      </w:pPr>
      <w:r w:rsidRPr="00EE3B86">
        <w:rPr>
          <w:i/>
          <w:iCs/>
          <w:sz w:val="20"/>
          <w:szCs w:val="20"/>
        </w:rPr>
        <w:t>ONCA Decision</w:t>
      </w:r>
      <w:r w:rsidRPr="00EE3B86">
        <w:rPr>
          <w:sz w:val="20"/>
          <w:szCs w:val="20"/>
        </w:rPr>
        <w:t xml:space="preserve">, </w:t>
      </w:r>
      <w:r w:rsidRPr="00EE3B86">
        <w:rPr>
          <w:i/>
          <w:iCs/>
          <w:sz w:val="20"/>
          <w:szCs w:val="20"/>
        </w:rPr>
        <w:t xml:space="preserve">supra </w:t>
      </w:r>
      <w:r w:rsidRPr="00EE3B86">
        <w:rPr>
          <w:sz w:val="20"/>
          <w:szCs w:val="20"/>
        </w:rPr>
        <w:t>note 18 at paras 9-11</w:t>
      </w:r>
      <w:r w:rsidR="0079538E" w:rsidRPr="00EE3B86">
        <w:rPr>
          <w:sz w:val="20"/>
          <w:szCs w:val="20"/>
        </w:rPr>
        <w:t>.</w:t>
      </w:r>
    </w:p>
    <w:p w14:paraId="0824286A" w14:textId="24A82276" w:rsidR="005854C4" w:rsidRPr="00EE3B86" w:rsidRDefault="00CE14FE" w:rsidP="00F21763">
      <w:pPr>
        <w:pStyle w:val="WSParaNum"/>
        <w:numPr>
          <w:ilvl w:val="0"/>
          <w:numId w:val="1"/>
        </w:numPr>
        <w:jc w:val="both"/>
      </w:pPr>
      <w:r w:rsidRPr="00EE3B86">
        <w:t>D</w:t>
      </w:r>
      <w:r w:rsidR="00A74BDB" w:rsidRPr="00EE3B86">
        <w:t xml:space="preserve">eference does not shield legal error. The OCJ did not interfere with credibility findings or </w:t>
      </w:r>
      <w:r w:rsidR="00BA39C6" w:rsidRPr="00EE3B86">
        <w:t>admissibility. It identified an error in treating sightings and expert opinion as determinative proof of habitat</w:t>
      </w:r>
      <w:r w:rsidR="0080279B" w:rsidRPr="00EE3B86">
        <w:t xml:space="preserve"> without evidence that Blanding’s turtles depended on the Grubbed Area during the of</w:t>
      </w:r>
      <w:r w:rsidR="001B3AB7" w:rsidRPr="00EE3B86">
        <w:t>f</w:t>
      </w:r>
      <w:r w:rsidR="0080279B" w:rsidRPr="00EE3B86">
        <w:t>ence period</w:t>
      </w:r>
      <w:r w:rsidR="001B3AB7" w:rsidRPr="00EE3B86">
        <w:t>. App</w:t>
      </w:r>
      <w:r w:rsidR="00FF5912" w:rsidRPr="00EE3B86">
        <w:t xml:space="preserve">ellate intervention was </w:t>
      </w:r>
      <w:r w:rsidR="00A769D2">
        <w:t xml:space="preserve">not only </w:t>
      </w:r>
      <w:r w:rsidR="00FF5912" w:rsidRPr="00EE3B86">
        <w:t>warranted</w:t>
      </w:r>
      <w:r w:rsidR="00EF3B35">
        <w:t>,</w:t>
      </w:r>
      <w:r w:rsidR="00A769D2">
        <w:t xml:space="preserve"> </w:t>
      </w:r>
      <w:r w:rsidR="00EF3B35">
        <w:t xml:space="preserve">but </w:t>
      </w:r>
      <w:r w:rsidR="00A769D2">
        <w:t xml:space="preserve">it was </w:t>
      </w:r>
      <w:r w:rsidR="00EF3B35">
        <w:t xml:space="preserve">also </w:t>
      </w:r>
      <w:r w:rsidR="00A769D2">
        <w:t xml:space="preserve">necessary to uphold the provisions of the </w:t>
      </w:r>
      <w:r w:rsidR="00A769D2">
        <w:rPr>
          <w:i/>
          <w:iCs/>
        </w:rPr>
        <w:t>ESA</w:t>
      </w:r>
      <w:r w:rsidR="00FF5912" w:rsidRPr="00EE3B86">
        <w:t>.</w:t>
      </w:r>
    </w:p>
    <w:p w14:paraId="19810B37" w14:textId="3B982207" w:rsidR="1F896600" w:rsidRPr="00EE3B86" w:rsidRDefault="00F315E8" w:rsidP="00F21763">
      <w:pPr>
        <w:pStyle w:val="WSParaNum"/>
        <w:numPr>
          <w:ilvl w:val="0"/>
          <w:numId w:val="0"/>
        </w:numPr>
        <w:spacing w:line="240" w:lineRule="auto"/>
        <w:ind w:left="720"/>
        <w:jc w:val="both"/>
        <w:rPr>
          <w:sz w:val="22"/>
          <w:szCs w:val="22"/>
          <w:highlight w:val="magenta"/>
        </w:rPr>
      </w:pPr>
      <w:r w:rsidRPr="00EE3B86">
        <w:rPr>
          <w:i/>
          <w:iCs/>
          <w:sz w:val="20"/>
          <w:szCs w:val="20"/>
        </w:rPr>
        <w:t>ONCA Decision</w:t>
      </w:r>
      <w:r w:rsidRPr="00EE3B86">
        <w:rPr>
          <w:sz w:val="20"/>
          <w:szCs w:val="20"/>
        </w:rPr>
        <w:t xml:space="preserve">, </w:t>
      </w:r>
      <w:r w:rsidRPr="00EE3B86">
        <w:rPr>
          <w:i/>
          <w:iCs/>
          <w:sz w:val="20"/>
          <w:szCs w:val="20"/>
        </w:rPr>
        <w:t xml:space="preserve">supra </w:t>
      </w:r>
      <w:r w:rsidRPr="00EE3B86">
        <w:rPr>
          <w:sz w:val="20"/>
          <w:szCs w:val="20"/>
        </w:rPr>
        <w:t>note 18 at paras 24-27.</w:t>
      </w:r>
    </w:p>
    <w:p w14:paraId="76045C60" w14:textId="77777777" w:rsidR="00E91719" w:rsidRDefault="00BF5F1D" w:rsidP="00F21763">
      <w:pPr>
        <w:pStyle w:val="ListParagraph"/>
        <w:numPr>
          <w:ilvl w:val="1"/>
          <w:numId w:val="1"/>
        </w:numPr>
        <w:spacing w:line="360" w:lineRule="auto"/>
        <w:jc w:val="both"/>
        <w:rPr>
          <w:lang w:val="en-CA"/>
        </w:rPr>
      </w:pPr>
      <w:r w:rsidRPr="00EE3B86">
        <w:rPr>
          <w:lang w:val="en-CA"/>
        </w:rPr>
        <w:t xml:space="preserve">The 2020 sighting was not excluded as inadmissible; instead, it was given the appropriate limited weight. Section 2(2) of the </w:t>
      </w:r>
      <w:r w:rsidRPr="00760E09">
        <w:rPr>
          <w:i/>
          <w:iCs/>
          <w:lang w:val="en-CA"/>
        </w:rPr>
        <w:t>ESA</w:t>
      </w:r>
      <w:r w:rsidRPr="00EE3B86">
        <w:rPr>
          <w:lang w:val="en-CA"/>
        </w:rPr>
        <w:t xml:space="preserve"> requires present dependency, </w:t>
      </w:r>
      <w:r w:rsidRPr="00EE3B86">
        <w:rPr>
          <w:lang w:val="en-CA"/>
        </w:rPr>
        <w:lastRenderedPageBreak/>
        <w:t xml:space="preserve">not </w:t>
      </w:r>
      <w:r w:rsidR="00A31BA1" w:rsidRPr="00EE3B86">
        <w:rPr>
          <w:lang w:val="en-CA"/>
        </w:rPr>
        <w:t>retrospective</w:t>
      </w:r>
      <w:r w:rsidR="00924D6A" w:rsidRPr="00EE3B86">
        <w:rPr>
          <w:lang w:val="en-CA"/>
        </w:rPr>
        <w:t xml:space="preserve"> </w:t>
      </w:r>
      <w:r w:rsidRPr="00EE3B86">
        <w:rPr>
          <w:lang w:val="en-CA"/>
        </w:rPr>
        <w:t xml:space="preserve">inference. A sighting two years after the offence, at Circle Lake rather than the actual Site, does not establish habitat. </w:t>
      </w:r>
    </w:p>
    <w:p w14:paraId="6F4CD7C9" w14:textId="77777777" w:rsidR="00E91719" w:rsidRDefault="000A361C" w:rsidP="00DD428E">
      <w:pPr>
        <w:ind w:firstLine="720"/>
        <w:jc w:val="both"/>
        <w:rPr>
          <w:sz w:val="20"/>
          <w:szCs w:val="20"/>
        </w:rPr>
      </w:pPr>
      <w:r w:rsidRPr="00E91719">
        <w:rPr>
          <w:i/>
          <w:iCs/>
          <w:sz w:val="20"/>
          <w:szCs w:val="20"/>
        </w:rPr>
        <w:t>OCJ Decision</w:t>
      </w:r>
      <w:r w:rsidRPr="00E91719">
        <w:rPr>
          <w:sz w:val="20"/>
          <w:szCs w:val="20"/>
        </w:rPr>
        <w:t xml:space="preserve">, </w:t>
      </w:r>
      <w:r w:rsidRPr="00E91719">
        <w:rPr>
          <w:i/>
          <w:iCs/>
          <w:sz w:val="20"/>
          <w:szCs w:val="20"/>
        </w:rPr>
        <w:t xml:space="preserve">supra </w:t>
      </w:r>
      <w:r w:rsidRPr="00E91719">
        <w:rPr>
          <w:sz w:val="20"/>
          <w:szCs w:val="20"/>
        </w:rPr>
        <w:t>note 9</w:t>
      </w:r>
      <w:r w:rsidRPr="00E91719">
        <w:rPr>
          <w:i/>
          <w:iCs/>
          <w:sz w:val="20"/>
          <w:szCs w:val="20"/>
        </w:rPr>
        <w:t xml:space="preserve"> </w:t>
      </w:r>
      <w:r w:rsidRPr="00E91719">
        <w:rPr>
          <w:sz w:val="20"/>
          <w:szCs w:val="20"/>
        </w:rPr>
        <w:t>at 8-10.</w:t>
      </w:r>
    </w:p>
    <w:p w14:paraId="62BD54BA" w14:textId="5148C225" w:rsidR="30DAE643" w:rsidRPr="00E91719" w:rsidRDefault="00F315E8" w:rsidP="00DD428E">
      <w:pPr>
        <w:ind w:firstLine="720"/>
        <w:jc w:val="both"/>
        <w:rPr>
          <w:lang w:val="en-CA"/>
        </w:rPr>
      </w:pPr>
      <w:r w:rsidRPr="00E91719">
        <w:rPr>
          <w:i/>
          <w:iCs/>
          <w:sz w:val="20"/>
          <w:szCs w:val="20"/>
        </w:rPr>
        <w:t>ONCA Decision</w:t>
      </w:r>
      <w:r w:rsidRPr="00E91719">
        <w:rPr>
          <w:sz w:val="20"/>
          <w:szCs w:val="20"/>
        </w:rPr>
        <w:t xml:space="preserve">, </w:t>
      </w:r>
      <w:r w:rsidRPr="00E91719">
        <w:rPr>
          <w:i/>
          <w:iCs/>
          <w:sz w:val="20"/>
          <w:szCs w:val="20"/>
        </w:rPr>
        <w:t xml:space="preserve">supra </w:t>
      </w:r>
      <w:r w:rsidRPr="00E91719">
        <w:rPr>
          <w:sz w:val="20"/>
          <w:szCs w:val="20"/>
        </w:rPr>
        <w:t>note 18 at paras 9-11</w:t>
      </w:r>
    </w:p>
    <w:p w14:paraId="47A27A0B" w14:textId="65D61CEF" w:rsidR="00D678D8" w:rsidRPr="00EE3B86" w:rsidRDefault="0021563C" w:rsidP="00DD428E">
      <w:pPr>
        <w:pStyle w:val="Heading2"/>
        <w:tabs>
          <w:tab w:val="num" w:pos="720"/>
        </w:tabs>
        <w:jc w:val="both"/>
        <w:rPr>
          <w:rFonts w:ascii="Times New Roman" w:hAnsi="Times New Roman"/>
          <w:i w:val="0"/>
          <w:sz w:val="24"/>
          <w:szCs w:val="24"/>
        </w:rPr>
      </w:pPr>
      <w:bookmarkStart w:id="13" w:name="_Toc220056497"/>
      <w:r w:rsidRPr="00EE3B86">
        <w:rPr>
          <w:rFonts w:ascii="Times New Roman" w:hAnsi="Times New Roman"/>
          <w:i w:val="0"/>
          <w:iCs w:val="0"/>
          <w:sz w:val="24"/>
          <w:szCs w:val="24"/>
        </w:rPr>
        <w:t>Issue 2:</w:t>
      </w:r>
      <w:r>
        <w:rPr>
          <w:rFonts w:ascii="Times New Roman" w:hAnsi="Times New Roman"/>
          <w:sz w:val="24"/>
          <w:szCs w:val="24"/>
        </w:rPr>
        <w:t xml:space="preserve"> </w:t>
      </w:r>
      <w:r w:rsidRPr="00EE3B86">
        <w:rPr>
          <w:rFonts w:ascii="Times New Roman" w:hAnsi="Times New Roman"/>
          <w:i w:val="0"/>
          <w:sz w:val="24"/>
          <w:szCs w:val="24"/>
        </w:rPr>
        <w:t xml:space="preserve">“General Habitat Description for the Blanding’s Turtle” is </w:t>
      </w:r>
      <w:r w:rsidR="00C535F1">
        <w:rPr>
          <w:rFonts w:ascii="Times New Roman" w:hAnsi="Times New Roman"/>
          <w:i w:val="0"/>
          <w:sz w:val="24"/>
          <w:szCs w:val="24"/>
        </w:rPr>
        <w:t>N</w:t>
      </w:r>
      <w:r w:rsidRPr="0021563C">
        <w:rPr>
          <w:rFonts w:ascii="Times New Roman" w:hAnsi="Times New Roman"/>
          <w:i w:val="0"/>
          <w:sz w:val="24"/>
          <w:szCs w:val="24"/>
        </w:rPr>
        <w:t>ot</w:t>
      </w:r>
      <w:r w:rsidRPr="00EE3B86">
        <w:rPr>
          <w:rFonts w:ascii="Times New Roman" w:hAnsi="Times New Roman"/>
          <w:i w:val="0"/>
          <w:sz w:val="24"/>
          <w:szCs w:val="24"/>
        </w:rPr>
        <w:t xml:space="preserve"> a </w:t>
      </w:r>
      <w:r w:rsidR="00C535F1">
        <w:rPr>
          <w:rFonts w:ascii="Times New Roman" w:hAnsi="Times New Roman"/>
          <w:i w:val="0"/>
          <w:sz w:val="24"/>
          <w:szCs w:val="24"/>
        </w:rPr>
        <w:t>L</w:t>
      </w:r>
      <w:r w:rsidRPr="0021563C">
        <w:rPr>
          <w:rFonts w:ascii="Times New Roman" w:hAnsi="Times New Roman"/>
          <w:i w:val="0"/>
          <w:sz w:val="24"/>
          <w:szCs w:val="24"/>
        </w:rPr>
        <w:t xml:space="preserve">egal </w:t>
      </w:r>
      <w:r w:rsidR="00C535F1">
        <w:rPr>
          <w:rFonts w:ascii="Times New Roman" w:hAnsi="Times New Roman"/>
          <w:i w:val="0"/>
          <w:sz w:val="24"/>
          <w:szCs w:val="24"/>
        </w:rPr>
        <w:t>I</w:t>
      </w:r>
      <w:r w:rsidRPr="0021563C">
        <w:rPr>
          <w:rFonts w:ascii="Times New Roman" w:hAnsi="Times New Roman"/>
          <w:i w:val="0"/>
          <w:sz w:val="24"/>
          <w:szCs w:val="24"/>
        </w:rPr>
        <w:t>nstrument</w:t>
      </w:r>
      <w:bookmarkEnd w:id="13"/>
      <w:r w:rsidR="00CE14FE" w:rsidRPr="00EE3B86">
        <w:rPr>
          <w:rFonts w:ascii="Times New Roman" w:hAnsi="Times New Roman"/>
          <w:i w:val="0"/>
          <w:sz w:val="24"/>
          <w:szCs w:val="24"/>
        </w:rPr>
        <w:t xml:space="preserve"> </w:t>
      </w:r>
    </w:p>
    <w:p w14:paraId="42D4F530" w14:textId="77777777" w:rsidR="00AA2570" w:rsidRDefault="001A11CB" w:rsidP="00F21763">
      <w:pPr>
        <w:pStyle w:val="WSParaNum"/>
        <w:numPr>
          <w:ilvl w:val="0"/>
          <w:numId w:val="1"/>
        </w:numPr>
        <w:spacing w:before="0" w:after="0"/>
        <w:jc w:val="both"/>
      </w:pPr>
      <w:r w:rsidRPr="00EE3B86">
        <w:t xml:space="preserve">The OCJ </w:t>
      </w:r>
      <w:r w:rsidR="00CE14FE" w:rsidRPr="00EE3B86">
        <w:t xml:space="preserve">was correct </w:t>
      </w:r>
      <w:r w:rsidRPr="00EE3B86">
        <w:t xml:space="preserve">in determining </w:t>
      </w:r>
      <w:r w:rsidR="00D303C8" w:rsidRPr="00EE3B86">
        <w:t>that it was a</w:t>
      </w:r>
      <w:r w:rsidR="00215273" w:rsidRPr="00EE3B86">
        <w:t>n</w:t>
      </w:r>
      <w:r w:rsidR="00D303C8" w:rsidRPr="00EE3B86">
        <w:t xml:space="preserve"> error for the Trial Justice</w:t>
      </w:r>
      <w:r w:rsidR="00215273" w:rsidRPr="00EE3B86">
        <w:t xml:space="preserve"> to rely on the </w:t>
      </w:r>
      <w:r w:rsidR="00CA1FE5">
        <w:t>GHD</w:t>
      </w:r>
      <w:r w:rsidR="00215273" w:rsidRPr="00EE3B86">
        <w:t xml:space="preserve"> document because that document “is not a legal instrument”, nor</w:t>
      </w:r>
      <w:r w:rsidR="00B9402B" w:rsidRPr="00EE3B86">
        <w:t xml:space="preserve"> “a legal document”.</w:t>
      </w:r>
      <w:r w:rsidR="00B423E2" w:rsidRPr="00EE3B86">
        <w:t xml:space="preserve"> The Crown’s reliance on the GHD improperly elevates a technical guidance document into a source of binding legal standards.</w:t>
      </w:r>
    </w:p>
    <w:p w14:paraId="79AB221E" w14:textId="76F8D374" w:rsidR="00D55840" w:rsidRPr="00AA2570" w:rsidRDefault="00D55840" w:rsidP="00DD428E">
      <w:pPr>
        <w:pStyle w:val="WSParaNum"/>
        <w:numPr>
          <w:ilvl w:val="0"/>
          <w:numId w:val="0"/>
        </w:numPr>
        <w:spacing w:before="0" w:after="0" w:line="240" w:lineRule="auto"/>
        <w:ind w:firstLine="720"/>
        <w:jc w:val="both"/>
      </w:pPr>
      <w:r w:rsidRPr="00AA2570">
        <w:rPr>
          <w:i/>
          <w:iCs/>
          <w:sz w:val="20"/>
          <w:szCs w:val="20"/>
        </w:rPr>
        <w:t>OCJ Decision</w:t>
      </w:r>
      <w:r w:rsidRPr="00AA2570">
        <w:rPr>
          <w:sz w:val="20"/>
          <w:szCs w:val="20"/>
        </w:rPr>
        <w:t xml:space="preserve">, </w:t>
      </w:r>
      <w:r w:rsidRPr="00AA2570">
        <w:rPr>
          <w:i/>
          <w:iCs/>
          <w:sz w:val="20"/>
          <w:szCs w:val="20"/>
        </w:rPr>
        <w:t xml:space="preserve">supra </w:t>
      </w:r>
      <w:r w:rsidRPr="00AA2570">
        <w:rPr>
          <w:sz w:val="20"/>
          <w:szCs w:val="20"/>
        </w:rPr>
        <w:t>note 9</w:t>
      </w:r>
      <w:r w:rsidRPr="00AA2570">
        <w:rPr>
          <w:i/>
          <w:iCs/>
          <w:sz w:val="20"/>
          <w:szCs w:val="20"/>
        </w:rPr>
        <w:t xml:space="preserve"> </w:t>
      </w:r>
      <w:r w:rsidRPr="00AA2570">
        <w:rPr>
          <w:sz w:val="20"/>
          <w:szCs w:val="20"/>
        </w:rPr>
        <w:t>at 8.</w:t>
      </w:r>
    </w:p>
    <w:p w14:paraId="4E36D8B1" w14:textId="07010949" w:rsidR="0007098C" w:rsidRPr="00AA2570" w:rsidRDefault="00D55840" w:rsidP="003E1CAE">
      <w:pPr>
        <w:pStyle w:val="ListParagraph"/>
        <w:spacing w:after="240"/>
        <w:jc w:val="both"/>
        <w:rPr>
          <w:sz w:val="22"/>
          <w:szCs w:val="22"/>
          <w:highlight w:val="magenta"/>
          <w:lang w:val="en-CA"/>
        </w:rPr>
      </w:pPr>
      <w:r w:rsidRPr="00EE3B86">
        <w:rPr>
          <w:i/>
          <w:iCs/>
          <w:sz w:val="20"/>
          <w:szCs w:val="20"/>
        </w:rPr>
        <w:t>ONCA Decision</w:t>
      </w:r>
      <w:r w:rsidRPr="00EE3B86">
        <w:rPr>
          <w:sz w:val="20"/>
          <w:szCs w:val="20"/>
        </w:rPr>
        <w:t xml:space="preserve">, </w:t>
      </w:r>
      <w:r w:rsidRPr="00EE3B86">
        <w:rPr>
          <w:i/>
          <w:iCs/>
          <w:sz w:val="20"/>
          <w:szCs w:val="20"/>
        </w:rPr>
        <w:t xml:space="preserve">supra </w:t>
      </w:r>
      <w:r w:rsidRPr="00EE3B86">
        <w:rPr>
          <w:sz w:val="20"/>
          <w:szCs w:val="20"/>
        </w:rPr>
        <w:t>note 18 at para 44.</w:t>
      </w:r>
    </w:p>
    <w:p w14:paraId="5E5E77CD" w14:textId="2A3E93BE" w:rsidR="0007098C" w:rsidRPr="00EE3B86" w:rsidRDefault="00CE14FE" w:rsidP="00DD428E">
      <w:pPr>
        <w:pStyle w:val="WSParaNum"/>
        <w:numPr>
          <w:ilvl w:val="0"/>
          <w:numId w:val="1"/>
        </w:numPr>
        <w:spacing w:before="0" w:after="0" w:line="240" w:lineRule="auto"/>
        <w:jc w:val="both"/>
      </w:pPr>
      <w:r w:rsidRPr="00EE3B86">
        <w:t>The conclusion of the OCJ is correct as</w:t>
      </w:r>
      <w:r w:rsidR="00252E29" w:rsidRPr="00EE3B86">
        <w:t>:</w:t>
      </w:r>
    </w:p>
    <w:p w14:paraId="64C46BE3" w14:textId="17E5083A" w:rsidR="007C0575" w:rsidRPr="00EE3B86" w:rsidRDefault="00677540" w:rsidP="00F21763">
      <w:pPr>
        <w:pStyle w:val="WSParaNum"/>
        <w:numPr>
          <w:ilvl w:val="1"/>
          <w:numId w:val="1"/>
        </w:numPr>
        <w:spacing w:before="0" w:after="0"/>
        <w:jc w:val="both"/>
      </w:pPr>
      <w:r w:rsidRPr="00EE3B86">
        <w:t xml:space="preserve">The Trial Justice improperly substituted </w:t>
      </w:r>
      <w:r w:rsidR="00611334" w:rsidRPr="00EE3B86">
        <w:t xml:space="preserve">the </w:t>
      </w:r>
      <w:r w:rsidRPr="00EE3B86">
        <w:t>general guidance</w:t>
      </w:r>
      <w:r w:rsidR="00611334" w:rsidRPr="00EE3B86">
        <w:t xml:space="preserve"> of the GHD</w:t>
      </w:r>
      <w:r w:rsidRPr="00EE3B86">
        <w:t xml:space="preserve"> </w:t>
      </w:r>
      <w:r w:rsidR="00F523AC" w:rsidRPr="00EE3B86">
        <w:t>for site-specific proof</w:t>
      </w:r>
      <w:r w:rsidR="003411D7" w:rsidRPr="00EE3B86">
        <w:t>;</w:t>
      </w:r>
    </w:p>
    <w:p w14:paraId="28841648" w14:textId="1CE1CC49" w:rsidR="00B1499C" w:rsidRPr="00EE3B86" w:rsidRDefault="00D72B88" w:rsidP="00F21763">
      <w:pPr>
        <w:pStyle w:val="WSParaNum"/>
        <w:numPr>
          <w:ilvl w:val="1"/>
          <w:numId w:val="1"/>
        </w:numPr>
        <w:spacing w:before="0" w:after="0"/>
        <w:jc w:val="both"/>
      </w:pPr>
      <w:r w:rsidRPr="00EE3B86">
        <w:t>The OCJ correctly rejected an overbroad approach to “habitat”</w:t>
      </w:r>
      <w:r w:rsidR="001C0147" w:rsidRPr="00EE3B86">
        <w:t>; and</w:t>
      </w:r>
    </w:p>
    <w:p w14:paraId="5A8C87C2" w14:textId="523ED149" w:rsidR="001C0147" w:rsidRPr="00EE3B86" w:rsidRDefault="00CE14FE" w:rsidP="00F21763">
      <w:pPr>
        <w:pStyle w:val="WSParaNum"/>
        <w:numPr>
          <w:ilvl w:val="1"/>
          <w:numId w:val="1"/>
        </w:numPr>
        <w:spacing w:before="0" w:after="0"/>
        <w:jc w:val="both"/>
      </w:pPr>
      <w:r w:rsidRPr="00EE3B86">
        <w:t>T</w:t>
      </w:r>
      <w:r w:rsidR="00791300" w:rsidRPr="00EE3B86">
        <w:t>he OCJ did not exclude the GHD entirely</w:t>
      </w:r>
      <w:r w:rsidR="001618C9" w:rsidRPr="00EE3B86">
        <w:t>;</w:t>
      </w:r>
      <w:r w:rsidRPr="00EE3B86">
        <w:t xml:space="preserve"> it confirmed that </w:t>
      </w:r>
      <w:r w:rsidR="00791300" w:rsidRPr="00EE3B86">
        <w:t xml:space="preserve">even if the </w:t>
      </w:r>
      <w:r w:rsidRPr="00EE3B86">
        <w:t>GHD</w:t>
      </w:r>
      <w:r w:rsidR="00791300" w:rsidRPr="00EE3B86">
        <w:t xml:space="preserve"> </w:t>
      </w:r>
      <w:r w:rsidR="001618C9" w:rsidRPr="00EE3B86">
        <w:t xml:space="preserve">was </w:t>
      </w:r>
      <w:r w:rsidRPr="00EE3B86">
        <w:t>applied</w:t>
      </w:r>
      <w:r w:rsidR="001618C9" w:rsidRPr="00EE3B86">
        <w:t>,</w:t>
      </w:r>
      <w:r w:rsidRPr="00EE3B86">
        <w:t xml:space="preserve"> it</w:t>
      </w:r>
      <w:r w:rsidR="00F21763">
        <w:t xml:space="preserve"> </w:t>
      </w:r>
      <w:r w:rsidR="00B30B94" w:rsidRPr="00EE3B86">
        <w:t xml:space="preserve">would not </w:t>
      </w:r>
      <w:r w:rsidR="00EA7307" w:rsidRPr="00EE3B86">
        <w:t xml:space="preserve">have </w:t>
      </w:r>
      <w:r w:rsidR="00B30B94" w:rsidRPr="00EE3B86">
        <w:t>affect</w:t>
      </w:r>
      <w:r w:rsidR="00EA7307" w:rsidRPr="00EE3B86">
        <w:t>ed</w:t>
      </w:r>
      <w:r w:rsidR="00B30B94" w:rsidRPr="00EE3B86">
        <w:t xml:space="preserve"> the decision</w:t>
      </w:r>
      <w:r w:rsidR="00EA7307" w:rsidRPr="00EE3B86">
        <w:t>.</w:t>
      </w:r>
    </w:p>
    <w:p w14:paraId="06C732E3" w14:textId="5B4B7AE2" w:rsidR="008C63D1" w:rsidRPr="00EE3B86" w:rsidRDefault="00CE14FE" w:rsidP="00F21763">
      <w:pPr>
        <w:pStyle w:val="Heading3"/>
        <w:spacing w:line="360" w:lineRule="auto"/>
        <w:jc w:val="both"/>
        <w:rPr>
          <w:rFonts w:ascii="Times New Roman" w:hAnsi="Times New Roman"/>
          <w:bCs w:val="0"/>
          <w:sz w:val="24"/>
          <w:szCs w:val="24"/>
        </w:rPr>
      </w:pPr>
      <w:bookmarkStart w:id="14" w:name="_Toc220056498"/>
      <w:r w:rsidRPr="00EE3B86">
        <w:rPr>
          <w:rFonts w:ascii="Times New Roman" w:hAnsi="Times New Roman"/>
          <w:bCs w:val="0"/>
          <w:sz w:val="24"/>
          <w:szCs w:val="24"/>
        </w:rPr>
        <w:t>G</w:t>
      </w:r>
      <w:r w:rsidR="00404E5B" w:rsidRPr="00EE3B86">
        <w:rPr>
          <w:rFonts w:ascii="Times New Roman" w:hAnsi="Times New Roman"/>
          <w:bCs w:val="0"/>
          <w:sz w:val="24"/>
          <w:szCs w:val="24"/>
        </w:rPr>
        <w:t xml:space="preserve">eneral </w:t>
      </w:r>
      <w:r w:rsidRPr="00EE3B86">
        <w:rPr>
          <w:rFonts w:ascii="Times New Roman" w:hAnsi="Times New Roman"/>
          <w:bCs w:val="0"/>
          <w:sz w:val="24"/>
          <w:szCs w:val="24"/>
        </w:rPr>
        <w:t>G</w:t>
      </w:r>
      <w:r w:rsidR="00404E5B" w:rsidRPr="00EE3B86">
        <w:rPr>
          <w:rFonts w:ascii="Times New Roman" w:hAnsi="Times New Roman"/>
          <w:bCs w:val="0"/>
          <w:sz w:val="24"/>
          <w:szCs w:val="24"/>
        </w:rPr>
        <w:t xml:space="preserve">uidance of the GHD </w:t>
      </w:r>
      <w:r w:rsidR="009A76BD">
        <w:rPr>
          <w:rFonts w:ascii="Times New Roman" w:hAnsi="Times New Roman"/>
          <w:bCs w:val="0"/>
          <w:sz w:val="24"/>
          <w:szCs w:val="24"/>
        </w:rPr>
        <w:t>I</w:t>
      </w:r>
      <w:r>
        <w:rPr>
          <w:rFonts w:ascii="Times New Roman" w:hAnsi="Times New Roman"/>
          <w:bCs w:val="0"/>
          <w:sz w:val="24"/>
          <w:szCs w:val="24"/>
        </w:rPr>
        <w:t xml:space="preserve">s </w:t>
      </w:r>
      <w:r w:rsidR="009A76BD">
        <w:rPr>
          <w:rFonts w:ascii="Times New Roman" w:hAnsi="Times New Roman"/>
          <w:bCs w:val="0"/>
          <w:sz w:val="24"/>
          <w:szCs w:val="24"/>
        </w:rPr>
        <w:t>N</w:t>
      </w:r>
      <w:r w:rsidR="002A59CF">
        <w:rPr>
          <w:rFonts w:ascii="Times New Roman" w:hAnsi="Times New Roman"/>
          <w:bCs w:val="0"/>
          <w:sz w:val="24"/>
          <w:szCs w:val="24"/>
        </w:rPr>
        <w:t xml:space="preserve">ot </w:t>
      </w:r>
      <w:r w:rsidR="009A76BD">
        <w:rPr>
          <w:rFonts w:ascii="Times New Roman" w:hAnsi="Times New Roman"/>
          <w:bCs w:val="0"/>
          <w:sz w:val="24"/>
          <w:szCs w:val="24"/>
        </w:rPr>
        <w:t>S</w:t>
      </w:r>
      <w:r w:rsidR="002A59CF" w:rsidRPr="00404E5B">
        <w:rPr>
          <w:rFonts w:ascii="Times New Roman" w:hAnsi="Times New Roman"/>
          <w:bCs w:val="0"/>
          <w:sz w:val="24"/>
          <w:szCs w:val="24"/>
        </w:rPr>
        <w:t>ite</w:t>
      </w:r>
      <w:r w:rsidR="00404E5B" w:rsidRPr="00404E5B">
        <w:rPr>
          <w:rFonts w:ascii="Times New Roman" w:hAnsi="Times New Roman"/>
          <w:bCs w:val="0"/>
          <w:sz w:val="24"/>
          <w:szCs w:val="24"/>
        </w:rPr>
        <w:t>-</w:t>
      </w:r>
      <w:r w:rsidR="009A76BD">
        <w:rPr>
          <w:rFonts w:ascii="Times New Roman" w:hAnsi="Times New Roman"/>
          <w:bCs w:val="0"/>
          <w:sz w:val="24"/>
          <w:szCs w:val="24"/>
        </w:rPr>
        <w:t>S</w:t>
      </w:r>
      <w:r w:rsidR="00404E5B" w:rsidRPr="00404E5B">
        <w:rPr>
          <w:rFonts w:ascii="Times New Roman" w:hAnsi="Times New Roman"/>
          <w:bCs w:val="0"/>
          <w:sz w:val="24"/>
          <w:szCs w:val="24"/>
        </w:rPr>
        <w:t xml:space="preserve">pecific </w:t>
      </w:r>
      <w:r w:rsidR="009A76BD">
        <w:rPr>
          <w:rFonts w:ascii="Times New Roman" w:hAnsi="Times New Roman"/>
          <w:bCs w:val="0"/>
          <w:sz w:val="24"/>
          <w:szCs w:val="24"/>
        </w:rPr>
        <w:t>Pr</w:t>
      </w:r>
      <w:r w:rsidR="00404E5B" w:rsidRPr="00404E5B">
        <w:rPr>
          <w:rFonts w:ascii="Times New Roman" w:hAnsi="Times New Roman"/>
          <w:bCs w:val="0"/>
          <w:sz w:val="24"/>
          <w:szCs w:val="24"/>
        </w:rPr>
        <w:t>oof</w:t>
      </w:r>
      <w:bookmarkEnd w:id="14"/>
    </w:p>
    <w:p w14:paraId="22F7D8F4" w14:textId="23A2CB00" w:rsidR="008C63D1" w:rsidRPr="00EE3B86" w:rsidRDefault="00B91A5E" w:rsidP="00F21763">
      <w:pPr>
        <w:pStyle w:val="WSParaNum"/>
        <w:numPr>
          <w:ilvl w:val="0"/>
          <w:numId w:val="1"/>
        </w:numPr>
        <w:spacing w:before="0" w:after="0"/>
        <w:jc w:val="both"/>
      </w:pPr>
      <w:r w:rsidRPr="00EE3B86">
        <w:t xml:space="preserve">The OCJ </w:t>
      </w:r>
      <w:r w:rsidR="00CE14FE" w:rsidRPr="00EE3B86">
        <w:t xml:space="preserve">was correct in confirming that </w:t>
      </w:r>
      <w:r w:rsidR="003A5335" w:rsidRPr="00EE3B86">
        <w:t>the Trial Justice relied on the GHD in lieu of evidence establishing</w:t>
      </w:r>
      <w:r w:rsidR="006A4709" w:rsidRPr="00EE3B86">
        <w:t xml:space="preserve"> that the specific site:</w:t>
      </w:r>
    </w:p>
    <w:p w14:paraId="0AE9E26A" w14:textId="2297500C" w:rsidR="00F21763" w:rsidRDefault="006A4709" w:rsidP="00F21763">
      <w:pPr>
        <w:pStyle w:val="WSParaNum"/>
        <w:numPr>
          <w:ilvl w:val="1"/>
          <w:numId w:val="1"/>
        </w:numPr>
        <w:spacing w:before="0" w:after="0"/>
        <w:jc w:val="both"/>
      </w:pPr>
      <w:r w:rsidRPr="00EE3B86">
        <w:t xml:space="preserve">Was actually used by Blanding’s </w:t>
      </w:r>
      <w:r w:rsidR="00FD3DE1">
        <w:t>T</w:t>
      </w:r>
      <w:r w:rsidR="00FD3DE1" w:rsidRPr="00EE3B86">
        <w:t>urtles</w:t>
      </w:r>
      <w:r w:rsidRPr="00EE3B86">
        <w:t>; or</w:t>
      </w:r>
    </w:p>
    <w:p w14:paraId="2B95F767" w14:textId="5ECCEA70" w:rsidR="006A4709" w:rsidRPr="00EE3B86" w:rsidRDefault="006A4709" w:rsidP="00F21763">
      <w:pPr>
        <w:pStyle w:val="WSParaNum"/>
        <w:numPr>
          <w:ilvl w:val="1"/>
          <w:numId w:val="1"/>
        </w:numPr>
        <w:spacing w:before="0" w:after="0"/>
        <w:jc w:val="both"/>
      </w:pPr>
      <w:r w:rsidRPr="00EE3B86">
        <w:t>Supported a life process such as</w:t>
      </w:r>
      <w:r w:rsidR="00A252D2" w:rsidRPr="00EE3B86">
        <w:t xml:space="preserve"> reproduction, rearing, migration, or thermoregulation during the offence period.</w:t>
      </w:r>
    </w:p>
    <w:p w14:paraId="60965117" w14:textId="2F010892" w:rsidR="2FF8C5A8" w:rsidRPr="00EE3B86" w:rsidRDefault="00306D8A" w:rsidP="00F21763">
      <w:pPr>
        <w:pStyle w:val="ListParagraph"/>
        <w:jc w:val="both"/>
        <w:rPr>
          <w:sz w:val="22"/>
          <w:szCs w:val="22"/>
          <w:highlight w:val="magenta"/>
          <w:lang w:val="en-CA"/>
        </w:rPr>
      </w:pPr>
      <w:r w:rsidRPr="00EE3B86">
        <w:rPr>
          <w:i/>
          <w:iCs/>
          <w:sz w:val="20"/>
          <w:szCs w:val="20"/>
        </w:rPr>
        <w:t>ONCA Decision</w:t>
      </w:r>
      <w:r w:rsidRPr="00EE3B86">
        <w:rPr>
          <w:sz w:val="20"/>
          <w:szCs w:val="20"/>
        </w:rPr>
        <w:t xml:space="preserve">, </w:t>
      </w:r>
      <w:r w:rsidRPr="00EE3B86">
        <w:rPr>
          <w:i/>
          <w:iCs/>
          <w:sz w:val="20"/>
          <w:szCs w:val="20"/>
        </w:rPr>
        <w:t xml:space="preserve">supra </w:t>
      </w:r>
      <w:r w:rsidRPr="00EE3B86">
        <w:rPr>
          <w:sz w:val="20"/>
          <w:szCs w:val="20"/>
        </w:rPr>
        <w:t>note 18 at paras 6, 9-11.</w:t>
      </w:r>
    </w:p>
    <w:p w14:paraId="1094356C" w14:textId="4F2C318F" w:rsidR="00B81A87" w:rsidRDefault="005A765B" w:rsidP="00D11C4F">
      <w:pPr>
        <w:pStyle w:val="WSParaNum"/>
        <w:numPr>
          <w:ilvl w:val="0"/>
          <w:numId w:val="1"/>
        </w:numPr>
        <w:jc w:val="both"/>
      </w:pPr>
      <w:r w:rsidRPr="00EE3B86">
        <w:t>Habitat</w:t>
      </w:r>
      <w:r w:rsidR="006F18F9" w:rsidRPr="00EE3B86">
        <w:t xml:space="preserve"> under s</w:t>
      </w:r>
      <w:r w:rsidR="00CE14FE" w:rsidRPr="00EE3B86">
        <w:t>ection</w:t>
      </w:r>
      <w:r w:rsidR="006F18F9" w:rsidRPr="00EE3B86">
        <w:t xml:space="preserve"> 2(1)(b)</w:t>
      </w:r>
      <w:r w:rsidR="00491A6D" w:rsidRPr="00EE3B86">
        <w:t xml:space="preserve"> of the </w:t>
      </w:r>
      <w:r w:rsidR="00491A6D" w:rsidRPr="00B81A87">
        <w:rPr>
          <w:i/>
          <w:iCs/>
        </w:rPr>
        <w:t>ESA</w:t>
      </w:r>
      <w:r w:rsidR="00CE14FE" w:rsidRPr="00EE3B86">
        <w:t xml:space="preserve"> cannot be theoretical</w:t>
      </w:r>
      <w:r w:rsidR="003345A0">
        <w:t xml:space="preserve"> it requires direct or indirect dependence</w:t>
      </w:r>
      <w:r w:rsidR="00CE14FE" w:rsidRPr="00EE3B86">
        <w:t>. This section</w:t>
      </w:r>
      <w:r w:rsidR="00491A6D" w:rsidRPr="00EE3B86">
        <w:t xml:space="preserve"> is not defined by theoretical suitability or generalized</w:t>
      </w:r>
      <w:r w:rsidR="003C2CB6" w:rsidRPr="00EE3B86">
        <w:t xml:space="preserve"> ecological potential.</w:t>
      </w:r>
      <w:r w:rsidR="005B44A9" w:rsidRPr="00EE3B86">
        <w:t xml:space="preserve"> </w:t>
      </w:r>
      <w:r w:rsidR="00CE14FE" w:rsidRPr="00EE3B86">
        <w:t>T</w:t>
      </w:r>
      <w:r w:rsidR="00E665BB" w:rsidRPr="00EE3B86">
        <w:t>he definition</w:t>
      </w:r>
      <w:r w:rsidR="00CE14FE" w:rsidRPr="00EE3B86">
        <w:t xml:space="preserve"> is clear and</w:t>
      </w:r>
      <w:r w:rsidR="00E665BB" w:rsidRPr="00EE3B86">
        <w:t xml:space="preserve"> requires</w:t>
      </w:r>
      <w:r w:rsidR="00EF759C" w:rsidRPr="00EE3B86">
        <w:t xml:space="preserve"> </w:t>
      </w:r>
      <w:r w:rsidR="00DD3D9B" w:rsidRPr="00EE3B86">
        <w:t xml:space="preserve">proof that the species depends </w:t>
      </w:r>
      <w:r w:rsidR="00CA1159" w:rsidRPr="00EE3B86">
        <w:t>on the are</w:t>
      </w:r>
      <w:r w:rsidR="00940D79" w:rsidRPr="00EE3B86">
        <w:t>a, dire</w:t>
      </w:r>
      <w:r w:rsidR="00853556" w:rsidRPr="00EE3B86">
        <w:t>ctly or indirectly, to carry on its life processes</w:t>
      </w:r>
      <w:r w:rsidR="00DD46C4" w:rsidRPr="00EE3B86">
        <w:t>. Section 2(2)</w:t>
      </w:r>
      <w:r w:rsidR="00FE7782" w:rsidRPr="00EE3B86">
        <w:t xml:space="preserve"> </w:t>
      </w:r>
      <w:r w:rsidR="00CE14FE" w:rsidRPr="00EE3B86">
        <w:t xml:space="preserve">of the </w:t>
      </w:r>
      <w:r w:rsidR="00CE14FE" w:rsidRPr="00B81A87">
        <w:rPr>
          <w:i/>
          <w:iCs/>
        </w:rPr>
        <w:t>ESA</w:t>
      </w:r>
      <w:r w:rsidR="00CE14FE" w:rsidRPr="00EE3B86">
        <w:t xml:space="preserve"> explicitly </w:t>
      </w:r>
      <w:r w:rsidR="00FE7782" w:rsidRPr="00EE3B86">
        <w:t xml:space="preserve">confirms that areas where a species merely “formerly occurred” or “has the potential </w:t>
      </w:r>
      <w:r w:rsidR="002B0917" w:rsidRPr="00EE3B86">
        <w:t>to be reintroduced” are excluded unless existing members depend on that area</w:t>
      </w:r>
      <w:r w:rsidR="00776D47" w:rsidRPr="00EE3B86">
        <w:t>.</w:t>
      </w:r>
    </w:p>
    <w:p w14:paraId="1763E583" w14:textId="499E13ED" w:rsidR="7DACEB0D" w:rsidRPr="00FF2065" w:rsidRDefault="00A8415B" w:rsidP="00D11C4F">
      <w:pPr>
        <w:pStyle w:val="WSParaNum"/>
        <w:numPr>
          <w:ilvl w:val="0"/>
          <w:numId w:val="0"/>
        </w:numPr>
        <w:spacing w:line="240" w:lineRule="auto"/>
        <w:ind w:firstLine="720"/>
        <w:jc w:val="both"/>
        <w:rPr>
          <w:lang w:val="pt-PT"/>
        </w:rPr>
      </w:pPr>
      <w:r w:rsidRPr="00FF2065">
        <w:rPr>
          <w:i/>
          <w:iCs/>
          <w:sz w:val="20"/>
          <w:szCs w:val="20"/>
          <w:lang w:val="pt-PT"/>
        </w:rPr>
        <w:t>ESA</w:t>
      </w:r>
      <w:r w:rsidRPr="00FF2065">
        <w:rPr>
          <w:sz w:val="20"/>
          <w:szCs w:val="20"/>
          <w:lang w:val="pt-PT"/>
        </w:rPr>
        <w:t xml:space="preserve">, </w:t>
      </w:r>
      <w:r w:rsidRPr="00FF2065">
        <w:rPr>
          <w:i/>
          <w:iCs/>
          <w:sz w:val="20"/>
          <w:szCs w:val="20"/>
          <w:lang w:val="pt-PT"/>
        </w:rPr>
        <w:t xml:space="preserve">supra </w:t>
      </w:r>
      <w:r w:rsidRPr="00FF2065">
        <w:rPr>
          <w:sz w:val="20"/>
          <w:szCs w:val="20"/>
          <w:lang w:val="pt-PT"/>
        </w:rPr>
        <w:t>not</w:t>
      </w:r>
      <w:r w:rsidR="00235F3C" w:rsidRPr="00FF2065">
        <w:rPr>
          <w:sz w:val="20"/>
          <w:szCs w:val="20"/>
          <w:lang w:val="pt-PT"/>
        </w:rPr>
        <w:t>e 16</w:t>
      </w:r>
      <w:r w:rsidR="00F157D5" w:rsidRPr="00FF2065">
        <w:rPr>
          <w:sz w:val="20"/>
          <w:szCs w:val="20"/>
          <w:lang w:val="pt-PT"/>
        </w:rPr>
        <w:t xml:space="preserve"> at s.2(2)</w:t>
      </w:r>
      <w:r w:rsidR="00B108AE" w:rsidRPr="00FF2065">
        <w:rPr>
          <w:sz w:val="20"/>
          <w:szCs w:val="20"/>
          <w:lang w:val="pt-PT"/>
        </w:rPr>
        <w:t>.</w:t>
      </w:r>
    </w:p>
    <w:p w14:paraId="69F43269" w14:textId="6D2A19AF" w:rsidR="00F56149" w:rsidRPr="00EE3B86" w:rsidRDefault="00EF0763" w:rsidP="00D11C4F">
      <w:pPr>
        <w:pStyle w:val="WSParaNum"/>
        <w:numPr>
          <w:ilvl w:val="0"/>
          <w:numId w:val="1"/>
        </w:numPr>
        <w:jc w:val="both"/>
      </w:pPr>
      <w:r w:rsidRPr="00EE3B86">
        <w:lastRenderedPageBreak/>
        <w:t xml:space="preserve">Justice Mathias emphasized that this evidentiary threshold was not met. No </w:t>
      </w:r>
      <w:r w:rsidR="00B077A7" w:rsidRPr="00EE3B86">
        <w:t xml:space="preserve">Blanding’s </w:t>
      </w:r>
      <w:r w:rsidR="00B077A7">
        <w:t>T</w:t>
      </w:r>
      <w:r w:rsidR="00B077A7" w:rsidRPr="00EE3B86">
        <w:t>urtles</w:t>
      </w:r>
      <w:r w:rsidR="00B077A7" w:rsidRPr="00EE3B86" w:rsidDel="00B077A7">
        <w:t xml:space="preserve"> </w:t>
      </w:r>
      <w:r w:rsidRPr="00EE3B86">
        <w:t xml:space="preserve">were observed on the </w:t>
      </w:r>
      <w:r w:rsidR="00B077A7">
        <w:t>S</w:t>
      </w:r>
      <w:r w:rsidRPr="00EE3B86">
        <w:t xml:space="preserve">ite during or proximate </w:t>
      </w:r>
      <w:r w:rsidR="008B0345" w:rsidRPr="00EE3B86">
        <w:t>to</w:t>
      </w:r>
      <w:r w:rsidR="00512CB3" w:rsidRPr="00EE3B86">
        <w:t xml:space="preserve"> the period of the alleged </w:t>
      </w:r>
      <w:r w:rsidRPr="00EE3B86">
        <w:t>offence</w:t>
      </w:r>
      <w:r w:rsidR="00512CB3" w:rsidRPr="00EE3B86">
        <w:t xml:space="preserve">. The </w:t>
      </w:r>
      <w:r w:rsidRPr="00EE3B86">
        <w:t xml:space="preserve">Crown’s </w:t>
      </w:r>
      <w:r w:rsidR="00E471A1" w:rsidRPr="00EE3B86">
        <w:t>expert conceded under cross-examination that</w:t>
      </w:r>
      <w:r w:rsidR="00512CB3" w:rsidRPr="00EE3B86">
        <w:t xml:space="preserve"> there were</w:t>
      </w:r>
      <w:r w:rsidR="00E471A1" w:rsidRPr="00EE3B86">
        <w:t xml:space="preserve"> no confirmation</w:t>
      </w:r>
      <w:r w:rsidR="00512CB3" w:rsidRPr="00EE3B86">
        <w:t>s</w:t>
      </w:r>
      <w:r w:rsidR="00E471A1" w:rsidRPr="00EE3B86">
        <w:t xml:space="preserve"> or proof that the </w:t>
      </w:r>
      <w:r w:rsidR="00512CB3" w:rsidRPr="00EE3B86">
        <w:t>S</w:t>
      </w:r>
      <w:r w:rsidR="00621C04" w:rsidRPr="00EE3B86">
        <w:t>ite</w:t>
      </w:r>
      <w:r w:rsidR="00E471A1" w:rsidRPr="00EE3B86">
        <w:t xml:space="preserve"> area was used for </w:t>
      </w:r>
      <w:r w:rsidR="00270BF4" w:rsidRPr="00EE3B86">
        <w:t xml:space="preserve">nesting, </w:t>
      </w:r>
      <w:r w:rsidR="00C317E8" w:rsidRPr="00EE3B86">
        <w:t>travel, or thermogenetic activities</w:t>
      </w:r>
      <w:r w:rsidR="00D635A8" w:rsidRPr="00EE3B86">
        <w:t xml:space="preserve"> by Bl</w:t>
      </w:r>
      <w:r w:rsidR="00C713E6" w:rsidRPr="00EE3B86">
        <w:t>and</w:t>
      </w:r>
      <w:r w:rsidR="005D3468" w:rsidRPr="00EE3B86">
        <w:t xml:space="preserve">ing’s </w:t>
      </w:r>
      <w:r w:rsidR="00B81A87">
        <w:t>t</w:t>
      </w:r>
      <w:r w:rsidR="00AE1B82" w:rsidRPr="00EE3B86">
        <w:t xml:space="preserve">urtles. </w:t>
      </w:r>
    </w:p>
    <w:p w14:paraId="27623BC7" w14:textId="53BA1552" w:rsidR="24616992" w:rsidRPr="00EE3B86" w:rsidRDefault="00B108AE" w:rsidP="003E1CAE">
      <w:pPr>
        <w:pStyle w:val="WSParaNum"/>
        <w:numPr>
          <w:ilvl w:val="0"/>
          <w:numId w:val="0"/>
        </w:numPr>
        <w:spacing w:line="240" w:lineRule="auto"/>
        <w:ind w:firstLine="720"/>
        <w:jc w:val="both"/>
        <w:rPr>
          <w:sz w:val="22"/>
          <w:szCs w:val="22"/>
          <w:highlight w:val="magenta"/>
        </w:rPr>
      </w:pPr>
      <w:r w:rsidRPr="00EE3B86">
        <w:rPr>
          <w:i/>
          <w:iCs/>
          <w:sz w:val="20"/>
          <w:szCs w:val="20"/>
        </w:rPr>
        <w:t>OCJ Decision</w:t>
      </w:r>
      <w:r w:rsidRPr="00EE3B86">
        <w:rPr>
          <w:sz w:val="20"/>
          <w:szCs w:val="20"/>
        </w:rPr>
        <w:t xml:space="preserve">, </w:t>
      </w:r>
      <w:r w:rsidRPr="00EE3B86">
        <w:rPr>
          <w:i/>
          <w:iCs/>
          <w:sz w:val="20"/>
          <w:szCs w:val="20"/>
        </w:rPr>
        <w:t xml:space="preserve">supra </w:t>
      </w:r>
      <w:r w:rsidRPr="00EE3B86">
        <w:rPr>
          <w:sz w:val="20"/>
          <w:szCs w:val="20"/>
        </w:rPr>
        <w:t>note 9</w:t>
      </w:r>
      <w:r w:rsidRPr="00EE3B86">
        <w:rPr>
          <w:i/>
          <w:iCs/>
          <w:sz w:val="20"/>
          <w:szCs w:val="20"/>
        </w:rPr>
        <w:t xml:space="preserve"> </w:t>
      </w:r>
      <w:r w:rsidRPr="00EE3B86">
        <w:rPr>
          <w:sz w:val="20"/>
          <w:szCs w:val="20"/>
        </w:rPr>
        <w:t>at 14.</w:t>
      </w:r>
    </w:p>
    <w:p w14:paraId="2CEF898C" w14:textId="77777777" w:rsidR="00D529D0" w:rsidRDefault="00214423" w:rsidP="00D11C4F">
      <w:pPr>
        <w:pStyle w:val="WSParaNum"/>
        <w:numPr>
          <w:ilvl w:val="0"/>
          <w:numId w:val="1"/>
        </w:numPr>
        <w:jc w:val="both"/>
      </w:pPr>
      <w:r w:rsidRPr="00EE3B86">
        <w:t xml:space="preserve">Justice Mathias did not hold that the GHD was irrelevant or inadmissible. Rather, </w:t>
      </w:r>
      <w:r w:rsidR="00512CB3" w:rsidRPr="00EE3B86">
        <w:t xml:space="preserve">a </w:t>
      </w:r>
      <w:r w:rsidRPr="00EE3B86">
        <w:t xml:space="preserve">critical distinction </w:t>
      </w:r>
      <w:r w:rsidR="00512CB3" w:rsidRPr="00EE3B86">
        <w:t xml:space="preserve">was drawn </w:t>
      </w:r>
      <w:r w:rsidRPr="00EE3B86">
        <w:t>between using the GHD as contextual or background information</w:t>
      </w:r>
      <w:r w:rsidR="002B3027" w:rsidRPr="00EE3B86">
        <w:t xml:space="preserve"> and treating it as determinative legal proof. </w:t>
      </w:r>
      <w:r w:rsidR="00B462C2" w:rsidRPr="00EE3B86">
        <w:t xml:space="preserve">This distinction matters. The </w:t>
      </w:r>
      <w:r w:rsidR="00B462C2" w:rsidRPr="00DC1F17">
        <w:rPr>
          <w:i/>
          <w:iCs/>
        </w:rPr>
        <w:t>ESA</w:t>
      </w:r>
      <w:r w:rsidR="00DD1765" w:rsidRPr="00EE3B86">
        <w:t xml:space="preserve"> does not incorporate the GHD</w:t>
      </w:r>
      <w:r w:rsidR="006F2370" w:rsidRPr="00EE3B86">
        <w:t xml:space="preserve"> by reference, nor does the document purport to prescribe habitat by regulation</w:t>
      </w:r>
      <w:r w:rsidR="00E91E56" w:rsidRPr="00EE3B86">
        <w:t xml:space="preserve">. </w:t>
      </w:r>
      <w:r w:rsidR="00512CB3" w:rsidRPr="00EE3B86">
        <w:t xml:space="preserve">The </w:t>
      </w:r>
      <w:r w:rsidR="00A00915" w:rsidRPr="00EE3B86">
        <w:t>GHD cannot</w:t>
      </w:r>
      <w:r w:rsidR="00E91E56" w:rsidRPr="00EE3B86">
        <w:t xml:space="preserve"> </w:t>
      </w:r>
      <w:r w:rsidR="00512CB3" w:rsidRPr="00EE3B86">
        <w:t xml:space="preserve">and should not </w:t>
      </w:r>
      <w:r w:rsidR="00E91E56" w:rsidRPr="00EE3B86">
        <w:t>define legal rights, prohibitions, or offences.</w:t>
      </w:r>
      <w:r w:rsidR="00B02C01" w:rsidRPr="00EE3B86">
        <w:t xml:space="preserve"> </w:t>
      </w:r>
    </w:p>
    <w:p w14:paraId="125CA63D" w14:textId="7DCC97FC" w:rsidR="16331081" w:rsidRPr="00D529D0" w:rsidRDefault="00B108AE" w:rsidP="003E1CAE">
      <w:pPr>
        <w:pStyle w:val="WSParaNum"/>
        <w:numPr>
          <w:ilvl w:val="0"/>
          <w:numId w:val="0"/>
        </w:numPr>
        <w:spacing w:line="240" w:lineRule="auto"/>
        <w:ind w:firstLine="720"/>
        <w:jc w:val="both"/>
      </w:pPr>
      <w:r w:rsidRPr="00D529D0">
        <w:rPr>
          <w:i/>
          <w:iCs/>
          <w:sz w:val="20"/>
          <w:szCs w:val="20"/>
        </w:rPr>
        <w:t>OCJ Decision</w:t>
      </w:r>
      <w:r w:rsidRPr="00D529D0">
        <w:rPr>
          <w:sz w:val="20"/>
          <w:szCs w:val="20"/>
        </w:rPr>
        <w:t xml:space="preserve">, </w:t>
      </w:r>
      <w:r w:rsidRPr="00D529D0">
        <w:rPr>
          <w:i/>
          <w:iCs/>
          <w:sz w:val="20"/>
          <w:szCs w:val="20"/>
        </w:rPr>
        <w:t xml:space="preserve">supra </w:t>
      </w:r>
      <w:r w:rsidRPr="00D529D0">
        <w:rPr>
          <w:sz w:val="20"/>
          <w:szCs w:val="20"/>
        </w:rPr>
        <w:t>note 9</w:t>
      </w:r>
      <w:r w:rsidRPr="00D529D0">
        <w:rPr>
          <w:i/>
          <w:iCs/>
          <w:sz w:val="20"/>
          <w:szCs w:val="20"/>
        </w:rPr>
        <w:t xml:space="preserve"> </w:t>
      </w:r>
      <w:r w:rsidRPr="00D529D0">
        <w:rPr>
          <w:sz w:val="20"/>
          <w:szCs w:val="20"/>
        </w:rPr>
        <w:t>at 8, 10.</w:t>
      </w:r>
    </w:p>
    <w:p w14:paraId="1A62EA35" w14:textId="71EC87F4" w:rsidR="000E2CF6" w:rsidRPr="00EE3B86" w:rsidRDefault="008309ED" w:rsidP="00D11C4F">
      <w:pPr>
        <w:pStyle w:val="WSParaNum"/>
        <w:numPr>
          <w:ilvl w:val="0"/>
          <w:numId w:val="1"/>
        </w:numPr>
        <w:jc w:val="both"/>
      </w:pPr>
      <w:r w:rsidRPr="00EE3B86">
        <w:t>The</w:t>
      </w:r>
      <w:r w:rsidR="00671D45" w:rsidRPr="00EE3B86">
        <w:t xml:space="preserve"> Trial Justice erred </w:t>
      </w:r>
      <w:r w:rsidR="009413D6" w:rsidRPr="00EE3B86">
        <w:t xml:space="preserve">by treating the GHD’s generalized descriptions, including its categorical mapping approach and buffer zones, as conclusive proof that the impugned lands constituted legally protected habitat. </w:t>
      </w:r>
      <w:r w:rsidR="002B3027" w:rsidRPr="00EE3B86">
        <w:t xml:space="preserve">The OCJ </w:t>
      </w:r>
      <w:r w:rsidR="00512CB3" w:rsidRPr="00EE3B86">
        <w:t xml:space="preserve">confirmed that </w:t>
      </w:r>
      <w:r w:rsidR="002B3027" w:rsidRPr="00EE3B86">
        <w:t>the GHD is descriptive and informational, intended for policy guidance and planning purposes, not adjudication, and that it does not have the force of law.</w:t>
      </w:r>
    </w:p>
    <w:p w14:paraId="53CC65CB" w14:textId="3239E09C" w:rsidR="5D71C23D" w:rsidRPr="00EE3B86" w:rsidRDefault="00B108AE" w:rsidP="00D11C4F">
      <w:pPr>
        <w:pStyle w:val="WSParaNum"/>
        <w:numPr>
          <w:ilvl w:val="0"/>
          <w:numId w:val="0"/>
        </w:numPr>
        <w:spacing w:line="240" w:lineRule="auto"/>
        <w:ind w:firstLine="720"/>
        <w:jc w:val="both"/>
        <w:rPr>
          <w:sz w:val="22"/>
          <w:szCs w:val="22"/>
          <w:highlight w:val="magenta"/>
        </w:rPr>
      </w:pPr>
      <w:r w:rsidRPr="00EE3B86">
        <w:rPr>
          <w:i/>
          <w:iCs/>
          <w:sz w:val="20"/>
          <w:szCs w:val="20"/>
        </w:rPr>
        <w:t>OCJ Decision</w:t>
      </w:r>
      <w:r w:rsidRPr="00EE3B86">
        <w:rPr>
          <w:sz w:val="20"/>
          <w:szCs w:val="20"/>
        </w:rPr>
        <w:t xml:space="preserve">, </w:t>
      </w:r>
      <w:r w:rsidRPr="00EE3B86">
        <w:rPr>
          <w:i/>
          <w:iCs/>
          <w:sz w:val="20"/>
          <w:szCs w:val="20"/>
        </w:rPr>
        <w:t xml:space="preserve">supra </w:t>
      </w:r>
      <w:r w:rsidRPr="00EE3B86">
        <w:rPr>
          <w:sz w:val="20"/>
          <w:szCs w:val="20"/>
        </w:rPr>
        <w:t>note 9</w:t>
      </w:r>
      <w:r w:rsidRPr="00EE3B86">
        <w:rPr>
          <w:i/>
          <w:iCs/>
          <w:sz w:val="20"/>
          <w:szCs w:val="20"/>
        </w:rPr>
        <w:t xml:space="preserve"> </w:t>
      </w:r>
      <w:r w:rsidRPr="00EE3B86">
        <w:rPr>
          <w:sz w:val="20"/>
          <w:szCs w:val="20"/>
        </w:rPr>
        <w:t>at 5,10.</w:t>
      </w:r>
    </w:p>
    <w:p w14:paraId="753B248F" w14:textId="773EB2F0" w:rsidR="00280A71" w:rsidRPr="00EE3B86" w:rsidRDefault="00B462C2" w:rsidP="00D11C4F">
      <w:pPr>
        <w:pStyle w:val="WSParaNum"/>
        <w:numPr>
          <w:ilvl w:val="0"/>
          <w:numId w:val="1"/>
        </w:numPr>
        <w:jc w:val="both"/>
      </w:pPr>
      <w:r w:rsidRPr="00EE3B86">
        <w:t>The OCJ’</w:t>
      </w:r>
      <w:r w:rsidR="00512CB3" w:rsidRPr="00EE3B86">
        <w:t xml:space="preserve">s interpretation of the GHD is </w:t>
      </w:r>
      <w:r w:rsidR="00326D15" w:rsidRPr="00EE3B86">
        <w:t>consistent with the S</w:t>
      </w:r>
      <w:r w:rsidR="00512CB3" w:rsidRPr="00EE3B86">
        <w:t>upreme Court of Canada</w:t>
      </w:r>
      <w:r w:rsidR="00326D15" w:rsidRPr="00EE3B86">
        <w:t xml:space="preserve">’s </w:t>
      </w:r>
      <w:r w:rsidR="00381B70">
        <w:t>decision</w:t>
      </w:r>
      <w:r w:rsidR="00381B70" w:rsidRPr="00EE3B86">
        <w:t xml:space="preserve"> </w:t>
      </w:r>
      <w:r w:rsidR="00326D15" w:rsidRPr="00EE3B86">
        <w:t xml:space="preserve">in </w:t>
      </w:r>
      <w:r w:rsidR="00326D15" w:rsidRPr="00EE3B86">
        <w:rPr>
          <w:i/>
          <w:iCs/>
        </w:rPr>
        <w:t>R v Le</w:t>
      </w:r>
      <w:r w:rsidR="00326D15" w:rsidRPr="00EE3B86">
        <w:t>, where the Court held that background</w:t>
      </w:r>
      <w:r w:rsidR="000E394D" w:rsidRPr="00EE3B86">
        <w:t xml:space="preserve"> materials, studies, and contextual evidence may inform a court’s understanding </w:t>
      </w:r>
      <w:r w:rsidR="007B1396" w:rsidRPr="00EE3B86">
        <w:t xml:space="preserve">but cannot replace legally required proof or lower the Crown’s burden. Courts err when they treat contextual or policy materials as determinative rather than explanatory. </w:t>
      </w:r>
    </w:p>
    <w:p w14:paraId="0CCF8AA1" w14:textId="00C4A08F" w:rsidR="5A748912" w:rsidRPr="00FF2065" w:rsidRDefault="00463CCF" w:rsidP="003E1CAE">
      <w:pPr>
        <w:pStyle w:val="WSParaNum"/>
        <w:numPr>
          <w:ilvl w:val="0"/>
          <w:numId w:val="0"/>
        </w:numPr>
        <w:spacing w:line="240" w:lineRule="auto"/>
        <w:ind w:firstLine="720"/>
        <w:rPr>
          <w:sz w:val="22"/>
          <w:szCs w:val="22"/>
          <w:highlight w:val="magenta"/>
          <w:lang w:val="pt-PT"/>
        </w:rPr>
      </w:pPr>
      <w:r w:rsidRPr="00FF2065">
        <w:rPr>
          <w:i/>
          <w:iCs/>
          <w:sz w:val="20"/>
          <w:szCs w:val="20"/>
          <w:lang w:val="pt-PT"/>
        </w:rPr>
        <w:t>R v Le</w:t>
      </w:r>
      <w:r w:rsidRPr="00FF2065">
        <w:rPr>
          <w:sz w:val="20"/>
          <w:szCs w:val="20"/>
          <w:lang w:val="pt-PT"/>
        </w:rPr>
        <w:t xml:space="preserve">, </w:t>
      </w:r>
      <w:r w:rsidR="001B0A72" w:rsidRPr="00FF2065">
        <w:rPr>
          <w:sz w:val="20"/>
          <w:szCs w:val="20"/>
          <w:lang w:val="pt-PT"/>
        </w:rPr>
        <w:t xml:space="preserve">2019 SCC 34 </w:t>
      </w:r>
      <w:r w:rsidR="00B83D0C" w:rsidRPr="00FF2065">
        <w:rPr>
          <w:sz w:val="20"/>
          <w:szCs w:val="20"/>
          <w:lang w:val="pt-PT"/>
        </w:rPr>
        <w:t xml:space="preserve">paras 82-85. </w:t>
      </w:r>
    </w:p>
    <w:p w14:paraId="4CA3E11E" w14:textId="46C07586" w:rsidR="00474BD5" w:rsidRPr="00EE3B86" w:rsidRDefault="00474BD5" w:rsidP="00146C8D">
      <w:pPr>
        <w:pStyle w:val="WSParaNum"/>
        <w:numPr>
          <w:ilvl w:val="0"/>
          <w:numId w:val="1"/>
        </w:numPr>
        <w:jc w:val="both"/>
      </w:pPr>
      <w:r w:rsidRPr="00EE3B86">
        <w:t>By elevating the GHD</w:t>
      </w:r>
      <w:r w:rsidR="00E92A20" w:rsidRPr="00EE3B86">
        <w:t xml:space="preserve"> to </w:t>
      </w:r>
      <w:r w:rsidR="00512CB3" w:rsidRPr="00EE3B86">
        <w:t xml:space="preserve">a regulatory or prescriptive </w:t>
      </w:r>
      <w:r w:rsidR="00E92A20" w:rsidRPr="00EE3B86">
        <w:t xml:space="preserve">status, the Trial Justice effectively </w:t>
      </w:r>
      <w:r w:rsidR="00512CB3" w:rsidRPr="00EE3B86">
        <w:t xml:space="preserve">rendered moot </w:t>
      </w:r>
      <w:r w:rsidR="00E92A20" w:rsidRPr="00EE3B86">
        <w:t xml:space="preserve">the statutory definition of habitat and relieved the Crown of its obligation to prove actual or functional dependency. </w:t>
      </w:r>
    </w:p>
    <w:p w14:paraId="194ABBBF" w14:textId="0AA6A747" w:rsidR="008C63D1" w:rsidRPr="00EE3B86" w:rsidRDefault="00512CB3" w:rsidP="00146C8D">
      <w:pPr>
        <w:pStyle w:val="WSParaNum"/>
        <w:numPr>
          <w:ilvl w:val="0"/>
          <w:numId w:val="1"/>
        </w:numPr>
        <w:spacing w:before="0" w:after="0"/>
        <w:jc w:val="both"/>
      </w:pPr>
      <w:r w:rsidRPr="00EE3B86">
        <w:t xml:space="preserve">The Crown’s approach is untenable. </w:t>
      </w:r>
      <w:r w:rsidR="00CC6B57" w:rsidRPr="00EE3B86">
        <w:t>Accepting</w:t>
      </w:r>
      <w:r w:rsidR="002F4C98" w:rsidRPr="00EE3B86">
        <w:t xml:space="preserve"> the Crown’s position regarding the GHD would </w:t>
      </w:r>
      <w:r w:rsidR="00D725E9" w:rsidRPr="00EE3B86">
        <w:t>dramatically</w:t>
      </w:r>
      <w:r w:rsidR="002F4C98" w:rsidRPr="00EE3B86">
        <w:t xml:space="preserve"> </w:t>
      </w:r>
      <w:r w:rsidR="00D725E9" w:rsidRPr="00EE3B86">
        <w:t xml:space="preserve">expand the scope of </w:t>
      </w:r>
      <w:r w:rsidR="00D725E9" w:rsidRPr="00146C8D">
        <w:rPr>
          <w:i/>
          <w:iCs/>
        </w:rPr>
        <w:t>ESA</w:t>
      </w:r>
      <w:r w:rsidR="00D725E9" w:rsidRPr="00EE3B86">
        <w:t xml:space="preserve"> liability. Under the Crow</w:t>
      </w:r>
      <w:r w:rsidR="00D551C3" w:rsidRPr="00EE3B86">
        <w:t>n’s approach</w:t>
      </w:r>
      <w:r w:rsidR="00963927" w:rsidRPr="00EE3B86">
        <w:t>, any land possessing characteristics described in the GHD could be deemed protected habitat, even in the absence of evidence</w:t>
      </w:r>
      <w:r w:rsidR="00260F00" w:rsidRPr="00EE3B86">
        <w:t xml:space="preserve"> that the species actually </w:t>
      </w:r>
      <w:r w:rsidR="00ED2AB9" w:rsidRPr="00EE3B86">
        <w:t>exist</w:t>
      </w:r>
      <w:r w:rsidR="00260F00" w:rsidRPr="00EE3B86">
        <w:t>s or depends</w:t>
      </w:r>
      <w:r w:rsidR="00ED2AB9" w:rsidRPr="00EE3B86">
        <w:t xml:space="preserve"> on the site. </w:t>
      </w:r>
    </w:p>
    <w:p w14:paraId="63113D37" w14:textId="2A58A569" w:rsidR="008C63D1" w:rsidRPr="00EE3B86" w:rsidRDefault="00F71270" w:rsidP="00146C8D">
      <w:pPr>
        <w:pStyle w:val="WSParaNum"/>
        <w:numPr>
          <w:ilvl w:val="0"/>
          <w:numId w:val="1"/>
        </w:numPr>
        <w:spacing w:before="0" w:after="0"/>
        <w:jc w:val="both"/>
      </w:pPr>
      <w:r w:rsidRPr="00EE3B86">
        <w:lastRenderedPageBreak/>
        <w:t>Such an interpretation would undermin</w:t>
      </w:r>
      <w:r w:rsidR="009B63DE" w:rsidRPr="00EE3B86">
        <w:t>e the</w:t>
      </w:r>
      <w:r w:rsidR="006F06A6" w:rsidRPr="00EE3B86">
        <w:t xml:space="preserve"> statutory limits imposed by </w:t>
      </w:r>
      <w:r w:rsidR="00512CB3" w:rsidRPr="00EE3B86">
        <w:t xml:space="preserve">sections </w:t>
      </w:r>
      <w:r w:rsidR="006F06A6" w:rsidRPr="00EE3B86">
        <w:t xml:space="preserve">2(1) and 2(2) of the </w:t>
      </w:r>
      <w:r w:rsidR="006F06A6" w:rsidRPr="00146C8D">
        <w:rPr>
          <w:i/>
          <w:iCs/>
        </w:rPr>
        <w:t>ESA</w:t>
      </w:r>
      <w:r w:rsidR="009B63DE" w:rsidRPr="00EE3B86">
        <w:t xml:space="preserve">. The </w:t>
      </w:r>
      <w:r w:rsidR="009B63DE" w:rsidRPr="00146C8D">
        <w:rPr>
          <w:i/>
          <w:iCs/>
        </w:rPr>
        <w:t>ESA</w:t>
      </w:r>
      <w:r w:rsidR="009B63DE" w:rsidRPr="00EE3B86">
        <w:t xml:space="preserve"> protects habitat, not ecological </w:t>
      </w:r>
      <w:r w:rsidR="00C60309" w:rsidRPr="00EE3B86">
        <w:t xml:space="preserve">possibility. The OCJ’s decision preserves the distinction drawn by the legislature and ensures that </w:t>
      </w:r>
      <w:r w:rsidR="00512CB3" w:rsidRPr="00EE3B86">
        <w:t xml:space="preserve">any </w:t>
      </w:r>
      <w:r w:rsidR="00C60309" w:rsidRPr="00EE3B86">
        <w:t xml:space="preserve">liability is grounded in proof, not policy abstraction. </w:t>
      </w:r>
    </w:p>
    <w:p w14:paraId="628022AF" w14:textId="42F5C039" w:rsidR="00C01F1A" w:rsidRPr="00EE3B86" w:rsidRDefault="00512CB3" w:rsidP="00C01F1A">
      <w:pPr>
        <w:pStyle w:val="Heading3"/>
        <w:rPr>
          <w:rFonts w:ascii="Times New Roman" w:hAnsi="Times New Roman"/>
          <w:bCs w:val="0"/>
          <w:sz w:val="24"/>
          <w:szCs w:val="24"/>
        </w:rPr>
      </w:pPr>
      <w:bookmarkStart w:id="15" w:name="_Toc220056499"/>
      <w:r w:rsidRPr="00EE3B86">
        <w:rPr>
          <w:rFonts w:ascii="Times New Roman" w:hAnsi="Times New Roman"/>
          <w:bCs w:val="0"/>
          <w:sz w:val="24"/>
          <w:szCs w:val="24"/>
        </w:rPr>
        <w:t xml:space="preserve">Consideration of the GHD </w:t>
      </w:r>
      <w:r w:rsidR="002838D7">
        <w:rPr>
          <w:rFonts w:ascii="Times New Roman" w:hAnsi="Times New Roman"/>
          <w:bCs w:val="0"/>
          <w:sz w:val="24"/>
          <w:szCs w:val="24"/>
        </w:rPr>
        <w:t xml:space="preserve">Does </w:t>
      </w:r>
      <w:r w:rsidR="00293485">
        <w:rPr>
          <w:rFonts w:ascii="Times New Roman" w:hAnsi="Times New Roman"/>
          <w:bCs w:val="0"/>
          <w:sz w:val="24"/>
          <w:szCs w:val="24"/>
        </w:rPr>
        <w:t>N</w:t>
      </w:r>
      <w:r>
        <w:rPr>
          <w:rFonts w:ascii="Times New Roman" w:hAnsi="Times New Roman"/>
          <w:bCs w:val="0"/>
          <w:sz w:val="24"/>
          <w:szCs w:val="24"/>
        </w:rPr>
        <w:t xml:space="preserve">ot </w:t>
      </w:r>
      <w:r w:rsidR="00293485">
        <w:rPr>
          <w:rFonts w:ascii="Times New Roman" w:hAnsi="Times New Roman"/>
          <w:bCs w:val="0"/>
          <w:sz w:val="24"/>
          <w:szCs w:val="24"/>
        </w:rPr>
        <w:t>I</w:t>
      </w:r>
      <w:r>
        <w:rPr>
          <w:rFonts w:ascii="Times New Roman" w:hAnsi="Times New Roman"/>
          <w:bCs w:val="0"/>
          <w:sz w:val="24"/>
          <w:szCs w:val="24"/>
        </w:rPr>
        <w:t>mpact</w:t>
      </w:r>
      <w:r w:rsidRPr="00EE3B86">
        <w:rPr>
          <w:rFonts w:ascii="Times New Roman" w:hAnsi="Times New Roman"/>
          <w:bCs w:val="0"/>
          <w:sz w:val="24"/>
          <w:szCs w:val="24"/>
        </w:rPr>
        <w:t xml:space="preserve"> the</w:t>
      </w:r>
      <w:r w:rsidR="00C01F1A" w:rsidRPr="00EE3B86">
        <w:rPr>
          <w:rFonts w:ascii="Times New Roman" w:hAnsi="Times New Roman"/>
          <w:bCs w:val="0"/>
          <w:sz w:val="24"/>
          <w:szCs w:val="24"/>
        </w:rPr>
        <w:t xml:space="preserve"> </w:t>
      </w:r>
      <w:r w:rsidR="00293485">
        <w:rPr>
          <w:rFonts w:ascii="Times New Roman" w:hAnsi="Times New Roman"/>
          <w:bCs w:val="0"/>
          <w:sz w:val="24"/>
          <w:szCs w:val="24"/>
        </w:rPr>
        <w:t>D</w:t>
      </w:r>
      <w:r w:rsidR="00C01F1A" w:rsidRPr="00C01F1A">
        <w:rPr>
          <w:rFonts w:ascii="Times New Roman" w:hAnsi="Times New Roman"/>
          <w:bCs w:val="0"/>
          <w:sz w:val="24"/>
          <w:szCs w:val="24"/>
        </w:rPr>
        <w:t>ecision</w:t>
      </w:r>
      <w:bookmarkEnd w:id="15"/>
    </w:p>
    <w:p w14:paraId="3DD58B9E" w14:textId="2CDD3F6E" w:rsidR="001F5C31" w:rsidRDefault="00512CB3" w:rsidP="00DD428E">
      <w:pPr>
        <w:pStyle w:val="WSParaNum"/>
        <w:numPr>
          <w:ilvl w:val="0"/>
          <w:numId w:val="1"/>
        </w:numPr>
        <w:spacing w:before="0" w:after="0"/>
        <w:jc w:val="both"/>
      </w:pPr>
      <w:r w:rsidRPr="00EE3B86">
        <w:t>T</w:t>
      </w:r>
      <w:r w:rsidR="000A4B00" w:rsidRPr="00EE3B86">
        <w:t xml:space="preserve">he OCJ did not conclude that the Trial Justice erred by placing any weight on the GHD. </w:t>
      </w:r>
      <w:r w:rsidR="002838D7">
        <w:t>Instead</w:t>
      </w:r>
      <w:r w:rsidR="000A4B00" w:rsidRPr="00EE3B86">
        <w:t>, Justice Mathias made clear</w:t>
      </w:r>
      <w:r w:rsidR="00DD3A7A" w:rsidRPr="00EE3B86">
        <w:t xml:space="preserve"> that the GHD could</w:t>
      </w:r>
      <w:r w:rsidR="00072081" w:rsidRPr="00EE3B86">
        <w:t xml:space="preserve"> provide general information about the types of wetlands and areas </w:t>
      </w:r>
      <w:r w:rsidR="002838D7" w:rsidRPr="00EE3B86">
        <w:t xml:space="preserve">Blanding’s </w:t>
      </w:r>
      <w:r w:rsidR="002838D7">
        <w:t>T</w:t>
      </w:r>
      <w:r w:rsidR="002838D7" w:rsidRPr="00EE3B86">
        <w:t>urtles</w:t>
      </w:r>
      <w:r w:rsidR="002838D7" w:rsidRPr="00EE3B86" w:rsidDel="002838D7">
        <w:t xml:space="preserve"> </w:t>
      </w:r>
      <w:r w:rsidR="00072081" w:rsidRPr="00EE3B86">
        <w:t xml:space="preserve">might use, but it could not, on its own, conclusively establish that the species was using the specific lands at issue </w:t>
      </w:r>
      <w:r w:rsidR="009164F4" w:rsidRPr="00EE3B86">
        <w:t xml:space="preserve">as habitat at the time of the alleged offence. </w:t>
      </w:r>
    </w:p>
    <w:p w14:paraId="47DE676A" w14:textId="6B64AB58" w:rsidR="001F5C31" w:rsidRDefault="00B108AE" w:rsidP="00DD428E">
      <w:pPr>
        <w:pStyle w:val="WSParaNum"/>
        <w:numPr>
          <w:ilvl w:val="0"/>
          <w:numId w:val="0"/>
        </w:numPr>
        <w:spacing w:before="0" w:after="0" w:line="240" w:lineRule="auto"/>
        <w:ind w:firstLine="720"/>
        <w:jc w:val="both"/>
        <w:rPr>
          <w:sz w:val="20"/>
          <w:szCs w:val="20"/>
        </w:rPr>
      </w:pPr>
      <w:r w:rsidRPr="001F5C31">
        <w:rPr>
          <w:i/>
          <w:iCs/>
          <w:sz w:val="20"/>
          <w:szCs w:val="20"/>
        </w:rPr>
        <w:t>OCJ Decision</w:t>
      </w:r>
      <w:r w:rsidRPr="001F5C31">
        <w:rPr>
          <w:sz w:val="20"/>
          <w:szCs w:val="20"/>
        </w:rPr>
        <w:t xml:space="preserve">, </w:t>
      </w:r>
      <w:r w:rsidRPr="001F5C31">
        <w:rPr>
          <w:i/>
          <w:iCs/>
          <w:sz w:val="20"/>
          <w:szCs w:val="20"/>
        </w:rPr>
        <w:t xml:space="preserve">supra </w:t>
      </w:r>
      <w:r w:rsidRPr="001F5C31">
        <w:rPr>
          <w:sz w:val="20"/>
          <w:szCs w:val="20"/>
        </w:rPr>
        <w:t>note 9</w:t>
      </w:r>
      <w:r w:rsidRPr="001F5C31">
        <w:rPr>
          <w:i/>
          <w:iCs/>
          <w:sz w:val="20"/>
          <w:szCs w:val="20"/>
        </w:rPr>
        <w:t xml:space="preserve"> </w:t>
      </w:r>
      <w:r w:rsidRPr="001F5C31">
        <w:rPr>
          <w:sz w:val="20"/>
          <w:szCs w:val="20"/>
        </w:rPr>
        <w:t>at 8,10.</w:t>
      </w:r>
    </w:p>
    <w:p w14:paraId="5D109426" w14:textId="7C888C55" w:rsidR="5D9C4DE2" w:rsidRPr="001F5C31" w:rsidRDefault="00B108AE" w:rsidP="00DD428E">
      <w:pPr>
        <w:pStyle w:val="WSParaNum"/>
        <w:numPr>
          <w:ilvl w:val="0"/>
          <w:numId w:val="0"/>
        </w:numPr>
        <w:spacing w:before="0" w:after="0" w:line="240" w:lineRule="auto"/>
        <w:ind w:firstLine="720"/>
        <w:jc w:val="both"/>
      </w:pPr>
      <w:r w:rsidRPr="001F5C31">
        <w:rPr>
          <w:i/>
          <w:iCs/>
          <w:sz w:val="20"/>
          <w:szCs w:val="20"/>
        </w:rPr>
        <w:t>ONCA Decision</w:t>
      </w:r>
      <w:r w:rsidRPr="001F5C31">
        <w:rPr>
          <w:sz w:val="20"/>
          <w:szCs w:val="20"/>
        </w:rPr>
        <w:t xml:space="preserve">, </w:t>
      </w:r>
      <w:r w:rsidRPr="001F5C31">
        <w:rPr>
          <w:i/>
          <w:iCs/>
          <w:sz w:val="20"/>
          <w:szCs w:val="20"/>
        </w:rPr>
        <w:t xml:space="preserve">supra </w:t>
      </w:r>
      <w:r w:rsidRPr="001F5C31">
        <w:rPr>
          <w:sz w:val="20"/>
          <w:szCs w:val="20"/>
        </w:rPr>
        <w:t>note 18 at para 44.</w:t>
      </w:r>
    </w:p>
    <w:p w14:paraId="20B4AB17" w14:textId="1929FDE7" w:rsidR="001A18F1" w:rsidRPr="00EE3B86" w:rsidRDefault="00543FD2" w:rsidP="00DD428E">
      <w:pPr>
        <w:pStyle w:val="WSParaNum"/>
        <w:numPr>
          <w:ilvl w:val="0"/>
          <w:numId w:val="1"/>
        </w:numPr>
        <w:spacing w:before="0" w:after="0"/>
        <w:jc w:val="both"/>
      </w:pPr>
      <w:r w:rsidRPr="00EE3B86">
        <w:t>Even if the GHD were considered, the evidentiary gap identified by the OCJ</w:t>
      </w:r>
      <w:r w:rsidR="00856E5F" w:rsidRPr="00EE3B86">
        <w:t xml:space="preserve"> </w:t>
      </w:r>
      <w:r w:rsidR="008071D7">
        <w:t>still exists</w:t>
      </w:r>
      <w:r w:rsidR="00856E5F" w:rsidRPr="00EE3B86">
        <w:t>. The Crown failed to prov</w:t>
      </w:r>
      <w:r w:rsidR="004A7A81" w:rsidRPr="00EE3B86">
        <w:t xml:space="preserve">e that the </w:t>
      </w:r>
      <w:r w:rsidR="008071D7">
        <w:t>Site</w:t>
      </w:r>
      <w:r w:rsidR="004A7A81" w:rsidRPr="00EE3B86">
        <w:t xml:space="preserve"> satisfied the statutory definition</w:t>
      </w:r>
      <w:r w:rsidR="005C706F" w:rsidRPr="00EE3B86">
        <w:t xml:space="preserve"> of habitat at the relevant time</w:t>
      </w:r>
      <w:r w:rsidR="008071D7">
        <w:t xml:space="preserve"> period</w:t>
      </w:r>
      <w:r w:rsidR="005C706F" w:rsidRPr="00EE3B86">
        <w:t>. The OCJ’s conclusion was ther</w:t>
      </w:r>
      <w:r w:rsidR="004B2E34" w:rsidRPr="00EE3B86">
        <w:t>e</w:t>
      </w:r>
      <w:r w:rsidR="005C706F" w:rsidRPr="00EE3B86">
        <w:t>fore correct and does not disclose</w:t>
      </w:r>
      <w:r w:rsidR="004B2E34" w:rsidRPr="00EE3B86">
        <w:t xml:space="preserve"> any error of law</w:t>
      </w:r>
      <w:r w:rsidR="001A18F1" w:rsidRPr="00EE3B86">
        <w:t xml:space="preserve">. </w:t>
      </w:r>
    </w:p>
    <w:p w14:paraId="26F49BF7" w14:textId="3C2AAB0B" w:rsidR="40B6EB1F" w:rsidRPr="00EE3B86" w:rsidRDefault="00B108AE" w:rsidP="00DD428E">
      <w:pPr>
        <w:pStyle w:val="WSParaNum"/>
        <w:numPr>
          <w:ilvl w:val="0"/>
          <w:numId w:val="0"/>
        </w:numPr>
        <w:spacing w:before="0" w:after="0" w:line="240" w:lineRule="auto"/>
        <w:ind w:firstLine="720"/>
        <w:jc w:val="both"/>
        <w:rPr>
          <w:sz w:val="20"/>
          <w:szCs w:val="20"/>
          <w:highlight w:val="magenta"/>
        </w:rPr>
      </w:pPr>
      <w:r w:rsidRPr="00EE3B86">
        <w:rPr>
          <w:i/>
          <w:iCs/>
          <w:sz w:val="20"/>
          <w:szCs w:val="20"/>
        </w:rPr>
        <w:t>ONCA Decision</w:t>
      </w:r>
      <w:r w:rsidRPr="00EE3B86">
        <w:rPr>
          <w:sz w:val="20"/>
          <w:szCs w:val="20"/>
        </w:rPr>
        <w:t xml:space="preserve">, </w:t>
      </w:r>
      <w:r w:rsidRPr="00EE3B86">
        <w:rPr>
          <w:i/>
          <w:iCs/>
          <w:sz w:val="20"/>
          <w:szCs w:val="20"/>
        </w:rPr>
        <w:t xml:space="preserve">supra </w:t>
      </w:r>
      <w:r w:rsidRPr="00EE3B86">
        <w:rPr>
          <w:sz w:val="20"/>
          <w:szCs w:val="20"/>
        </w:rPr>
        <w:t>note 18 at para 44.</w:t>
      </w:r>
    </w:p>
    <w:p w14:paraId="4E1443EE" w14:textId="4F3202A1" w:rsidR="001A18F1" w:rsidRPr="00EE3B86" w:rsidRDefault="00512CB3" w:rsidP="00A9734C">
      <w:pPr>
        <w:pStyle w:val="Heading3"/>
        <w:spacing w:line="360" w:lineRule="auto"/>
        <w:jc w:val="both"/>
        <w:rPr>
          <w:rFonts w:ascii="Times New Roman" w:hAnsi="Times New Roman"/>
          <w:bCs w:val="0"/>
          <w:sz w:val="24"/>
          <w:szCs w:val="24"/>
        </w:rPr>
      </w:pPr>
      <w:bookmarkStart w:id="16" w:name="_Toc220056500"/>
      <w:r w:rsidRPr="00EE3B86">
        <w:rPr>
          <w:rFonts w:ascii="Times New Roman" w:hAnsi="Times New Roman"/>
          <w:bCs w:val="0"/>
          <w:sz w:val="24"/>
          <w:szCs w:val="24"/>
        </w:rPr>
        <w:t>Improper Reliance on the GHD</w:t>
      </w:r>
      <w:bookmarkEnd w:id="16"/>
    </w:p>
    <w:p w14:paraId="27CA393E" w14:textId="59963D01" w:rsidR="009164F4" w:rsidRDefault="001A18F1" w:rsidP="00A9734C">
      <w:pPr>
        <w:pStyle w:val="WSParaNum"/>
        <w:numPr>
          <w:ilvl w:val="0"/>
          <w:numId w:val="1"/>
        </w:numPr>
        <w:spacing w:before="0" w:after="0"/>
        <w:jc w:val="both"/>
      </w:pPr>
      <w:r w:rsidRPr="00EE3B86">
        <w:t xml:space="preserve">The </w:t>
      </w:r>
      <w:r w:rsidR="00976A04" w:rsidRPr="00EE3B86">
        <w:t>OCJ did not err. It correctly held that the Trial Justice improperly relied on a non-binding, generalized policy document</w:t>
      </w:r>
      <w:r w:rsidR="00FE7452" w:rsidRPr="00EE3B86">
        <w:t xml:space="preserve"> as determinative proof of a core element of the offence. The GHD cannot substitute</w:t>
      </w:r>
      <w:r w:rsidR="00310103" w:rsidRPr="00EE3B86">
        <w:t xml:space="preserve"> for site-specific evidence of actual or functional habitat use, and the acquittal must stand</w:t>
      </w:r>
      <w:r w:rsidR="001374C1" w:rsidRPr="00EE3B86">
        <w:t>.</w:t>
      </w:r>
    </w:p>
    <w:p w14:paraId="06B9C2E5" w14:textId="69DFFA94" w:rsidR="00C44E23" w:rsidRPr="00C44E23" w:rsidRDefault="00C44E23" w:rsidP="00C35BAD">
      <w:pPr>
        <w:pStyle w:val="WSParaNum"/>
        <w:numPr>
          <w:ilvl w:val="0"/>
          <w:numId w:val="0"/>
        </w:numPr>
        <w:spacing w:before="0" w:after="0" w:line="240" w:lineRule="auto"/>
        <w:ind w:left="720"/>
        <w:jc w:val="both"/>
        <w:rPr>
          <w:sz w:val="20"/>
          <w:szCs w:val="20"/>
        </w:rPr>
      </w:pPr>
      <w:r>
        <w:rPr>
          <w:i/>
          <w:iCs/>
          <w:sz w:val="20"/>
          <w:szCs w:val="20"/>
        </w:rPr>
        <w:t>OCJ Decision</w:t>
      </w:r>
      <w:r>
        <w:rPr>
          <w:sz w:val="20"/>
          <w:szCs w:val="20"/>
        </w:rPr>
        <w:t xml:space="preserve">, </w:t>
      </w:r>
      <w:r>
        <w:rPr>
          <w:i/>
          <w:iCs/>
          <w:sz w:val="20"/>
          <w:szCs w:val="20"/>
        </w:rPr>
        <w:t xml:space="preserve">supra </w:t>
      </w:r>
      <w:r>
        <w:rPr>
          <w:sz w:val="20"/>
          <w:szCs w:val="20"/>
        </w:rPr>
        <w:t>note 9</w:t>
      </w:r>
      <w:r w:rsidR="00F92ADC">
        <w:rPr>
          <w:sz w:val="20"/>
          <w:szCs w:val="20"/>
        </w:rPr>
        <w:t xml:space="preserve"> at </w:t>
      </w:r>
      <w:r w:rsidR="00C35BAD">
        <w:rPr>
          <w:sz w:val="20"/>
          <w:szCs w:val="20"/>
        </w:rPr>
        <w:t xml:space="preserve">8. </w:t>
      </w:r>
    </w:p>
    <w:p w14:paraId="73CF9E97" w14:textId="4DFC85B5" w:rsidR="002E25FB" w:rsidRPr="00EE3B86" w:rsidRDefault="00512CB3" w:rsidP="00A9734C">
      <w:pPr>
        <w:pStyle w:val="Heading3"/>
        <w:spacing w:line="360" w:lineRule="auto"/>
        <w:rPr>
          <w:rFonts w:ascii="Times New Roman" w:hAnsi="Times New Roman"/>
          <w:bCs w:val="0"/>
          <w:sz w:val="24"/>
          <w:szCs w:val="24"/>
        </w:rPr>
      </w:pPr>
      <w:bookmarkStart w:id="17" w:name="_Toc220056501"/>
      <w:r w:rsidRPr="00EE3B86">
        <w:rPr>
          <w:rFonts w:ascii="Times New Roman" w:hAnsi="Times New Roman"/>
          <w:bCs w:val="0"/>
          <w:sz w:val="24"/>
          <w:szCs w:val="24"/>
        </w:rPr>
        <w:t xml:space="preserve">Definition of Habitat </w:t>
      </w:r>
      <w:r w:rsidR="00293485">
        <w:rPr>
          <w:rFonts w:ascii="Times New Roman" w:hAnsi="Times New Roman"/>
          <w:bCs w:val="0"/>
          <w:sz w:val="24"/>
          <w:szCs w:val="24"/>
        </w:rPr>
        <w:t>I</w:t>
      </w:r>
      <w:r>
        <w:rPr>
          <w:rFonts w:ascii="Times New Roman" w:hAnsi="Times New Roman"/>
          <w:bCs w:val="0"/>
          <w:sz w:val="24"/>
          <w:szCs w:val="24"/>
        </w:rPr>
        <w:t xml:space="preserve">s </w:t>
      </w:r>
      <w:r w:rsidR="00293485">
        <w:rPr>
          <w:rFonts w:ascii="Times New Roman" w:hAnsi="Times New Roman"/>
          <w:bCs w:val="0"/>
          <w:sz w:val="24"/>
          <w:szCs w:val="24"/>
        </w:rPr>
        <w:t>N</w:t>
      </w:r>
      <w:r>
        <w:rPr>
          <w:rFonts w:ascii="Times New Roman" w:hAnsi="Times New Roman"/>
          <w:bCs w:val="0"/>
          <w:sz w:val="24"/>
          <w:szCs w:val="24"/>
        </w:rPr>
        <w:t xml:space="preserve">ot </w:t>
      </w:r>
      <w:r w:rsidR="00293485">
        <w:rPr>
          <w:rFonts w:ascii="Times New Roman" w:hAnsi="Times New Roman"/>
          <w:bCs w:val="0"/>
          <w:sz w:val="24"/>
          <w:szCs w:val="24"/>
        </w:rPr>
        <w:t>D</w:t>
      </w:r>
      <w:r>
        <w:rPr>
          <w:rFonts w:ascii="Times New Roman" w:hAnsi="Times New Roman"/>
          <w:bCs w:val="0"/>
          <w:sz w:val="24"/>
          <w:szCs w:val="24"/>
        </w:rPr>
        <w:t>efined</w:t>
      </w:r>
      <w:r w:rsidRPr="00EE3B86">
        <w:rPr>
          <w:rFonts w:ascii="Times New Roman" w:hAnsi="Times New Roman"/>
          <w:bCs w:val="0"/>
          <w:sz w:val="24"/>
          <w:szCs w:val="24"/>
        </w:rPr>
        <w:t xml:space="preserve"> in the GHD</w:t>
      </w:r>
      <w:bookmarkEnd w:id="17"/>
    </w:p>
    <w:p w14:paraId="08186C08" w14:textId="04BE1421" w:rsidR="003D7ECC" w:rsidRPr="00EE3B86" w:rsidRDefault="002E25FB" w:rsidP="00811B4C">
      <w:pPr>
        <w:pStyle w:val="WSParaNum"/>
        <w:numPr>
          <w:ilvl w:val="0"/>
          <w:numId w:val="1"/>
        </w:numPr>
        <w:spacing w:before="0" w:after="0"/>
        <w:jc w:val="both"/>
      </w:pPr>
      <w:r w:rsidRPr="00EE3B86">
        <w:t>Th</w:t>
      </w:r>
      <w:r w:rsidR="005D7A00" w:rsidRPr="00EE3B86">
        <w:t xml:space="preserve">e Appellants </w:t>
      </w:r>
      <w:r w:rsidR="00512CB3" w:rsidRPr="00EE3B86">
        <w:t xml:space="preserve">improperly and without any legal basis </w:t>
      </w:r>
      <w:r w:rsidR="0044128A" w:rsidRPr="00EE3B86">
        <w:t>argue</w:t>
      </w:r>
      <w:r w:rsidR="005D7A00" w:rsidRPr="00EE3B86">
        <w:t xml:space="preserve"> that</w:t>
      </w:r>
      <w:r w:rsidR="00217FD8" w:rsidRPr="00EE3B86">
        <w:t xml:space="preserve"> the GHD particularizes the </w:t>
      </w:r>
      <w:r w:rsidR="00217FD8" w:rsidRPr="00811B4C">
        <w:rPr>
          <w:i/>
          <w:iCs/>
        </w:rPr>
        <w:t>ESA</w:t>
      </w:r>
      <w:r w:rsidR="00217FD8" w:rsidRPr="00EE3B86">
        <w:t>’s definition of habitat</w:t>
      </w:r>
      <w:r w:rsidR="00906369" w:rsidRPr="00EE3B86">
        <w:t xml:space="preserve"> by supplying species-specific scientific data, that it is grounded in credible and up-to-date science, and that its use by the Trial Justice was consistent with the purpose of the </w:t>
      </w:r>
      <w:r w:rsidR="00906369" w:rsidRPr="00811B4C">
        <w:rPr>
          <w:i/>
          <w:iCs/>
        </w:rPr>
        <w:t>ESA</w:t>
      </w:r>
      <w:r w:rsidR="00CB3520" w:rsidRPr="00EE3B86">
        <w:t>. The Appel</w:t>
      </w:r>
      <w:r w:rsidR="00E65E4E" w:rsidRPr="00EE3B86">
        <w:t>la</w:t>
      </w:r>
      <w:r w:rsidR="00CB3520" w:rsidRPr="00EE3B86">
        <w:t xml:space="preserve">nts further submit that the GHD’s incorporation into the Blanding’s </w:t>
      </w:r>
      <w:r w:rsidR="00F73918">
        <w:t>T</w:t>
      </w:r>
      <w:r w:rsidR="003D7ECC" w:rsidRPr="00EE3B86">
        <w:t xml:space="preserve">urtle recovery strategy gives it legal significance, that it functions as a stewardship tool contemplated by the Act, that the Appeal Judge owed deference to the Trial Justice’s reliance on the GHD, and that the public interest considerations require courts to attribute significant weight to such </w:t>
      </w:r>
      <w:r w:rsidR="003D7ECC" w:rsidRPr="00EE3B86">
        <w:lastRenderedPageBreak/>
        <w:t xml:space="preserve">government-issued scientific information. These submissions </w:t>
      </w:r>
      <w:r w:rsidR="00512CB3" w:rsidRPr="00EE3B86">
        <w:t xml:space="preserve">must </w:t>
      </w:r>
      <w:r w:rsidR="003D7ECC" w:rsidRPr="00EE3B86">
        <w:t>be rejected for the reasons</w:t>
      </w:r>
      <w:r w:rsidR="00811B4C">
        <w:t xml:space="preserve"> set out below</w:t>
      </w:r>
      <w:r w:rsidR="003D7ECC" w:rsidRPr="00EE3B86">
        <w:t>.</w:t>
      </w:r>
    </w:p>
    <w:p w14:paraId="3629F11C" w14:textId="69E54206" w:rsidR="003D7ECC" w:rsidRPr="00EE3B86" w:rsidRDefault="00FC79A7" w:rsidP="00A9734C">
      <w:pPr>
        <w:pStyle w:val="WSParaNum"/>
        <w:numPr>
          <w:ilvl w:val="0"/>
          <w:numId w:val="1"/>
        </w:numPr>
        <w:spacing w:before="0" w:after="0"/>
        <w:jc w:val="both"/>
      </w:pPr>
      <w:r w:rsidRPr="00EE3B86">
        <w:t>T</w:t>
      </w:r>
      <w:r w:rsidR="003D7ECC" w:rsidRPr="00EE3B86">
        <w:t>he GHD does not “particularize” the legal definition of habitat. While the document contains species-leve</w:t>
      </w:r>
      <w:r w:rsidR="00252812" w:rsidRPr="00EE3B86">
        <w:t>l biological information, it does not identify</w:t>
      </w:r>
      <w:r w:rsidR="008064F9" w:rsidRPr="00EE3B86">
        <w:t xml:space="preserve"> or assess the Circle Lake site, nor does it determine whether the turtles depended on the </w:t>
      </w:r>
      <w:r w:rsidRPr="00EE3B86">
        <w:t>Site</w:t>
      </w:r>
      <w:r w:rsidR="008064F9" w:rsidRPr="00EE3B86">
        <w:t xml:space="preserve"> to carry on life processes during the offence period. The </w:t>
      </w:r>
      <w:r w:rsidR="008064F9" w:rsidRPr="00DC1F17">
        <w:rPr>
          <w:i/>
          <w:iCs/>
        </w:rPr>
        <w:t>ESA</w:t>
      </w:r>
      <w:r w:rsidR="001D775B" w:rsidRPr="00EE3B86">
        <w:t xml:space="preserve"> itself supplies the legal test in </w:t>
      </w:r>
      <w:r w:rsidR="007D72F2" w:rsidRPr="00EE3B86">
        <w:t>s</w:t>
      </w:r>
      <w:r w:rsidR="004025A1">
        <w:t>ections</w:t>
      </w:r>
      <w:r w:rsidR="001D775B" w:rsidRPr="00EE3B86">
        <w:t xml:space="preserve"> 2(1) and 2(2). The GHD </w:t>
      </w:r>
      <w:r w:rsidRPr="00EE3B86">
        <w:t xml:space="preserve">provides </w:t>
      </w:r>
      <w:r w:rsidR="001D775B" w:rsidRPr="00EE3B86">
        <w:t xml:space="preserve">generic, non-specific information that cannot substitute for site-specific proof. </w:t>
      </w:r>
    </w:p>
    <w:p w14:paraId="4862144C" w14:textId="70A0A748" w:rsidR="00C10622" w:rsidRDefault="00956A6D" w:rsidP="00C10622">
      <w:pPr>
        <w:pStyle w:val="WSParaNum"/>
        <w:numPr>
          <w:ilvl w:val="0"/>
          <w:numId w:val="0"/>
        </w:numPr>
        <w:spacing w:line="240" w:lineRule="auto"/>
        <w:ind w:firstLine="720"/>
        <w:rPr>
          <w:sz w:val="20"/>
          <w:szCs w:val="20"/>
        </w:rPr>
      </w:pPr>
      <w:r w:rsidRPr="00EE3B86">
        <w:rPr>
          <w:i/>
          <w:iCs/>
          <w:sz w:val="20"/>
          <w:szCs w:val="20"/>
        </w:rPr>
        <w:t>OCJ Decision</w:t>
      </w:r>
      <w:r w:rsidRPr="00EE3B86">
        <w:rPr>
          <w:sz w:val="20"/>
          <w:szCs w:val="20"/>
        </w:rPr>
        <w:t xml:space="preserve">, </w:t>
      </w:r>
      <w:r w:rsidRPr="00EE3B86">
        <w:rPr>
          <w:i/>
          <w:iCs/>
          <w:sz w:val="20"/>
          <w:szCs w:val="20"/>
        </w:rPr>
        <w:t xml:space="preserve">supra </w:t>
      </w:r>
      <w:r w:rsidRPr="00EE3B86">
        <w:rPr>
          <w:sz w:val="20"/>
          <w:szCs w:val="20"/>
        </w:rPr>
        <w:t>note 9</w:t>
      </w:r>
      <w:r w:rsidRPr="00EE3B86">
        <w:rPr>
          <w:i/>
          <w:iCs/>
          <w:sz w:val="20"/>
          <w:szCs w:val="20"/>
        </w:rPr>
        <w:t xml:space="preserve"> </w:t>
      </w:r>
      <w:r w:rsidRPr="00EE3B86">
        <w:rPr>
          <w:sz w:val="20"/>
          <w:szCs w:val="20"/>
        </w:rPr>
        <w:t>at 8,10.</w:t>
      </w:r>
    </w:p>
    <w:p w14:paraId="47573D7A" w14:textId="6A9C3CD6" w:rsidR="282BDD80" w:rsidRPr="00EE3B86" w:rsidRDefault="00956A6D" w:rsidP="00C10622">
      <w:pPr>
        <w:pStyle w:val="WSParaNum"/>
        <w:numPr>
          <w:ilvl w:val="0"/>
          <w:numId w:val="0"/>
        </w:numPr>
        <w:spacing w:line="240" w:lineRule="auto"/>
        <w:ind w:firstLine="720"/>
        <w:rPr>
          <w:sz w:val="22"/>
          <w:szCs w:val="22"/>
          <w:highlight w:val="magenta"/>
        </w:rPr>
      </w:pPr>
      <w:r w:rsidRPr="00C10622">
        <w:rPr>
          <w:i/>
          <w:iCs/>
          <w:sz w:val="20"/>
          <w:szCs w:val="20"/>
        </w:rPr>
        <w:t>ONCA Decision</w:t>
      </w:r>
      <w:r w:rsidRPr="00C10622">
        <w:rPr>
          <w:sz w:val="20"/>
          <w:szCs w:val="20"/>
        </w:rPr>
        <w:t xml:space="preserve">, </w:t>
      </w:r>
      <w:r w:rsidRPr="00C10622">
        <w:rPr>
          <w:i/>
          <w:iCs/>
          <w:sz w:val="20"/>
          <w:szCs w:val="20"/>
        </w:rPr>
        <w:t xml:space="preserve">supra </w:t>
      </w:r>
      <w:r w:rsidRPr="00C10622">
        <w:rPr>
          <w:sz w:val="20"/>
          <w:szCs w:val="20"/>
        </w:rPr>
        <w:t>note 18 at para 44.</w:t>
      </w:r>
    </w:p>
    <w:p w14:paraId="7A294131" w14:textId="46252704" w:rsidR="001D775B" w:rsidRPr="00EE3B86" w:rsidRDefault="00FC79A7" w:rsidP="00877E70">
      <w:pPr>
        <w:pStyle w:val="WSParaNum"/>
        <w:numPr>
          <w:ilvl w:val="1"/>
          <w:numId w:val="1"/>
        </w:numPr>
        <w:spacing w:before="0" w:after="0"/>
        <w:jc w:val="both"/>
      </w:pPr>
      <w:r w:rsidRPr="00EE3B86">
        <w:t>S</w:t>
      </w:r>
      <w:r w:rsidR="00A82344" w:rsidRPr="00EE3B86">
        <w:t xml:space="preserve">cientific credibility does not transform policy guidance into determinative legal evidence. The Trial Justice’s reliance on the GHD </w:t>
      </w:r>
      <w:r w:rsidR="005E26B6" w:rsidRPr="00EE3B86">
        <w:t>wa</w:t>
      </w:r>
      <w:r w:rsidR="0004455E" w:rsidRPr="00EE3B86">
        <w:t>s not saved</w:t>
      </w:r>
      <w:r w:rsidR="00535175" w:rsidRPr="00EE3B86">
        <w:t xml:space="preserve"> by its scientific foundation or its consistency with the </w:t>
      </w:r>
      <w:r w:rsidRPr="00DC056E">
        <w:rPr>
          <w:i/>
          <w:iCs/>
        </w:rPr>
        <w:t>ESA</w:t>
      </w:r>
      <w:r w:rsidR="00535175" w:rsidRPr="00EE3B86">
        <w:t>’s purpose</w:t>
      </w:r>
      <w:r w:rsidR="00E235BF" w:rsidRPr="00EE3B86">
        <w:t xml:space="preserve">. The </w:t>
      </w:r>
      <w:r w:rsidR="00E235BF" w:rsidRPr="00DC056E">
        <w:rPr>
          <w:i/>
          <w:iCs/>
        </w:rPr>
        <w:t>ESA</w:t>
      </w:r>
      <w:r w:rsidR="00E235BF" w:rsidRPr="00EE3B86">
        <w:t xml:space="preserve"> </w:t>
      </w:r>
      <w:r w:rsidRPr="00EE3B86">
        <w:t xml:space="preserve">penalizes </w:t>
      </w:r>
      <w:r w:rsidR="00E235BF" w:rsidRPr="00EE3B86">
        <w:t>damage to “habitat” as statutorily defined, not</w:t>
      </w:r>
      <w:r w:rsidR="00406FBD" w:rsidRPr="00EE3B86">
        <w:t xml:space="preserve"> damage to areas described in guidance documents. Legislative purpose cannot be used to displace express statutory limits or lower the Crown’s burden </w:t>
      </w:r>
      <w:r w:rsidR="00AD63EF" w:rsidRPr="00EE3B86">
        <w:t xml:space="preserve">of proof. </w:t>
      </w:r>
    </w:p>
    <w:p w14:paraId="79D22AFF" w14:textId="03848656" w:rsidR="00A46B9E" w:rsidRPr="00EE3B86" w:rsidRDefault="00FC79A7" w:rsidP="00877E70">
      <w:pPr>
        <w:pStyle w:val="WSParaNum"/>
        <w:numPr>
          <w:ilvl w:val="1"/>
          <w:numId w:val="1"/>
        </w:numPr>
        <w:spacing w:before="0" w:after="0"/>
        <w:jc w:val="both"/>
      </w:pPr>
      <w:r w:rsidRPr="00EE3B86">
        <w:t>T</w:t>
      </w:r>
      <w:r w:rsidR="00A46B9E" w:rsidRPr="00EE3B86">
        <w:t xml:space="preserve">he GHD’s citation in a recovery </w:t>
      </w:r>
      <w:r w:rsidR="0070012B" w:rsidRPr="00EE3B86">
        <w:t xml:space="preserve">strategy does not confer legal status. Recovery strategies are planning instruments designed to guide conservation and recovery elements. They do not prescribe habitat by regulation, nor do they amend or </w:t>
      </w:r>
      <w:r w:rsidR="00F77E3E" w:rsidRPr="00EE3B86">
        <w:t>clarify the st</w:t>
      </w:r>
      <w:r w:rsidR="006063F9" w:rsidRPr="00EE3B86">
        <w:t xml:space="preserve">atutory definition of habitat. The </w:t>
      </w:r>
      <w:r w:rsidR="006063F9" w:rsidRPr="00DC056E">
        <w:rPr>
          <w:i/>
          <w:iCs/>
        </w:rPr>
        <w:t>ESA</w:t>
      </w:r>
      <w:r w:rsidR="009323E3" w:rsidRPr="00EE3B86">
        <w:t xml:space="preserve"> </w:t>
      </w:r>
      <w:r w:rsidR="00657624" w:rsidRPr="00EE3B86">
        <w:t xml:space="preserve">maintains a clear distinction between legally prescribed habitat and habitat that must be proven through evidence of dependency. </w:t>
      </w:r>
    </w:p>
    <w:p w14:paraId="009ACA0C" w14:textId="14135A76" w:rsidR="00657624" w:rsidRPr="00EE3B86" w:rsidRDefault="00FC79A7" w:rsidP="00877E70">
      <w:pPr>
        <w:pStyle w:val="WSParaNum"/>
        <w:numPr>
          <w:ilvl w:val="1"/>
          <w:numId w:val="1"/>
        </w:numPr>
        <w:spacing w:before="0" w:after="0"/>
        <w:jc w:val="both"/>
      </w:pPr>
      <w:r w:rsidRPr="00EE3B86">
        <w:t>T</w:t>
      </w:r>
      <w:r w:rsidR="00973A3E" w:rsidRPr="00EE3B86">
        <w:t>he stewardship value of the GHD is irrelevant. That the GHD assists regulators, researchers, and developers does not automatically make it suitable as determinative proof in a quasi-criminal p</w:t>
      </w:r>
      <w:r w:rsidR="005D1EF5" w:rsidRPr="00EE3B86">
        <w:t xml:space="preserve">roceeding. Accepting the Appellant’s argument would collapse the distinction between education, policy, and law. </w:t>
      </w:r>
    </w:p>
    <w:p w14:paraId="41EE1C3A" w14:textId="1AE79709" w:rsidR="005D1EF5" w:rsidRPr="00EE3B86" w:rsidRDefault="00FC79A7" w:rsidP="00877E70">
      <w:pPr>
        <w:pStyle w:val="WSParaNum"/>
        <w:numPr>
          <w:ilvl w:val="1"/>
          <w:numId w:val="1"/>
        </w:numPr>
        <w:spacing w:before="0" w:after="0"/>
        <w:jc w:val="both"/>
      </w:pPr>
      <w:r w:rsidRPr="00EE3B86">
        <w:t>D</w:t>
      </w:r>
      <w:r w:rsidR="005D1EF5" w:rsidRPr="00EE3B86">
        <w:t xml:space="preserve">eference does not apply </w:t>
      </w:r>
      <w:r w:rsidR="00137344" w:rsidRPr="00EE3B86">
        <w:t>to the legal error identified by the OCJ</w:t>
      </w:r>
      <w:r w:rsidR="00F439D1" w:rsidRPr="00EE3B86">
        <w:t>. The Appeal Judge did not interfere with the Trial Justice’s discretionary evidentiary rulings</w:t>
      </w:r>
      <w:r w:rsidR="00297270" w:rsidRPr="00EE3B86">
        <w:t xml:space="preserve">. </w:t>
      </w:r>
      <w:r w:rsidR="00542C28" w:rsidRPr="00EE3B86">
        <w:t xml:space="preserve">Rather, </w:t>
      </w:r>
      <w:r w:rsidRPr="00EE3B86">
        <w:t xml:space="preserve">the Trial Justice </w:t>
      </w:r>
      <w:r w:rsidR="00542C28" w:rsidRPr="00EE3B86">
        <w:t xml:space="preserve">found an </w:t>
      </w:r>
      <w:r w:rsidR="00153BF5" w:rsidRPr="00EE3B86">
        <w:t xml:space="preserve">error of law in the use of the GHD as conclusive proof of habitat. Deference cannot shield a trial decision that substitutes generalized policy for proof of a statutory element. </w:t>
      </w:r>
    </w:p>
    <w:p w14:paraId="17FD917A" w14:textId="38901B5E" w:rsidR="00EB1F67" w:rsidRPr="00034DA1" w:rsidRDefault="00FC79A7" w:rsidP="00877E70">
      <w:pPr>
        <w:pStyle w:val="WSParaNum"/>
        <w:numPr>
          <w:ilvl w:val="1"/>
          <w:numId w:val="1"/>
        </w:numPr>
        <w:spacing w:before="0" w:after="0"/>
        <w:jc w:val="both"/>
      </w:pPr>
      <w:r w:rsidRPr="00034DA1">
        <w:lastRenderedPageBreak/>
        <w:t>T</w:t>
      </w:r>
      <w:r w:rsidR="00EB1F67" w:rsidRPr="00034DA1">
        <w:t>he public interest does not justify relaxing evidentiary standards</w:t>
      </w:r>
      <w:r w:rsidR="00F71C53" w:rsidRPr="00034DA1">
        <w:t>. While environmental protection is an important legislative objective, it does not permit conviction based on ecological potential rather than proof of habitat as defined by the legislature.</w:t>
      </w:r>
      <w:r w:rsidR="000461F6" w:rsidRPr="00034DA1">
        <w:t xml:space="preserve"> </w:t>
      </w:r>
    </w:p>
    <w:p w14:paraId="1B91ECA0" w14:textId="625A7C23" w:rsidR="796C0C81" w:rsidRPr="00EE3B86" w:rsidRDefault="796C0C81" w:rsidP="00FA47A7">
      <w:pPr>
        <w:pStyle w:val="Heading2"/>
        <w:tabs>
          <w:tab w:val="num" w:pos="720"/>
        </w:tabs>
        <w:spacing w:before="0" w:after="0" w:line="360" w:lineRule="auto"/>
        <w:jc w:val="both"/>
        <w:rPr>
          <w:rFonts w:ascii="Times New Roman" w:hAnsi="Times New Roman"/>
          <w:i w:val="0"/>
          <w:iCs w:val="0"/>
          <w:sz w:val="24"/>
          <w:szCs w:val="24"/>
        </w:rPr>
      </w:pPr>
      <w:bookmarkStart w:id="18" w:name="_Toc220056502"/>
      <w:r w:rsidRPr="00EE3B86">
        <w:rPr>
          <w:rFonts w:ascii="Times New Roman" w:hAnsi="Times New Roman"/>
          <w:i w:val="0"/>
          <w:iCs w:val="0"/>
          <w:sz w:val="24"/>
          <w:szCs w:val="24"/>
        </w:rPr>
        <w:t xml:space="preserve">Issue 3: </w:t>
      </w:r>
      <w:r w:rsidR="00093CB4">
        <w:rPr>
          <w:rFonts w:ascii="Times New Roman" w:hAnsi="Times New Roman"/>
          <w:i w:val="0"/>
          <w:iCs w:val="0"/>
          <w:sz w:val="24"/>
          <w:szCs w:val="24"/>
        </w:rPr>
        <w:t>No Error</w:t>
      </w:r>
      <w:r w:rsidR="764F725C" w:rsidRPr="00EE3B86">
        <w:rPr>
          <w:rFonts w:ascii="Times New Roman" w:hAnsi="Times New Roman"/>
          <w:i w:val="0"/>
          <w:iCs w:val="0"/>
          <w:sz w:val="24"/>
          <w:szCs w:val="24"/>
        </w:rPr>
        <w:t xml:space="preserve"> in Applying the Statutory Definition of Habitat, Including Indirect Dependence.</w:t>
      </w:r>
      <w:bookmarkEnd w:id="18"/>
    </w:p>
    <w:p w14:paraId="28A9819B" w14:textId="7C29EC07" w:rsidR="21B340B1" w:rsidRPr="00B839D1" w:rsidRDefault="24E8FEA2" w:rsidP="00FA47A7">
      <w:pPr>
        <w:pStyle w:val="Heading3"/>
        <w:spacing w:line="360" w:lineRule="auto"/>
        <w:jc w:val="both"/>
        <w:rPr>
          <w:rFonts w:ascii="Times New Roman" w:hAnsi="Times New Roman"/>
          <w:sz w:val="24"/>
          <w:szCs w:val="24"/>
        </w:rPr>
      </w:pPr>
      <w:bookmarkStart w:id="19" w:name="_Toc220056503"/>
      <w:r w:rsidRPr="00EE3B86">
        <w:rPr>
          <w:rFonts w:ascii="Times New Roman" w:hAnsi="Times New Roman"/>
          <w:sz w:val="24"/>
          <w:szCs w:val="24"/>
        </w:rPr>
        <w:t xml:space="preserve">The OCJ Applied the Correct Legal Test Under the </w:t>
      </w:r>
      <w:r w:rsidRPr="00E23EF7">
        <w:rPr>
          <w:rFonts w:ascii="Times New Roman" w:hAnsi="Times New Roman"/>
          <w:i/>
          <w:iCs/>
          <w:sz w:val="24"/>
          <w:szCs w:val="24"/>
        </w:rPr>
        <w:t>ESA</w:t>
      </w:r>
      <w:bookmarkEnd w:id="19"/>
    </w:p>
    <w:p w14:paraId="1528FF80" w14:textId="40EF587D" w:rsidR="005C67D3" w:rsidRDefault="7A5C3F36" w:rsidP="005C67D3">
      <w:pPr>
        <w:pStyle w:val="WSParaNum"/>
        <w:numPr>
          <w:ilvl w:val="0"/>
          <w:numId w:val="1"/>
        </w:numPr>
        <w:spacing w:before="0" w:after="0"/>
        <w:jc w:val="both"/>
      </w:pPr>
      <w:r w:rsidRPr="00EE3B86">
        <w:t xml:space="preserve">The </w:t>
      </w:r>
      <w:r w:rsidR="00FC79A7" w:rsidRPr="00EE3B86">
        <w:t xml:space="preserve">OCJ did not </w:t>
      </w:r>
      <w:r w:rsidRPr="00EE3B86">
        <w:t>fail</w:t>
      </w:r>
      <w:r w:rsidR="00FC79A7" w:rsidRPr="00EE3B86">
        <w:t xml:space="preserve"> </w:t>
      </w:r>
      <w:r w:rsidRPr="00EE3B86">
        <w:t xml:space="preserve">to consider or give effect to the portion of the </w:t>
      </w:r>
      <w:r w:rsidRPr="00DC056E">
        <w:rPr>
          <w:i/>
          <w:iCs/>
        </w:rPr>
        <w:t>ESA</w:t>
      </w:r>
      <w:r w:rsidRPr="00EE3B86">
        <w:t xml:space="preserve"> definition of habitat that includes areas on which a species depends indirectly on to carry out its life processes.</w:t>
      </w:r>
    </w:p>
    <w:p w14:paraId="240B2D96" w14:textId="40B621C6" w:rsidR="4C7CE0C2" w:rsidRPr="005C67D3" w:rsidRDefault="53143639" w:rsidP="004040F5">
      <w:pPr>
        <w:pStyle w:val="WSParaNum"/>
        <w:numPr>
          <w:ilvl w:val="0"/>
          <w:numId w:val="1"/>
        </w:numPr>
        <w:spacing w:before="0" w:after="0"/>
        <w:jc w:val="both"/>
        <w:rPr>
          <w:color w:val="000000" w:themeColor="text1"/>
        </w:rPr>
      </w:pPr>
      <w:r w:rsidRPr="755FB464">
        <w:rPr>
          <w:color w:val="000000" w:themeColor="text1"/>
        </w:rPr>
        <w:t>Although framed as an error of statutory interpretation, this issue in substance concerns whether the evidence established “dependence” within the statutory definition of habitat. That determination involves the application of law to the evidentiary record and is therefore a question of mixed fact and law. Justice Mathias correctly identified the governing legal test and concluded that the Crown failed to establish dependence during the offence period. Absent an extricable error of law, her conclusion attracts deference and may be disturbed only upon a palpable and overriding error</w:t>
      </w:r>
      <w:r w:rsidR="00014BE8" w:rsidRPr="755FB464">
        <w:rPr>
          <w:color w:val="000000" w:themeColor="text1"/>
        </w:rPr>
        <w:t>.</w:t>
      </w:r>
    </w:p>
    <w:p w14:paraId="54B030C6" w14:textId="4D5392B1" w:rsidR="00CF4CBE" w:rsidRPr="00014BE8" w:rsidRDefault="00014BE8" w:rsidP="51C8701F">
      <w:pPr>
        <w:pStyle w:val="WSParaNum"/>
        <w:numPr>
          <w:ilvl w:val="0"/>
          <w:numId w:val="0"/>
        </w:numPr>
        <w:spacing w:line="240" w:lineRule="auto"/>
        <w:ind w:firstLine="720"/>
        <w:jc w:val="both"/>
        <w:rPr>
          <w:color w:val="000000" w:themeColor="text1"/>
          <w:sz w:val="20"/>
          <w:szCs w:val="20"/>
        </w:rPr>
      </w:pPr>
      <w:r w:rsidRPr="51C8701F">
        <w:rPr>
          <w:i/>
          <w:iCs/>
          <w:color w:val="000000" w:themeColor="text1"/>
          <w:sz w:val="20"/>
          <w:szCs w:val="20"/>
        </w:rPr>
        <w:t>Housen v Nikolaisen</w:t>
      </w:r>
      <w:r w:rsidRPr="51C8701F">
        <w:rPr>
          <w:color w:val="000000" w:themeColor="text1"/>
          <w:sz w:val="20"/>
          <w:szCs w:val="20"/>
        </w:rPr>
        <w:t>, 2002 SCC 33 at para 28</w:t>
      </w:r>
      <w:r w:rsidR="00F361D7" w:rsidRPr="51C8701F">
        <w:rPr>
          <w:color w:val="000000" w:themeColor="text1"/>
          <w:sz w:val="20"/>
          <w:szCs w:val="20"/>
        </w:rPr>
        <w:t xml:space="preserve">. </w:t>
      </w:r>
    </w:p>
    <w:p w14:paraId="771FF1A8" w14:textId="338B3FE7" w:rsidR="25B96C53" w:rsidRPr="001E579A" w:rsidRDefault="25B96C53" w:rsidP="004040F5">
      <w:pPr>
        <w:pStyle w:val="WSParaNum"/>
        <w:numPr>
          <w:ilvl w:val="0"/>
          <w:numId w:val="1"/>
        </w:numPr>
        <w:spacing w:before="0" w:after="0"/>
        <w:jc w:val="both"/>
      </w:pPr>
      <w:r w:rsidRPr="001E579A">
        <w:t xml:space="preserve">The </w:t>
      </w:r>
      <w:r w:rsidR="00FC0EA4">
        <w:t>A</w:t>
      </w:r>
      <w:r w:rsidRPr="001E579A">
        <w:t>ppellant</w:t>
      </w:r>
      <w:r w:rsidR="00387069">
        <w:t>’</w:t>
      </w:r>
      <w:r w:rsidRPr="001E579A">
        <w:t xml:space="preserve">s argument, </w:t>
      </w:r>
      <w:r w:rsidR="00387069">
        <w:t xml:space="preserve">despite being </w:t>
      </w:r>
      <w:r w:rsidRPr="001E579A">
        <w:t>framed as a question of statutory interpretation, in substance seeks to re-litigate the evidentiary record. Disagreement with the appeal judge’s assessment of the evidence does not transform a mixed question of fact and law into an error of law.</w:t>
      </w:r>
      <w:r w:rsidR="164C09E0">
        <w:t xml:space="preserve"> </w:t>
      </w:r>
    </w:p>
    <w:p w14:paraId="3EF94B63" w14:textId="525D9167" w:rsidR="25B96C53" w:rsidRPr="001E579A" w:rsidRDefault="164C09E0" w:rsidP="004040F5">
      <w:pPr>
        <w:pStyle w:val="WSParaNum"/>
        <w:numPr>
          <w:ilvl w:val="0"/>
          <w:numId w:val="1"/>
        </w:numPr>
        <w:spacing w:before="0" w:after="0"/>
        <w:jc w:val="both"/>
      </w:pPr>
      <w:r>
        <w:t>In the alternative</w:t>
      </w:r>
      <w:r w:rsidR="6D3E3853">
        <w:t xml:space="preserve">, even if </w:t>
      </w:r>
      <w:r w:rsidR="5F1EC9C1">
        <w:t>an</w:t>
      </w:r>
      <w:r w:rsidR="6D3E3853">
        <w:t xml:space="preserve"> extricable error of law were found and the </w:t>
      </w:r>
      <w:r w:rsidR="67DD29ED">
        <w:t>correctness</w:t>
      </w:r>
      <w:r w:rsidR="6D3E3853">
        <w:t xml:space="preserve"> </w:t>
      </w:r>
      <w:r w:rsidR="750AEFA7">
        <w:t>standard</w:t>
      </w:r>
      <w:r w:rsidR="6D3E3853">
        <w:t xml:space="preserve"> applied, the result would be the same. </w:t>
      </w:r>
      <w:r w:rsidR="544762C8">
        <w:t>Properly</w:t>
      </w:r>
      <w:r w:rsidR="6D3E3853">
        <w:t xml:space="preserve"> </w:t>
      </w:r>
      <w:r w:rsidR="5A2DAA96">
        <w:t>interpreted</w:t>
      </w:r>
      <w:r w:rsidR="6D3E3853">
        <w:t xml:space="preserve">, section 2(1) and 2(2) of the </w:t>
      </w:r>
      <w:r w:rsidR="1B57CA85">
        <w:t xml:space="preserve">ESA require proof of present </w:t>
      </w:r>
      <w:r w:rsidR="713D9F92">
        <w:t>dependence</w:t>
      </w:r>
      <w:r w:rsidR="1B57CA85">
        <w:t xml:space="preserve"> by </w:t>
      </w:r>
      <w:r w:rsidR="5F3F28E3">
        <w:t>existing</w:t>
      </w:r>
      <w:r w:rsidR="1B57CA85">
        <w:t xml:space="preserve"> </w:t>
      </w:r>
      <w:r w:rsidR="352837EB">
        <w:t>members</w:t>
      </w:r>
      <w:r w:rsidR="1B57CA85">
        <w:t xml:space="preserve"> of the </w:t>
      </w:r>
      <w:r w:rsidR="336CDDB1">
        <w:t>species</w:t>
      </w:r>
      <w:r w:rsidR="1B57CA85">
        <w:t xml:space="preserve">. The </w:t>
      </w:r>
      <w:r w:rsidR="29AC4F11">
        <w:t>record</w:t>
      </w:r>
      <w:r w:rsidR="1B57CA85">
        <w:t xml:space="preserve"> did not </w:t>
      </w:r>
      <w:r w:rsidR="11F9B943">
        <w:t>establish</w:t>
      </w:r>
      <w:r w:rsidR="1B57CA85">
        <w:t xml:space="preserve"> such dep</w:t>
      </w:r>
      <w:r w:rsidR="741F6A08">
        <w:t>endence</w:t>
      </w:r>
      <w:r w:rsidR="1B57CA85">
        <w:t>,</w:t>
      </w:r>
      <w:r w:rsidR="6D3E3853">
        <w:t xml:space="preserve"> </w:t>
      </w:r>
      <w:r w:rsidR="1B57CA85">
        <w:t xml:space="preserve">and thus the OCJ </w:t>
      </w:r>
      <w:r w:rsidR="69795F3D">
        <w:t>therefore</w:t>
      </w:r>
      <w:r w:rsidR="1B57CA85">
        <w:t xml:space="preserve"> reached the correct</w:t>
      </w:r>
      <w:r w:rsidR="72185B94">
        <w:t xml:space="preserve"> result. </w:t>
      </w:r>
      <w:r w:rsidR="6D3E3853">
        <w:t xml:space="preserve"> </w:t>
      </w:r>
    </w:p>
    <w:p w14:paraId="6216DBDC" w14:textId="0FB222DF" w:rsidR="71E0B1A3" w:rsidRPr="00F91084" w:rsidRDefault="71E0B1A3" w:rsidP="00213D91">
      <w:pPr>
        <w:pStyle w:val="WSParaNum"/>
        <w:numPr>
          <w:ilvl w:val="0"/>
          <w:numId w:val="1"/>
        </w:numPr>
        <w:spacing w:before="0" w:after="0"/>
        <w:jc w:val="both"/>
        <w:rPr>
          <w:color w:val="000000" w:themeColor="text1"/>
          <w:lang w:val="en-US"/>
        </w:rPr>
      </w:pPr>
      <w:r w:rsidRPr="00014BE8">
        <w:rPr>
          <w:lang w:val="en-US"/>
        </w:rPr>
        <w:t>Justice Mathias expressly cited the correct statutory definition of habitat, including both direct and indirect dependence</w:t>
      </w:r>
      <w:r w:rsidRPr="00014BE8">
        <w:rPr>
          <w:color w:val="000000" w:themeColor="text1"/>
          <w:lang w:val="en-US"/>
        </w:rPr>
        <w:t>.</w:t>
      </w:r>
      <w:r w:rsidR="005F080F">
        <w:rPr>
          <w:color w:val="000000" w:themeColor="text1"/>
          <w:lang w:val="en-US"/>
        </w:rPr>
        <w:t xml:space="preserve"> </w:t>
      </w:r>
      <w:r w:rsidRPr="00014BE8">
        <w:rPr>
          <w:lang w:val="en-US"/>
        </w:rPr>
        <w:t xml:space="preserve">The Crown bore the burden of establishing dependence within that definition. Nothing in the reasons suggests that any portion of the statutory test was disregarded. Rather, the reasons demonstrate that Justice Mathias understood and applied the proper legal framework but concluded that the evidence failed to establish dependence on the Site during the </w:t>
      </w:r>
      <w:r w:rsidRPr="00014BE8">
        <w:rPr>
          <w:lang w:val="en-US"/>
        </w:rPr>
        <w:lastRenderedPageBreak/>
        <w:t>offence period. That conclusion reflects a assessment made within the correct legal framework and is entitled to deference on appellate review.</w:t>
      </w:r>
    </w:p>
    <w:p w14:paraId="687209A9" w14:textId="581E4B2D" w:rsidR="00F91084" w:rsidRPr="00F91084" w:rsidRDefault="00F91084" w:rsidP="00213D91">
      <w:pPr>
        <w:pStyle w:val="WSParaNum"/>
        <w:numPr>
          <w:ilvl w:val="0"/>
          <w:numId w:val="0"/>
        </w:numPr>
        <w:spacing w:before="0" w:after="0" w:line="240" w:lineRule="auto"/>
        <w:ind w:firstLine="720"/>
        <w:jc w:val="both"/>
        <w:rPr>
          <w:color w:val="000000" w:themeColor="text1"/>
          <w:sz w:val="20"/>
          <w:szCs w:val="20"/>
          <w:lang w:val="en-US"/>
        </w:rPr>
      </w:pPr>
      <w:r w:rsidRPr="005F080F">
        <w:rPr>
          <w:i/>
          <w:iCs/>
          <w:color w:val="000000" w:themeColor="text1"/>
          <w:sz w:val="20"/>
          <w:szCs w:val="20"/>
          <w:lang w:val="en-US"/>
        </w:rPr>
        <w:t>OCJ Decision</w:t>
      </w:r>
      <w:r w:rsidRPr="005F080F">
        <w:rPr>
          <w:color w:val="000000" w:themeColor="text1"/>
          <w:sz w:val="20"/>
          <w:szCs w:val="20"/>
          <w:lang w:val="en-US"/>
        </w:rPr>
        <w:t xml:space="preserve">, </w:t>
      </w:r>
      <w:r w:rsidRPr="005F080F">
        <w:rPr>
          <w:i/>
          <w:iCs/>
          <w:color w:val="000000" w:themeColor="text1"/>
          <w:sz w:val="20"/>
          <w:szCs w:val="20"/>
          <w:lang w:val="en-US"/>
        </w:rPr>
        <w:t xml:space="preserve">supra </w:t>
      </w:r>
      <w:r w:rsidRPr="005F080F">
        <w:rPr>
          <w:color w:val="000000" w:themeColor="text1"/>
          <w:sz w:val="20"/>
          <w:szCs w:val="20"/>
          <w:lang w:val="en-US"/>
        </w:rPr>
        <w:t xml:space="preserve">note 9 at </w:t>
      </w:r>
      <w:r>
        <w:rPr>
          <w:color w:val="000000" w:themeColor="text1"/>
          <w:sz w:val="20"/>
          <w:szCs w:val="20"/>
          <w:lang w:val="en-US"/>
        </w:rPr>
        <w:t>11</w:t>
      </w:r>
      <w:r w:rsidRPr="005F080F">
        <w:rPr>
          <w:color w:val="000000" w:themeColor="text1"/>
          <w:sz w:val="20"/>
          <w:szCs w:val="20"/>
          <w:lang w:val="en-US"/>
        </w:rPr>
        <w:t>.</w:t>
      </w:r>
    </w:p>
    <w:p w14:paraId="0C840A97" w14:textId="68D7A175" w:rsidR="00F91084" w:rsidRDefault="00F91084" w:rsidP="00213D91">
      <w:pPr>
        <w:pStyle w:val="WSParaNum"/>
        <w:numPr>
          <w:ilvl w:val="0"/>
          <w:numId w:val="1"/>
        </w:numPr>
        <w:spacing w:before="240" w:after="240"/>
        <w:jc w:val="both"/>
        <w:rPr>
          <w:color w:val="000000" w:themeColor="text1"/>
          <w:lang w:val="en-US"/>
        </w:rPr>
      </w:pPr>
      <w:r w:rsidRPr="00EE3B86">
        <w:rPr>
          <w:color w:val="000000" w:themeColor="text1"/>
          <w:lang w:val="en-US"/>
        </w:rPr>
        <w:t>Although Justice Mathias noted the absence of direct sightings of Blanding’s turtles on the Site, the Justice’s reasons did not impose a legal requirement of direct evidence. Instead, she concluded that the Crown failed to establish any evidentiary link between the Site and existing turtles in 2018, whether directly or indirectly. The focus of the analysis was not on the form of the evidence, but on whether the evidence, taken as a whole, demonstrated reliance on the Site as required by the statute</w:t>
      </w:r>
      <w:r>
        <w:rPr>
          <w:color w:val="000000" w:themeColor="text1"/>
          <w:lang w:val="en-US"/>
        </w:rPr>
        <w:t xml:space="preserve">. </w:t>
      </w:r>
    </w:p>
    <w:p w14:paraId="703AF365" w14:textId="63B41CFA" w:rsidR="005F080F" w:rsidRPr="00F91084" w:rsidRDefault="005F080F" w:rsidP="00FF3E5E">
      <w:pPr>
        <w:pStyle w:val="WSParaNum"/>
        <w:numPr>
          <w:ilvl w:val="0"/>
          <w:numId w:val="0"/>
        </w:numPr>
        <w:spacing w:before="240" w:after="240" w:line="240" w:lineRule="auto"/>
        <w:ind w:firstLine="720"/>
        <w:jc w:val="both"/>
        <w:rPr>
          <w:color w:val="000000" w:themeColor="text1"/>
          <w:lang w:val="en-US"/>
        </w:rPr>
      </w:pPr>
      <w:r w:rsidRPr="00F91084">
        <w:rPr>
          <w:i/>
          <w:iCs/>
          <w:color w:val="000000" w:themeColor="text1"/>
          <w:sz w:val="20"/>
          <w:szCs w:val="20"/>
          <w:lang w:val="en-US"/>
        </w:rPr>
        <w:t>ONCA Decision</w:t>
      </w:r>
      <w:r w:rsidRPr="00F91084">
        <w:rPr>
          <w:color w:val="000000" w:themeColor="text1"/>
          <w:sz w:val="20"/>
          <w:szCs w:val="20"/>
          <w:lang w:val="en-US"/>
        </w:rPr>
        <w:t xml:space="preserve">, </w:t>
      </w:r>
      <w:r w:rsidRPr="00F91084">
        <w:rPr>
          <w:i/>
          <w:iCs/>
          <w:color w:val="000000" w:themeColor="text1"/>
          <w:sz w:val="20"/>
          <w:szCs w:val="20"/>
          <w:lang w:val="en-US"/>
        </w:rPr>
        <w:t xml:space="preserve">supra </w:t>
      </w:r>
      <w:r w:rsidRPr="00F91084">
        <w:rPr>
          <w:color w:val="000000" w:themeColor="text1"/>
          <w:sz w:val="20"/>
          <w:szCs w:val="20"/>
          <w:lang w:val="en-US"/>
        </w:rPr>
        <w:t xml:space="preserve">note 18 at para </w:t>
      </w:r>
      <w:r w:rsidR="00112626" w:rsidRPr="00F91084">
        <w:rPr>
          <w:color w:val="000000" w:themeColor="text1"/>
          <w:sz w:val="20"/>
          <w:szCs w:val="20"/>
          <w:lang w:val="en-US"/>
        </w:rPr>
        <w:t>2</w:t>
      </w:r>
      <w:r w:rsidRPr="00F91084">
        <w:rPr>
          <w:color w:val="000000" w:themeColor="text1"/>
          <w:sz w:val="20"/>
          <w:szCs w:val="20"/>
          <w:lang w:val="en-US"/>
        </w:rPr>
        <w:t>4.</w:t>
      </w:r>
    </w:p>
    <w:p w14:paraId="3D9F8A69" w14:textId="1111BAE1" w:rsidR="00F91084" w:rsidRDefault="474E3353" w:rsidP="00213D91">
      <w:pPr>
        <w:pStyle w:val="WSParaNum"/>
        <w:numPr>
          <w:ilvl w:val="0"/>
          <w:numId w:val="1"/>
        </w:numPr>
        <w:spacing w:before="240" w:after="240"/>
        <w:jc w:val="both"/>
        <w:rPr>
          <w:color w:val="000000" w:themeColor="text1"/>
          <w:lang w:val="en-US"/>
        </w:rPr>
      </w:pPr>
      <w:r w:rsidRPr="00EE3B86">
        <w:rPr>
          <w:color w:val="000000" w:themeColor="text1"/>
          <w:lang w:val="en-US"/>
        </w:rPr>
        <w:t>The</w:t>
      </w:r>
      <w:r w:rsidRPr="00EE3B86" w:rsidDel="00FC79A7">
        <w:rPr>
          <w:color w:val="000000" w:themeColor="text1"/>
          <w:lang w:val="en-US"/>
        </w:rPr>
        <w:t xml:space="preserve"> </w:t>
      </w:r>
      <w:r w:rsidR="00FC79A7" w:rsidRPr="00EE3B86">
        <w:rPr>
          <w:color w:val="000000" w:themeColor="text1"/>
          <w:lang w:val="en-US"/>
        </w:rPr>
        <w:t>Appellants</w:t>
      </w:r>
      <w:r w:rsidRPr="00EE3B86" w:rsidDel="00FC79A7">
        <w:rPr>
          <w:color w:val="000000" w:themeColor="text1"/>
          <w:lang w:val="en-US"/>
        </w:rPr>
        <w:t xml:space="preserve"> </w:t>
      </w:r>
      <w:r w:rsidRPr="00EE3B86">
        <w:rPr>
          <w:color w:val="000000" w:themeColor="text1"/>
          <w:lang w:val="en-US"/>
        </w:rPr>
        <w:t xml:space="preserve">mischaracterize the OCJ ruling. The decision did not exclude indirect dependence from the statutory definition. It simply held that the Crown had not proven any form of actual dependency, whether direct or indirect, on the disturbed area. </w:t>
      </w:r>
    </w:p>
    <w:p w14:paraId="346D8BBA" w14:textId="77777777" w:rsidR="00213D91" w:rsidRDefault="474E3353" w:rsidP="00213D91">
      <w:pPr>
        <w:pStyle w:val="WSParaNum"/>
        <w:numPr>
          <w:ilvl w:val="0"/>
          <w:numId w:val="1"/>
        </w:numPr>
        <w:spacing w:before="240" w:after="240"/>
        <w:jc w:val="both"/>
        <w:rPr>
          <w:color w:val="000000" w:themeColor="text1"/>
          <w:lang w:val="en-US"/>
        </w:rPr>
      </w:pPr>
      <w:r w:rsidRPr="00F91084">
        <w:rPr>
          <w:color w:val="000000" w:themeColor="text1"/>
          <w:lang w:val="en-US"/>
        </w:rPr>
        <w:t xml:space="preserve">Justice Mathias emphasized section 2(2) of the </w:t>
      </w:r>
      <w:r w:rsidRPr="00213D91">
        <w:rPr>
          <w:i/>
          <w:iCs/>
          <w:color w:val="000000" w:themeColor="text1"/>
          <w:lang w:val="en-US"/>
        </w:rPr>
        <w:t>ESA</w:t>
      </w:r>
      <w:r w:rsidRPr="00F91084">
        <w:rPr>
          <w:color w:val="000000" w:themeColor="text1"/>
          <w:lang w:val="en-US"/>
        </w:rPr>
        <w:t>,</w:t>
      </w:r>
      <w:r w:rsidRPr="00F91084" w:rsidDel="00FC79A7">
        <w:rPr>
          <w:color w:val="000000" w:themeColor="text1"/>
          <w:lang w:val="en-US"/>
        </w:rPr>
        <w:t xml:space="preserve"> </w:t>
      </w:r>
      <w:r w:rsidR="00FC79A7" w:rsidRPr="00F91084">
        <w:rPr>
          <w:color w:val="000000" w:themeColor="text1"/>
          <w:lang w:val="en-US"/>
        </w:rPr>
        <w:t xml:space="preserve">that </w:t>
      </w:r>
      <w:r w:rsidRPr="00F91084">
        <w:rPr>
          <w:color w:val="000000" w:themeColor="text1"/>
          <w:lang w:val="en-US"/>
        </w:rPr>
        <w:t xml:space="preserve">excludes areas where a species formerly occurred or might be reintroduced unless existing members of the species depend on that area to carry on their life processes. This demonstrates that </w:t>
      </w:r>
      <w:r w:rsidR="00FC79A7" w:rsidRPr="00F91084">
        <w:rPr>
          <w:color w:val="000000" w:themeColor="text1"/>
          <w:lang w:val="en-US"/>
        </w:rPr>
        <w:t xml:space="preserve">Justice Mathias </w:t>
      </w:r>
      <w:r w:rsidRPr="00F91084">
        <w:rPr>
          <w:color w:val="000000" w:themeColor="text1"/>
          <w:lang w:val="en-US"/>
        </w:rPr>
        <w:t xml:space="preserve">recognized </w:t>
      </w:r>
      <w:r w:rsidR="00FC79A7" w:rsidRPr="00F91084">
        <w:rPr>
          <w:color w:val="000000" w:themeColor="text1"/>
          <w:lang w:val="en-US"/>
        </w:rPr>
        <w:t xml:space="preserve">that </w:t>
      </w:r>
      <w:r w:rsidRPr="00F91084">
        <w:rPr>
          <w:color w:val="000000" w:themeColor="text1"/>
          <w:lang w:val="en-US"/>
        </w:rPr>
        <w:t xml:space="preserve">the </w:t>
      </w:r>
      <w:r w:rsidR="00FC79A7" w:rsidRPr="00DC056E">
        <w:rPr>
          <w:i/>
          <w:iCs/>
          <w:color w:val="000000" w:themeColor="text1"/>
          <w:lang w:val="en-US"/>
        </w:rPr>
        <w:t>ESA</w:t>
      </w:r>
      <w:r w:rsidRPr="00F91084">
        <w:rPr>
          <w:color w:val="000000" w:themeColor="text1"/>
          <w:lang w:val="en-US"/>
        </w:rPr>
        <w:t xml:space="preserve"> protects only those areas on which living </w:t>
      </w:r>
      <w:r w:rsidR="00BC2CCB" w:rsidRPr="00F91084">
        <w:rPr>
          <w:color w:val="000000" w:themeColor="text1"/>
          <w:lang w:val="en-US"/>
        </w:rPr>
        <w:t>Blanding T</w:t>
      </w:r>
      <w:r w:rsidRPr="00F91084">
        <w:rPr>
          <w:color w:val="000000" w:themeColor="text1"/>
          <w:lang w:val="en-US"/>
        </w:rPr>
        <w:t xml:space="preserve">urtles actually </w:t>
      </w:r>
      <w:r w:rsidR="368AEBDE" w:rsidRPr="00F91084">
        <w:rPr>
          <w:color w:val="000000" w:themeColor="text1"/>
          <w:lang w:val="en-US"/>
        </w:rPr>
        <w:t>depend</w:t>
      </w:r>
      <w:r w:rsidRPr="00F91084">
        <w:rPr>
          <w:color w:val="000000" w:themeColor="text1"/>
          <w:lang w:val="en-US"/>
        </w:rPr>
        <w:t xml:space="preserve">, whether directly or indirectly, at the relevant time. </w:t>
      </w:r>
      <w:r w:rsidR="00BC2CCB" w:rsidRPr="00F91084">
        <w:rPr>
          <w:color w:val="000000" w:themeColor="text1"/>
          <w:lang w:val="en-US"/>
        </w:rPr>
        <w:t>The evidence of</w:t>
      </w:r>
      <w:r w:rsidRPr="00F91084" w:rsidDel="00BC2CCB">
        <w:rPr>
          <w:color w:val="000000" w:themeColor="text1"/>
          <w:lang w:val="en-US"/>
        </w:rPr>
        <w:t xml:space="preserve"> </w:t>
      </w:r>
      <w:r w:rsidRPr="00F91084">
        <w:rPr>
          <w:color w:val="000000" w:themeColor="text1"/>
          <w:lang w:val="en-US"/>
        </w:rPr>
        <w:t>indirect dependence</w:t>
      </w:r>
      <w:r w:rsidR="00BC2CCB" w:rsidRPr="00F91084">
        <w:rPr>
          <w:color w:val="000000" w:themeColor="text1"/>
          <w:lang w:val="en-US"/>
        </w:rPr>
        <w:t xml:space="preserve"> was not ignored</w:t>
      </w:r>
      <w:r w:rsidR="5F3867FD" w:rsidRPr="00F91084">
        <w:rPr>
          <w:color w:val="000000" w:themeColor="text1"/>
          <w:lang w:val="en-US"/>
        </w:rPr>
        <w:t>. Instead,</w:t>
      </w:r>
      <w:r w:rsidR="00BC2CCB" w:rsidRPr="00F91084">
        <w:rPr>
          <w:color w:val="000000" w:themeColor="text1"/>
          <w:lang w:val="en-US"/>
        </w:rPr>
        <w:t xml:space="preserve"> </w:t>
      </w:r>
      <w:r w:rsidRPr="00F91084">
        <w:rPr>
          <w:color w:val="000000" w:themeColor="text1"/>
          <w:lang w:val="en-US"/>
        </w:rPr>
        <w:t xml:space="preserve">the OCJ </w:t>
      </w:r>
      <w:r w:rsidR="00BC2CCB" w:rsidRPr="00F91084">
        <w:rPr>
          <w:color w:val="000000" w:themeColor="text1"/>
          <w:lang w:val="en-US"/>
        </w:rPr>
        <w:t xml:space="preserve">appropriately </w:t>
      </w:r>
      <w:r w:rsidRPr="00F91084">
        <w:rPr>
          <w:color w:val="000000" w:themeColor="text1"/>
          <w:lang w:val="en-US"/>
        </w:rPr>
        <w:t xml:space="preserve">required that </w:t>
      </w:r>
      <w:r w:rsidR="00BC2CCB" w:rsidRPr="00F91084">
        <w:rPr>
          <w:color w:val="000000" w:themeColor="text1"/>
          <w:lang w:val="en-US"/>
        </w:rPr>
        <w:t>it</w:t>
      </w:r>
      <w:r w:rsidR="0FFE007B" w:rsidRPr="00F91084">
        <w:rPr>
          <w:color w:val="000000" w:themeColor="text1"/>
          <w:lang w:val="en-US"/>
        </w:rPr>
        <w:t xml:space="preserve"> </w:t>
      </w:r>
      <w:r w:rsidRPr="00F91084">
        <w:rPr>
          <w:color w:val="000000" w:themeColor="text1"/>
          <w:lang w:val="en-US"/>
        </w:rPr>
        <w:t xml:space="preserve">be supported by evidence of real, demonstrated reliance. The full statutory definition was </w:t>
      </w:r>
      <w:r w:rsidR="00BC2CCB" w:rsidRPr="00F91084">
        <w:rPr>
          <w:color w:val="000000" w:themeColor="text1"/>
          <w:lang w:val="en-US"/>
        </w:rPr>
        <w:t>appropriately applied and considered</w:t>
      </w:r>
      <w:r w:rsidRPr="00F91084">
        <w:rPr>
          <w:color w:val="000000" w:themeColor="text1"/>
          <w:lang w:val="en-US"/>
        </w:rPr>
        <w:t>.</w:t>
      </w:r>
      <w:r w:rsidR="6740F72C" w:rsidRPr="00F91084">
        <w:rPr>
          <w:color w:val="000000" w:themeColor="text1"/>
          <w:lang w:val="en-US"/>
        </w:rPr>
        <w:t xml:space="preserve"> </w:t>
      </w:r>
    </w:p>
    <w:p w14:paraId="4B3A9D0B" w14:textId="73E507EA" w:rsidR="00052A74" w:rsidRPr="00213D91" w:rsidRDefault="00052A74" w:rsidP="00FF3E5E">
      <w:pPr>
        <w:pStyle w:val="WSParaNum"/>
        <w:numPr>
          <w:ilvl w:val="0"/>
          <w:numId w:val="0"/>
        </w:numPr>
        <w:spacing w:before="240" w:after="240" w:line="240" w:lineRule="auto"/>
        <w:ind w:firstLine="720"/>
        <w:jc w:val="both"/>
        <w:rPr>
          <w:color w:val="000000" w:themeColor="text1"/>
          <w:lang w:val="en-US"/>
        </w:rPr>
      </w:pPr>
      <w:r w:rsidRPr="00213D91">
        <w:rPr>
          <w:i/>
          <w:iCs/>
          <w:color w:val="000000" w:themeColor="text1"/>
          <w:sz w:val="20"/>
          <w:szCs w:val="20"/>
          <w:lang w:val="en-US"/>
        </w:rPr>
        <w:t>OCJ Decision</w:t>
      </w:r>
      <w:r w:rsidRPr="00213D91">
        <w:rPr>
          <w:color w:val="000000" w:themeColor="text1"/>
          <w:sz w:val="20"/>
          <w:szCs w:val="20"/>
          <w:lang w:val="en-US"/>
        </w:rPr>
        <w:t xml:space="preserve">, </w:t>
      </w:r>
      <w:r w:rsidRPr="00213D91">
        <w:rPr>
          <w:i/>
          <w:iCs/>
          <w:color w:val="000000" w:themeColor="text1"/>
          <w:sz w:val="20"/>
          <w:szCs w:val="20"/>
          <w:lang w:val="en-US"/>
        </w:rPr>
        <w:t xml:space="preserve">supra </w:t>
      </w:r>
      <w:r w:rsidRPr="00213D91">
        <w:rPr>
          <w:color w:val="000000" w:themeColor="text1"/>
          <w:sz w:val="20"/>
          <w:szCs w:val="20"/>
          <w:lang w:val="en-US"/>
        </w:rPr>
        <w:t>note 9 at 11.</w:t>
      </w:r>
    </w:p>
    <w:p w14:paraId="46E40F46" w14:textId="60555D86" w:rsidR="797E02F1" w:rsidRDefault="797E02F1" w:rsidP="00213D91">
      <w:pPr>
        <w:pStyle w:val="WSParaNum"/>
        <w:numPr>
          <w:ilvl w:val="0"/>
          <w:numId w:val="1"/>
        </w:numPr>
        <w:spacing w:before="240" w:after="240"/>
        <w:jc w:val="both"/>
        <w:rPr>
          <w:color w:val="000000" w:themeColor="text1"/>
          <w:lang w:val="en-US"/>
        </w:rPr>
      </w:pPr>
      <w:r w:rsidRPr="2B1AB458">
        <w:rPr>
          <w:color w:val="000000" w:themeColor="text1"/>
          <w:lang w:val="en-US"/>
        </w:rPr>
        <w:t xml:space="preserve">The </w:t>
      </w:r>
      <w:r w:rsidR="00BC2CCB" w:rsidRPr="2B1AB458">
        <w:rPr>
          <w:color w:val="000000" w:themeColor="text1"/>
          <w:lang w:val="en-US"/>
        </w:rPr>
        <w:t>A</w:t>
      </w:r>
      <w:r w:rsidRPr="2B1AB458">
        <w:rPr>
          <w:color w:val="000000" w:themeColor="text1"/>
          <w:lang w:val="en-US"/>
        </w:rPr>
        <w:t>ppellants</w:t>
      </w:r>
      <w:r w:rsidR="00BC2CCB" w:rsidRPr="2B1AB458">
        <w:rPr>
          <w:color w:val="000000" w:themeColor="text1"/>
          <w:lang w:val="en-US"/>
        </w:rPr>
        <w:t xml:space="preserve"> assume</w:t>
      </w:r>
      <w:r w:rsidRPr="2B1AB458">
        <w:rPr>
          <w:color w:val="000000" w:themeColor="text1"/>
          <w:lang w:val="en-US"/>
        </w:rPr>
        <w:t xml:space="preserve"> that </w:t>
      </w:r>
      <w:r w:rsidR="00BC2CCB" w:rsidRPr="2B1AB458">
        <w:rPr>
          <w:color w:val="000000" w:themeColor="text1"/>
          <w:lang w:val="en-US"/>
        </w:rPr>
        <w:t xml:space="preserve">simply </w:t>
      </w:r>
      <w:r w:rsidRPr="2B1AB458">
        <w:rPr>
          <w:color w:val="000000" w:themeColor="text1"/>
          <w:lang w:val="en-US"/>
        </w:rPr>
        <w:t xml:space="preserve">because Justice Mathias did not expressly </w:t>
      </w:r>
      <w:r w:rsidR="0F8A157C" w:rsidRPr="2B1AB458">
        <w:rPr>
          <w:color w:val="000000" w:themeColor="text1"/>
          <w:lang w:val="en-US"/>
        </w:rPr>
        <w:t>focus on</w:t>
      </w:r>
      <w:r w:rsidRPr="2B1AB458">
        <w:rPr>
          <w:color w:val="000000" w:themeColor="text1"/>
          <w:lang w:val="en-US"/>
        </w:rPr>
        <w:t xml:space="preserve"> the words “indirect dependence”, </w:t>
      </w:r>
      <w:r w:rsidR="00BC2CCB" w:rsidRPr="2B1AB458">
        <w:rPr>
          <w:color w:val="000000" w:themeColor="text1"/>
          <w:lang w:val="en-US"/>
        </w:rPr>
        <w:t>the</w:t>
      </w:r>
      <w:r w:rsidR="00253C83">
        <w:rPr>
          <w:color w:val="000000" w:themeColor="text1"/>
          <w:lang w:val="en-US"/>
        </w:rPr>
        <w:t xml:space="preserve"> words</w:t>
      </w:r>
      <w:r w:rsidR="00BC2CCB" w:rsidRPr="2B1AB458">
        <w:rPr>
          <w:color w:val="000000" w:themeColor="text1"/>
          <w:lang w:val="en-US"/>
        </w:rPr>
        <w:t xml:space="preserve"> </w:t>
      </w:r>
      <w:r w:rsidRPr="2B1AB458">
        <w:rPr>
          <w:color w:val="000000" w:themeColor="text1"/>
          <w:lang w:val="en-US"/>
        </w:rPr>
        <w:t xml:space="preserve">must have </w:t>
      </w:r>
      <w:r w:rsidR="00BC2CCB" w:rsidRPr="2B1AB458">
        <w:rPr>
          <w:color w:val="000000" w:themeColor="text1"/>
          <w:lang w:val="en-US"/>
        </w:rPr>
        <w:t xml:space="preserve">been </w:t>
      </w:r>
      <w:r w:rsidRPr="2B1AB458">
        <w:rPr>
          <w:color w:val="000000" w:themeColor="text1"/>
          <w:lang w:val="en-US"/>
        </w:rPr>
        <w:t xml:space="preserve">ignored. </w:t>
      </w:r>
      <w:r w:rsidR="52520F4A" w:rsidRPr="2B1AB458">
        <w:rPr>
          <w:color w:val="000000" w:themeColor="text1"/>
          <w:lang w:val="en-US"/>
        </w:rPr>
        <w:t xml:space="preserve">That assumption is incorrect. </w:t>
      </w:r>
      <w:r w:rsidR="450AD2F5" w:rsidRPr="2B1AB458">
        <w:rPr>
          <w:color w:val="000000" w:themeColor="text1"/>
          <w:lang w:val="en-US"/>
        </w:rPr>
        <w:t xml:space="preserve">Justice Mathias </w:t>
      </w:r>
      <w:r w:rsidR="4D47DFDE" w:rsidRPr="2B1AB458">
        <w:rPr>
          <w:color w:val="000000" w:themeColor="text1"/>
          <w:lang w:val="en-US"/>
        </w:rPr>
        <w:t xml:space="preserve">identified </w:t>
      </w:r>
      <w:r w:rsidR="52520F4A" w:rsidRPr="2B1AB458">
        <w:rPr>
          <w:color w:val="000000" w:themeColor="text1"/>
          <w:lang w:val="en-US"/>
        </w:rPr>
        <w:t xml:space="preserve">the governing statute and </w:t>
      </w:r>
      <w:r w:rsidR="76CD8E26" w:rsidRPr="2B1AB458">
        <w:rPr>
          <w:color w:val="000000" w:themeColor="text1"/>
          <w:lang w:val="en-US"/>
        </w:rPr>
        <w:t>properly</w:t>
      </w:r>
      <w:r w:rsidR="52520F4A" w:rsidRPr="2B1AB458">
        <w:rPr>
          <w:color w:val="000000" w:themeColor="text1"/>
          <w:lang w:val="en-US"/>
        </w:rPr>
        <w:t xml:space="preserve"> focused their </w:t>
      </w:r>
      <w:r w:rsidR="378F3E4C" w:rsidRPr="2B1AB458">
        <w:rPr>
          <w:color w:val="000000" w:themeColor="text1"/>
          <w:lang w:val="en-US"/>
        </w:rPr>
        <w:t>analysis</w:t>
      </w:r>
      <w:r w:rsidR="24E5A5E1" w:rsidRPr="2B1AB458">
        <w:rPr>
          <w:color w:val="000000" w:themeColor="text1"/>
          <w:lang w:val="en-US"/>
        </w:rPr>
        <w:t xml:space="preserve"> on the determinative </w:t>
      </w:r>
      <w:r w:rsidR="50127B4F" w:rsidRPr="2B1AB458">
        <w:rPr>
          <w:color w:val="000000" w:themeColor="text1"/>
          <w:lang w:val="en-US"/>
        </w:rPr>
        <w:t>question</w:t>
      </w:r>
      <w:r w:rsidR="24E5A5E1" w:rsidRPr="2B1AB458">
        <w:rPr>
          <w:color w:val="000000" w:themeColor="text1"/>
          <w:lang w:val="en-US"/>
        </w:rPr>
        <w:t xml:space="preserve"> of whether there was any es</w:t>
      </w:r>
      <w:r w:rsidR="753701D6" w:rsidRPr="2B1AB458">
        <w:rPr>
          <w:color w:val="000000" w:themeColor="text1"/>
          <w:lang w:val="en-US"/>
        </w:rPr>
        <w:t>tablished</w:t>
      </w:r>
      <w:r w:rsidR="24E5A5E1" w:rsidRPr="2B1AB458">
        <w:rPr>
          <w:color w:val="000000" w:themeColor="text1"/>
          <w:lang w:val="en-US"/>
        </w:rPr>
        <w:t xml:space="preserve"> form of </w:t>
      </w:r>
      <w:r w:rsidR="19253C33" w:rsidRPr="2B1AB458">
        <w:rPr>
          <w:color w:val="000000" w:themeColor="text1"/>
          <w:lang w:val="en-US"/>
        </w:rPr>
        <w:t>dependence</w:t>
      </w:r>
      <w:r w:rsidR="24E5A5E1" w:rsidRPr="2B1AB458">
        <w:rPr>
          <w:color w:val="000000" w:themeColor="text1"/>
          <w:lang w:val="en-US"/>
        </w:rPr>
        <w:t xml:space="preserve"> during the offence </w:t>
      </w:r>
      <w:r w:rsidR="70626A34" w:rsidRPr="2B1AB458">
        <w:rPr>
          <w:color w:val="000000" w:themeColor="text1"/>
          <w:lang w:val="en-US"/>
        </w:rPr>
        <w:t>period</w:t>
      </w:r>
      <w:r w:rsidR="24E5A5E1" w:rsidRPr="2B1AB458">
        <w:rPr>
          <w:color w:val="000000" w:themeColor="text1"/>
          <w:lang w:val="en-US"/>
        </w:rPr>
        <w:t>.</w:t>
      </w:r>
      <w:r w:rsidR="52520F4A" w:rsidRPr="2B1AB458">
        <w:rPr>
          <w:color w:val="000000" w:themeColor="text1"/>
          <w:lang w:val="en-US"/>
        </w:rPr>
        <w:t xml:space="preserve"> </w:t>
      </w:r>
      <w:r w:rsidR="65A9B6BD" w:rsidRPr="2B1AB458">
        <w:rPr>
          <w:color w:val="000000" w:themeColor="text1"/>
          <w:lang w:val="en-US"/>
        </w:rPr>
        <w:t>L</w:t>
      </w:r>
      <w:r w:rsidR="55FCFBB8" w:rsidRPr="2B1AB458">
        <w:rPr>
          <w:color w:val="000000" w:themeColor="text1"/>
          <w:lang w:val="en-US"/>
        </w:rPr>
        <w:t>ooking at</w:t>
      </w:r>
      <w:r w:rsidR="368220B1" w:rsidRPr="2B1AB458">
        <w:rPr>
          <w:color w:val="000000" w:themeColor="text1"/>
          <w:lang w:val="en-US"/>
        </w:rPr>
        <w:t xml:space="preserve"> </w:t>
      </w:r>
      <w:r w:rsidR="355A92CA" w:rsidRPr="2B1AB458">
        <w:rPr>
          <w:color w:val="000000" w:themeColor="text1"/>
          <w:lang w:val="en-US"/>
        </w:rPr>
        <w:t xml:space="preserve">Justice </w:t>
      </w:r>
      <w:r w:rsidR="1B95F631" w:rsidRPr="2B1AB458">
        <w:rPr>
          <w:color w:val="000000" w:themeColor="text1"/>
          <w:lang w:val="en-US"/>
        </w:rPr>
        <w:t>Mathias'</w:t>
      </w:r>
      <w:r w:rsidR="55FCFBB8" w:rsidRPr="2B1AB458">
        <w:rPr>
          <w:color w:val="000000" w:themeColor="text1"/>
          <w:lang w:val="en-US"/>
        </w:rPr>
        <w:t xml:space="preserve"> judgment</w:t>
      </w:r>
      <w:r w:rsidRPr="2B1AB458">
        <w:rPr>
          <w:color w:val="000000" w:themeColor="text1"/>
          <w:lang w:val="en-US"/>
        </w:rPr>
        <w:t xml:space="preserve"> and </w:t>
      </w:r>
      <w:r w:rsidR="55FCFBB8" w:rsidRPr="2B1AB458">
        <w:rPr>
          <w:color w:val="000000" w:themeColor="text1"/>
          <w:lang w:val="en-US"/>
        </w:rPr>
        <w:t>reasons fairly and as a whole, demonstrate that the correct legal test was applied.</w:t>
      </w:r>
    </w:p>
    <w:p w14:paraId="2BF26088" w14:textId="76197A4C" w:rsidR="00052A74" w:rsidRPr="00B32C04" w:rsidRDefault="00B32C04" w:rsidP="002921B3">
      <w:pPr>
        <w:pStyle w:val="WSParaNum"/>
        <w:numPr>
          <w:ilvl w:val="0"/>
          <w:numId w:val="0"/>
        </w:numPr>
        <w:spacing w:before="240" w:after="240" w:line="240" w:lineRule="auto"/>
        <w:ind w:left="720"/>
        <w:rPr>
          <w:color w:val="000000" w:themeColor="text1"/>
          <w:sz w:val="20"/>
          <w:szCs w:val="20"/>
          <w:lang w:val="en-US"/>
        </w:rPr>
      </w:pPr>
      <w:r>
        <w:rPr>
          <w:i/>
          <w:iCs/>
          <w:color w:val="000000" w:themeColor="text1"/>
          <w:sz w:val="20"/>
          <w:szCs w:val="20"/>
          <w:lang w:val="en-US"/>
        </w:rPr>
        <w:t xml:space="preserve">R </w:t>
      </w:r>
      <w:r w:rsidR="00ED1429">
        <w:rPr>
          <w:i/>
          <w:iCs/>
          <w:color w:val="000000" w:themeColor="text1"/>
          <w:sz w:val="20"/>
          <w:szCs w:val="20"/>
          <w:lang w:val="en-US"/>
        </w:rPr>
        <w:t>v Morrissey</w:t>
      </w:r>
      <w:r>
        <w:rPr>
          <w:color w:val="000000" w:themeColor="text1"/>
          <w:sz w:val="20"/>
          <w:szCs w:val="20"/>
          <w:lang w:val="en-US"/>
        </w:rPr>
        <w:t xml:space="preserve">, </w:t>
      </w:r>
      <w:r w:rsidRPr="00B32C04">
        <w:rPr>
          <w:color w:val="000000" w:themeColor="text1"/>
          <w:sz w:val="20"/>
          <w:szCs w:val="20"/>
          <w:lang w:val="en-US"/>
        </w:rPr>
        <w:t>1995 CanLII 3498 (ON CA)</w:t>
      </w:r>
      <w:r>
        <w:rPr>
          <w:color w:val="000000" w:themeColor="text1"/>
          <w:sz w:val="20"/>
          <w:szCs w:val="20"/>
          <w:lang w:val="en-US"/>
        </w:rPr>
        <w:t xml:space="preserve"> at paras 28-31. </w:t>
      </w:r>
    </w:p>
    <w:p w14:paraId="3E781F84" w14:textId="4C80A562" w:rsidR="6AC6ED76" w:rsidRPr="0033079C" w:rsidRDefault="00253C83" w:rsidP="00904F5F">
      <w:pPr>
        <w:pStyle w:val="WSParaNum"/>
        <w:numPr>
          <w:ilvl w:val="0"/>
          <w:numId w:val="1"/>
        </w:numPr>
        <w:tabs>
          <w:tab w:val="num" w:pos="720"/>
        </w:tabs>
        <w:spacing w:before="240" w:after="240"/>
        <w:jc w:val="both"/>
        <w:rPr>
          <w:color w:val="000000" w:themeColor="text1"/>
          <w:lang w:val="en-US"/>
        </w:rPr>
      </w:pPr>
      <w:r>
        <w:rPr>
          <w:color w:val="000000" w:themeColor="text1"/>
          <w:lang w:val="en-US"/>
        </w:rPr>
        <w:lastRenderedPageBreak/>
        <w:t>T</w:t>
      </w:r>
      <w:r w:rsidR="03811FAE" w:rsidRPr="00EE3B86">
        <w:rPr>
          <w:color w:val="000000" w:themeColor="text1"/>
          <w:lang w:val="en-US"/>
        </w:rPr>
        <w:t>he OCJ reasons clearly focused on the requirem</w:t>
      </w:r>
      <w:r w:rsidR="01EE83A5" w:rsidRPr="00EE3B86">
        <w:rPr>
          <w:color w:val="000000" w:themeColor="text1"/>
          <w:lang w:val="en-US"/>
        </w:rPr>
        <w:t>ent</w:t>
      </w:r>
      <w:r w:rsidR="03811FAE" w:rsidRPr="00EE3B86">
        <w:rPr>
          <w:color w:val="000000" w:themeColor="text1"/>
          <w:lang w:val="en-US"/>
        </w:rPr>
        <w:t xml:space="preserve"> in section 2(2) that </w:t>
      </w:r>
      <w:r w:rsidR="0BCABD6E" w:rsidRPr="00EE3B86">
        <w:rPr>
          <w:color w:val="000000" w:themeColor="text1"/>
          <w:lang w:val="en-US"/>
        </w:rPr>
        <w:t>existing</w:t>
      </w:r>
      <w:r w:rsidR="03811FAE" w:rsidRPr="00EE3B86">
        <w:rPr>
          <w:color w:val="000000" w:themeColor="text1"/>
          <w:lang w:val="en-US"/>
        </w:rPr>
        <w:t xml:space="preserve"> members of the </w:t>
      </w:r>
      <w:r w:rsidR="1BE11EE6" w:rsidRPr="00EE3B86">
        <w:rPr>
          <w:color w:val="000000" w:themeColor="text1"/>
          <w:lang w:val="en-US"/>
        </w:rPr>
        <w:t>species</w:t>
      </w:r>
      <w:r w:rsidR="03811FAE" w:rsidRPr="00EE3B86">
        <w:rPr>
          <w:color w:val="000000" w:themeColor="text1"/>
          <w:lang w:val="en-US"/>
        </w:rPr>
        <w:t xml:space="preserve"> depend on the area to carry on </w:t>
      </w:r>
      <w:r w:rsidR="426CB4FC" w:rsidRPr="00EE3B86">
        <w:rPr>
          <w:color w:val="000000" w:themeColor="text1"/>
          <w:lang w:val="en-US"/>
        </w:rPr>
        <w:t>their</w:t>
      </w:r>
      <w:r w:rsidR="03811FAE" w:rsidRPr="00EE3B86">
        <w:rPr>
          <w:color w:val="000000" w:themeColor="text1"/>
          <w:lang w:val="en-US"/>
        </w:rPr>
        <w:t xml:space="preserve"> life process and </w:t>
      </w:r>
      <w:r w:rsidR="6D6BD8AB" w:rsidRPr="00EE3B86">
        <w:rPr>
          <w:color w:val="000000" w:themeColor="text1"/>
          <w:lang w:val="en-US"/>
        </w:rPr>
        <w:t>found</w:t>
      </w:r>
      <w:r w:rsidR="03811FAE" w:rsidRPr="00EE3B86">
        <w:rPr>
          <w:color w:val="000000" w:themeColor="text1"/>
          <w:lang w:val="en-US"/>
        </w:rPr>
        <w:t xml:space="preserve"> that this </w:t>
      </w:r>
      <w:r w:rsidR="4136ADA3" w:rsidRPr="00EE3B86">
        <w:rPr>
          <w:color w:val="000000" w:themeColor="text1"/>
          <w:lang w:val="en-US"/>
        </w:rPr>
        <w:t>requirement</w:t>
      </w:r>
      <w:r w:rsidR="03811FAE" w:rsidRPr="00EE3B86">
        <w:rPr>
          <w:color w:val="000000" w:themeColor="text1"/>
          <w:lang w:val="en-US"/>
        </w:rPr>
        <w:t xml:space="preserve"> was not met.</w:t>
      </w:r>
      <w:r w:rsidR="03811FAE" w:rsidRPr="0033079C">
        <w:rPr>
          <w:color w:val="000000" w:themeColor="text1"/>
          <w:lang w:val="en-US"/>
        </w:rPr>
        <w:t xml:space="preserve"> </w:t>
      </w:r>
    </w:p>
    <w:p w14:paraId="4FDE51C7" w14:textId="515836A7" w:rsidR="00254972" w:rsidRDefault="60A4E9BD" w:rsidP="00904F5F">
      <w:pPr>
        <w:pStyle w:val="Heading3"/>
        <w:spacing w:line="360" w:lineRule="auto"/>
        <w:jc w:val="both"/>
        <w:rPr>
          <w:rFonts w:ascii="Times New Roman" w:hAnsi="Times New Roman"/>
          <w:i/>
          <w:iCs/>
          <w:sz w:val="24"/>
          <w:szCs w:val="24"/>
        </w:rPr>
      </w:pPr>
      <w:bookmarkStart w:id="20" w:name="_Toc220056504"/>
      <w:r>
        <w:rPr>
          <w:rFonts w:ascii="Times New Roman" w:hAnsi="Times New Roman"/>
          <w:sz w:val="24"/>
          <w:szCs w:val="24"/>
        </w:rPr>
        <w:t xml:space="preserve">Section </w:t>
      </w:r>
      <w:r w:rsidRPr="001122F9">
        <w:rPr>
          <w:rFonts w:ascii="Times New Roman" w:hAnsi="Times New Roman"/>
          <w:sz w:val="24"/>
          <w:szCs w:val="24"/>
        </w:rPr>
        <w:t>2(2) Excludes Potential Habitat and Limits Scope of Indirect Dependence</w:t>
      </w:r>
      <w:bookmarkEnd w:id="20"/>
    </w:p>
    <w:p w14:paraId="12093A92" w14:textId="50E10A6A" w:rsidR="7E1F8CC3" w:rsidRPr="00EE3B86" w:rsidRDefault="7E1F8CC3" w:rsidP="00904F5F">
      <w:pPr>
        <w:pStyle w:val="WSParaNum"/>
        <w:numPr>
          <w:ilvl w:val="0"/>
          <w:numId w:val="1"/>
        </w:numPr>
        <w:spacing w:before="240" w:after="240"/>
        <w:jc w:val="both"/>
      </w:pPr>
      <w:r w:rsidRPr="00EE3B86">
        <w:t xml:space="preserve">Section 2(2) of the </w:t>
      </w:r>
      <w:r w:rsidR="00BC2CCB" w:rsidRPr="0033079C">
        <w:rPr>
          <w:i/>
          <w:iCs/>
        </w:rPr>
        <w:t>ESA</w:t>
      </w:r>
      <w:r w:rsidRPr="00EE3B86">
        <w:t xml:space="preserve"> performs an express limiting function. It excludes areas where a species formerly occurred or may potentially occur unless existing members of the species depend on that area to carry on their life processes. The provision</w:t>
      </w:r>
      <w:r w:rsidR="00C80EA7">
        <w:t>,</w:t>
      </w:r>
      <w:r w:rsidRPr="00EE3B86">
        <w:t xml:space="preserve"> therefore</w:t>
      </w:r>
      <w:r w:rsidR="00C80EA7">
        <w:t>,</w:t>
      </w:r>
      <w:r w:rsidRPr="00EE3B86">
        <w:t xml:space="preserve"> imposes a clear requirement of present dependence and operates as a statutory gatekeeper on the definition of habitat.</w:t>
      </w:r>
    </w:p>
    <w:p w14:paraId="0A07056B" w14:textId="77777777" w:rsidR="0033079C" w:rsidRDefault="7A4CE36A" w:rsidP="00904F5F">
      <w:pPr>
        <w:pStyle w:val="WSParaNum"/>
        <w:numPr>
          <w:ilvl w:val="0"/>
          <w:numId w:val="1"/>
        </w:numPr>
        <w:spacing w:before="240" w:after="240"/>
        <w:jc w:val="both"/>
      </w:pPr>
      <w:r w:rsidRPr="00EE3B86">
        <w:t>Environmental</w:t>
      </w:r>
      <w:r w:rsidR="1B580AE3" w:rsidRPr="00EE3B86">
        <w:t xml:space="preserve"> and species protection legislation is to be interpreted broadly and purposively in light of its remedial objectives</w:t>
      </w:r>
      <w:r w:rsidRPr="00EE3B86">
        <w:t>.</w:t>
      </w:r>
      <w:r w:rsidR="1B580AE3" w:rsidRPr="00EE3B86">
        <w:t xml:space="preserve"> However, purposive interpretation must remain anchored in the </w:t>
      </w:r>
      <w:r w:rsidRPr="00EE3B86">
        <w:t>words enacted by the Legislature and cannot be used to expand the scope of an offence beyond the limits chosen in the statutory text</w:t>
      </w:r>
      <w:r w:rsidR="007C7A0D">
        <w:t>.</w:t>
      </w:r>
      <w:r w:rsidR="01F10DEF" w:rsidRPr="00EE3B86">
        <w:t xml:space="preserve"> A purposive interpretation must therefore give full effect to the limiting role of section 2(2), not interpret around it.</w:t>
      </w:r>
    </w:p>
    <w:p w14:paraId="52E4A5B5" w14:textId="70A0F265" w:rsidR="002C194F" w:rsidRDefault="007C7A0D" w:rsidP="003E1CAE">
      <w:pPr>
        <w:pStyle w:val="WSParaNum"/>
        <w:numPr>
          <w:ilvl w:val="0"/>
          <w:numId w:val="0"/>
        </w:numPr>
        <w:spacing w:before="240" w:after="0" w:line="240" w:lineRule="auto"/>
        <w:ind w:firstLine="720"/>
        <w:jc w:val="both"/>
        <w:rPr>
          <w:sz w:val="20"/>
          <w:szCs w:val="20"/>
        </w:rPr>
      </w:pPr>
      <w:r w:rsidRPr="008C6C7D">
        <w:rPr>
          <w:i/>
          <w:iCs/>
          <w:sz w:val="20"/>
          <w:szCs w:val="20"/>
        </w:rPr>
        <w:t>R v Castonguay Blasting Ltd</w:t>
      </w:r>
      <w:r w:rsidRPr="0033079C">
        <w:rPr>
          <w:sz w:val="20"/>
          <w:szCs w:val="20"/>
        </w:rPr>
        <w:t>., 2013 SCC 52</w:t>
      </w:r>
      <w:r w:rsidR="00766FFD">
        <w:rPr>
          <w:sz w:val="20"/>
          <w:szCs w:val="20"/>
        </w:rPr>
        <w:t xml:space="preserve"> at para 20 [</w:t>
      </w:r>
      <w:r w:rsidR="00766FFD">
        <w:rPr>
          <w:i/>
          <w:iCs/>
          <w:sz w:val="20"/>
          <w:szCs w:val="20"/>
        </w:rPr>
        <w:t>Castonguay</w:t>
      </w:r>
      <w:r w:rsidR="00766FFD">
        <w:rPr>
          <w:sz w:val="20"/>
          <w:szCs w:val="20"/>
        </w:rPr>
        <w:t>]</w:t>
      </w:r>
      <w:r w:rsidR="008C6C7D">
        <w:rPr>
          <w:sz w:val="20"/>
          <w:szCs w:val="20"/>
        </w:rPr>
        <w:t>.</w:t>
      </w:r>
    </w:p>
    <w:p w14:paraId="06B83CAE" w14:textId="110E119E" w:rsidR="007C7A0D" w:rsidRPr="00904F5F" w:rsidRDefault="002C194F" w:rsidP="002C194F">
      <w:pPr>
        <w:widowControl w:val="0"/>
        <w:ind w:left="720" w:right="720"/>
      </w:pPr>
      <w:r>
        <w:rPr>
          <w:i/>
          <w:iCs/>
          <w:sz w:val="20"/>
          <w:szCs w:val="20"/>
        </w:rPr>
        <w:t>Rizzo &amp; Rizzo Shoes Ltd (Re</w:t>
      </w:r>
      <w:r>
        <w:rPr>
          <w:sz w:val="20"/>
          <w:szCs w:val="20"/>
        </w:rPr>
        <w:t>), 1998 CanLII 837 (SCC),</w:t>
      </w:r>
      <w:r w:rsidR="0017693D">
        <w:rPr>
          <w:sz w:val="20"/>
          <w:szCs w:val="20"/>
        </w:rPr>
        <w:t xml:space="preserve"> </w:t>
      </w:r>
      <w:r>
        <w:rPr>
          <w:sz w:val="20"/>
          <w:szCs w:val="20"/>
        </w:rPr>
        <w:t>[1998] 1 SCR 27 at para 21</w:t>
      </w:r>
      <w:r w:rsidR="00904F5F">
        <w:rPr>
          <w:sz w:val="20"/>
          <w:szCs w:val="20"/>
        </w:rPr>
        <w:t xml:space="preserve"> [</w:t>
      </w:r>
      <w:r w:rsidR="00904F5F">
        <w:rPr>
          <w:i/>
          <w:iCs/>
          <w:sz w:val="20"/>
          <w:szCs w:val="20"/>
        </w:rPr>
        <w:t>Rizzo</w:t>
      </w:r>
      <w:r w:rsidR="00904F5F">
        <w:rPr>
          <w:sz w:val="20"/>
          <w:szCs w:val="20"/>
        </w:rPr>
        <w:t>].</w:t>
      </w:r>
    </w:p>
    <w:p w14:paraId="5B83B3BD" w14:textId="100FE583" w:rsidR="1B580AE3" w:rsidRPr="00EE3B86" w:rsidRDefault="7A4CE36A" w:rsidP="00FF534F">
      <w:pPr>
        <w:pStyle w:val="WSParaNum"/>
        <w:numPr>
          <w:ilvl w:val="0"/>
          <w:numId w:val="1"/>
        </w:numPr>
        <w:spacing w:before="240" w:after="240"/>
        <w:jc w:val="both"/>
      </w:pPr>
      <w:r w:rsidRPr="00EE3B86">
        <w:t xml:space="preserve">Section 2(2) of the </w:t>
      </w:r>
      <w:r w:rsidR="00BC2CCB" w:rsidRPr="0033079C">
        <w:rPr>
          <w:i/>
          <w:iCs/>
        </w:rPr>
        <w:t>ESA</w:t>
      </w:r>
      <w:r w:rsidRPr="00EE3B86">
        <w:t xml:space="preserve"> performs an express limiting function. It excludes areas where a species formerly occurred or may potentially occur unless existing members of the species depend on that area to carry on their life processes. Th</w:t>
      </w:r>
      <w:r w:rsidR="001043A2">
        <w:t xml:space="preserve">is section </w:t>
      </w:r>
      <w:r w:rsidRPr="00EE3B86">
        <w:t>imposes a clear requirement of present dependence and operates as a statutory gatekeeper on the definition of habitat.</w:t>
      </w:r>
    </w:p>
    <w:p w14:paraId="402016A0" w14:textId="72294BD4" w:rsidR="1B580AE3" w:rsidRPr="00EE3B86" w:rsidRDefault="7A4CE36A" w:rsidP="00C35BAD">
      <w:pPr>
        <w:pStyle w:val="WSParaNum"/>
        <w:numPr>
          <w:ilvl w:val="0"/>
          <w:numId w:val="1"/>
        </w:numPr>
        <w:spacing w:before="240" w:after="240"/>
        <w:jc w:val="both"/>
      </w:pPr>
      <w:r w:rsidRPr="00EE3B86">
        <w:t xml:space="preserve">The </w:t>
      </w:r>
      <w:r w:rsidR="00BC2CCB" w:rsidRPr="00EE3B86">
        <w:t>Appellant</w:t>
      </w:r>
      <w:r w:rsidR="001043A2">
        <w:t>’</w:t>
      </w:r>
      <w:r w:rsidR="00BC2CCB" w:rsidRPr="00EE3B86">
        <w:t xml:space="preserve">s </w:t>
      </w:r>
      <w:r w:rsidRPr="00EE3B86">
        <w:t>interpretation would substantially undermine th</w:t>
      </w:r>
      <w:r w:rsidR="00D04A06">
        <w:t xml:space="preserve">e provisions of the </w:t>
      </w:r>
      <w:r w:rsidR="00D04A06">
        <w:rPr>
          <w:i/>
          <w:iCs/>
        </w:rPr>
        <w:t>ESA</w:t>
      </w:r>
      <w:r w:rsidRPr="00EE3B86">
        <w:t xml:space="preserve">. If indirect dependence could be established without evidence that existing Blanding’s </w:t>
      </w:r>
      <w:r w:rsidR="00D04A06">
        <w:t>T</w:t>
      </w:r>
      <w:r w:rsidRPr="00EE3B86">
        <w:t xml:space="preserve">urtles actually relied on the Site during the offence period, any area possessing favourable characteristics could be characterized as habitat. </w:t>
      </w:r>
      <w:r w:rsidR="2D97394A" w:rsidRPr="00EE3B86">
        <w:t xml:space="preserve"> </w:t>
      </w:r>
      <w:r w:rsidR="494DD836" w:rsidRPr="00EE3B86">
        <w:t>On that approach, any</w:t>
      </w:r>
      <w:r w:rsidR="2D97394A" w:rsidRPr="00EE3B86">
        <w:t xml:space="preserve"> pond</w:t>
      </w:r>
      <w:r w:rsidR="494DD836" w:rsidRPr="00EE3B86">
        <w:t xml:space="preserve"> that might support feeding, any </w:t>
      </w:r>
      <w:r w:rsidR="494DD836">
        <w:t>tree</w:t>
      </w:r>
      <w:r w:rsidR="2D97394A" w:rsidRPr="00EE3B86">
        <w:t xml:space="preserve"> that could </w:t>
      </w:r>
      <w:r w:rsidR="494DD836" w:rsidRPr="00EE3B86">
        <w:t>offer shade, or any stretch of land that might facilitate movement</w:t>
      </w:r>
      <w:r w:rsidR="2D97394A" w:rsidRPr="00EE3B86">
        <w:t xml:space="preserve"> would </w:t>
      </w:r>
      <w:r w:rsidR="494DD836" w:rsidRPr="00EE3B86">
        <w:t>qualify as</w:t>
      </w:r>
      <w:r w:rsidR="2D97394A" w:rsidRPr="00EE3B86">
        <w:t xml:space="preserve"> habitat</w:t>
      </w:r>
      <w:r w:rsidR="494DD836" w:rsidRPr="00EE3B86">
        <w:t xml:space="preserve">, even absent </w:t>
      </w:r>
      <w:r w:rsidR="0D12B574" w:rsidRPr="00EE3B86">
        <w:t xml:space="preserve">any </w:t>
      </w:r>
      <w:r w:rsidR="1A540E9C">
        <w:t xml:space="preserve">actual </w:t>
      </w:r>
      <w:r w:rsidR="494DD836" w:rsidRPr="00EE3B86">
        <w:t xml:space="preserve">use by </w:t>
      </w:r>
      <w:r w:rsidR="00CD2B5E">
        <w:t xml:space="preserve">the </w:t>
      </w:r>
      <w:r w:rsidR="00CD2B5E" w:rsidRPr="00EE3B86">
        <w:t xml:space="preserve">Blanding’s </w:t>
      </w:r>
      <w:r w:rsidR="00CD2B5E">
        <w:t>T</w:t>
      </w:r>
      <w:r w:rsidR="00CD2B5E" w:rsidRPr="00EE3B86">
        <w:t>urtles</w:t>
      </w:r>
      <w:r w:rsidR="2D97394A" w:rsidRPr="00EE3B86">
        <w:t xml:space="preserve">. </w:t>
      </w:r>
      <w:r w:rsidR="7BBC7D97">
        <w:t xml:space="preserve">This </w:t>
      </w:r>
      <w:r>
        <w:t xml:space="preserve">would </w:t>
      </w:r>
      <w:r w:rsidR="7C5F5119">
        <w:t xml:space="preserve">nullify the limiting role of </w:t>
      </w:r>
      <w:r w:rsidR="7A7FCEF9">
        <w:t>section</w:t>
      </w:r>
      <w:r w:rsidR="7C5F5119">
        <w:t xml:space="preserve"> 2(2), which the Legislature enacted to confine habitat pr</w:t>
      </w:r>
      <w:r w:rsidR="0E58FD68">
        <w:t>otection to areas of demonstrated, present dependence by existing species.</w:t>
      </w:r>
    </w:p>
    <w:p w14:paraId="6E83BC96" w14:textId="404C349B" w:rsidR="71EAE16B" w:rsidRPr="0012626F" w:rsidRDefault="71EAE16B" w:rsidP="00130AAC">
      <w:pPr>
        <w:pStyle w:val="WSParaNum"/>
        <w:numPr>
          <w:ilvl w:val="0"/>
          <w:numId w:val="1"/>
        </w:numPr>
        <w:spacing w:before="240" w:after="240"/>
        <w:jc w:val="both"/>
      </w:pPr>
      <w:r w:rsidRPr="0012626F">
        <w:lastRenderedPageBreak/>
        <w:t>This interpretation would inappropriately broaden the statutory definition of habitat, untethering it from the requirement of present reliance by existing members of the species. It would also contradict the settled presumption that the legislature does not intend absurd results, including interpretations that strip statutory limits of meaningful effect or coherence</w:t>
      </w:r>
      <w:r w:rsidR="0018754A">
        <w:t xml:space="preserve">. </w:t>
      </w:r>
    </w:p>
    <w:p w14:paraId="761D33DE" w14:textId="77777777" w:rsidR="003E1CAE" w:rsidRDefault="0017693D" w:rsidP="003E1CAE">
      <w:pPr>
        <w:pStyle w:val="WSParaNum"/>
        <w:numPr>
          <w:ilvl w:val="0"/>
          <w:numId w:val="0"/>
        </w:numPr>
        <w:spacing w:before="240" w:after="0" w:line="240" w:lineRule="auto"/>
        <w:ind w:firstLine="720"/>
        <w:jc w:val="both"/>
        <w:rPr>
          <w:sz w:val="20"/>
          <w:szCs w:val="20"/>
          <w:lang w:val="pt-PT"/>
        </w:rPr>
      </w:pPr>
      <w:r w:rsidRPr="00FF2065">
        <w:rPr>
          <w:i/>
          <w:iCs/>
          <w:sz w:val="20"/>
          <w:szCs w:val="20"/>
          <w:lang w:val="pt-PT"/>
        </w:rPr>
        <w:t>Rizzo</w:t>
      </w:r>
      <w:r w:rsidRPr="00FF2065">
        <w:rPr>
          <w:sz w:val="20"/>
          <w:szCs w:val="20"/>
          <w:lang w:val="pt-PT"/>
        </w:rPr>
        <w:t xml:space="preserve">, </w:t>
      </w:r>
      <w:r w:rsidRPr="00FF2065">
        <w:rPr>
          <w:i/>
          <w:iCs/>
          <w:sz w:val="20"/>
          <w:szCs w:val="20"/>
          <w:lang w:val="pt-PT"/>
        </w:rPr>
        <w:t>supra</w:t>
      </w:r>
      <w:r w:rsidRPr="00FF2065">
        <w:rPr>
          <w:sz w:val="20"/>
          <w:szCs w:val="20"/>
          <w:lang w:val="pt-PT"/>
        </w:rPr>
        <w:t xml:space="preserve"> note 66 at</w:t>
      </w:r>
      <w:r w:rsidR="00751AFE" w:rsidRPr="00FF2065">
        <w:rPr>
          <w:sz w:val="20"/>
          <w:szCs w:val="20"/>
          <w:lang w:val="pt-PT"/>
        </w:rPr>
        <w:t xml:space="preserve"> para 27</w:t>
      </w:r>
      <w:r w:rsidRPr="00FF2065">
        <w:rPr>
          <w:sz w:val="20"/>
          <w:szCs w:val="20"/>
          <w:lang w:val="pt-PT"/>
        </w:rPr>
        <w:t>.</w:t>
      </w:r>
    </w:p>
    <w:p w14:paraId="4782CDD1" w14:textId="6C96F40B" w:rsidR="00751AFE" w:rsidRPr="003E1CAE" w:rsidRDefault="0018754A" w:rsidP="0007526F">
      <w:pPr>
        <w:pStyle w:val="WSParaNum"/>
        <w:numPr>
          <w:ilvl w:val="0"/>
          <w:numId w:val="0"/>
        </w:numPr>
        <w:spacing w:before="0" w:after="240" w:line="240" w:lineRule="auto"/>
        <w:ind w:firstLine="720"/>
        <w:jc w:val="both"/>
        <w:rPr>
          <w:sz w:val="20"/>
          <w:szCs w:val="20"/>
          <w:lang w:val="pt-PT"/>
        </w:rPr>
      </w:pPr>
      <w:r w:rsidRPr="0018754A">
        <w:rPr>
          <w:i/>
          <w:iCs/>
          <w:sz w:val="20"/>
          <w:szCs w:val="20"/>
        </w:rPr>
        <w:t>Wang v. British Columbia (Securities Commission)</w:t>
      </w:r>
      <w:r w:rsidRPr="0018754A">
        <w:rPr>
          <w:sz w:val="20"/>
          <w:szCs w:val="20"/>
        </w:rPr>
        <w:t xml:space="preserve">, 2023 BCCA 101 (CanLII) </w:t>
      </w:r>
      <w:r>
        <w:rPr>
          <w:sz w:val="20"/>
          <w:szCs w:val="20"/>
        </w:rPr>
        <w:t xml:space="preserve">at para 42. </w:t>
      </w:r>
    </w:p>
    <w:p w14:paraId="0769E4A3" w14:textId="782FFBC2" w:rsidR="41EC060C" w:rsidRPr="00EA22CC" w:rsidRDefault="002F72D4" w:rsidP="00E57DDA">
      <w:pPr>
        <w:pStyle w:val="WSParaNum"/>
        <w:numPr>
          <w:ilvl w:val="0"/>
          <w:numId w:val="1"/>
        </w:numPr>
        <w:jc w:val="both"/>
      </w:pPr>
      <w:r w:rsidRPr="00EA22CC">
        <w:t>The</w:t>
      </w:r>
      <w:r w:rsidR="6CD8EB2C" w:rsidRPr="00EA22CC">
        <w:t xml:space="preserve"> principles of statutory interpretation </w:t>
      </w:r>
      <w:r w:rsidR="0CD4BD62">
        <w:t xml:space="preserve">further </w:t>
      </w:r>
      <w:r w:rsidR="6CD8EB2C" w:rsidRPr="00EA22CC">
        <w:t xml:space="preserve">support </w:t>
      </w:r>
      <w:r w:rsidR="1BD3424A" w:rsidRPr="00EA22CC">
        <w:t>rejecting</w:t>
      </w:r>
      <w:r w:rsidR="6CD8EB2C" w:rsidRPr="00EA22CC">
        <w:t xml:space="preserve"> an overly broad reading of the </w:t>
      </w:r>
      <w:r w:rsidR="00530FAB">
        <w:rPr>
          <w:i/>
          <w:iCs/>
        </w:rPr>
        <w:t>ESA</w:t>
      </w:r>
      <w:r w:rsidR="6CD8EB2C" w:rsidRPr="00EA22CC">
        <w:t xml:space="preserve"> that </w:t>
      </w:r>
      <w:r w:rsidR="1BD3424A" w:rsidRPr="00EA22CC">
        <w:t>would extend</w:t>
      </w:r>
      <w:r w:rsidR="6CD8EB2C" w:rsidRPr="00EA22CC">
        <w:t xml:space="preserve"> protection </w:t>
      </w:r>
      <w:r w:rsidR="1BD3424A" w:rsidRPr="00EA22CC">
        <w:t>to</w:t>
      </w:r>
      <w:r w:rsidR="6CD8EB2C" w:rsidRPr="00EA22CC">
        <w:t xml:space="preserve"> mere potential habitat. </w:t>
      </w:r>
      <w:r w:rsidRPr="00EA22CC">
        <w:t>T</w:t>
      </w:r>
      <w:r w:rsidR="6CD8EB2C" w:rsidRPr="00EA22CC">
        <w:t xml:space="preserve">he </w:t>
      </w:r>
      <w:r w:rsidR="6CD8EB2C" w:rsidRPr="6918F26E">
        <w:rPr>
          <w:i/>
        </w:rPr>
        <w:t>maxim expressio unius est exclusio alterius</w:t>
      </w:r>
      <w:r w:rsidR="5C850E33" w:rsidRPr="00EA22CC">
        <w:t xml:space="preserve">, </w:t>
      </w:r>
      <w:r w:rsidR="1BD3424A" w:rsidRPr="00EA22CC">
        <w:t>meaning “</w:t>
      </w:r>
      <w:r w:rsidR="6CD8EB2C" w:rsidRPr="00EA22CC">
        <w:t>to express one thing is to exclude another</w:t>
      </w:r>
      <w:r w:rsidR="1BD3424A" w:rsidRPr="00EA22CC">
        <w:t xml:space="preserve">,” is instructive. </w:t>
      </w:r>
      <w:r w:rsidR="5CB525CC" w:rsidRPr="00EA22CC">
        <w:t xml:space="preserve">Where </w:t>
      </w:r>
      <w:r w:rsidR="1BD3424A" w:rsidRPr="00EA22CC">
        <w:t>the</w:t>
      </w:r>
      <w:r w:rsidR="5CB525CC" w:rsidRPr="00EA22CC">
        <w:t xml:space="preserve"> legislature expressly includes a category in one statutory scheme but omits it in another closely related scheme, that omission may </w:t>
      </w:r>
      <w:r w:rsidR="1BD3424A" w:rsidRPr="00EA22CC">
        <w:t xml:space="preserve">support </w:t>
      </w:r>
      <w:r w:rsidR="5CB525CC" w:rsidRPr="00EA22CC">
        <w:t xml:space="preserve">an inference of </w:t>
      </w:r>
      <w:r w:rsidR="1BD3424A" w:rsidRPr="00EA22CC">
        <w:t xml:space="preserve">deliberate </w:t>
      </w:r>
      <w:r w:rsidR="5CB525CC" w:rsidRPr="00EA22CC">
        <w:t>exclusion</w:t>
      </w:r>
      <w:r w:rsidR="1BD3424A" w:rsidRPr="00EA22CC">
        <w:t>.</w:t>
      </w:r>
      <w:r w:rsidR="6CD8EB2C" w:rsidRPr="00EA22CC">
        <w:t xml:space="preserve"> </w:t>
      </w:r>
    </w:p>
    <w:p w14:paraId="63B8A657" w14:textId="370CF04C" w:rsidR="00EA22CC" w:rsidRPr="00EA22CC" w:rsidRDefault="00EA22CC" w:rsidP="0007526F">
      <w:pPr>
        <w:pStyle w:val="WSParaNum"/>
        <w:numPr>
          <w:ilvl w:val="0"/>
          <w:numId w:val="0"/>
        </w:numPr>
        <w:spacing w:line="240" w:lineRule="auto"/>
        <w:ind w:left="720"/>
        <w:jc w:val="both"/>
        <w:rPr>
          <w:sz w:val="20"/>
          <w:szCs w:val="20"/>
        </w:rPr>
      </w:pPr>
      <w:r w:rsidRPr="001F15CA">
        <w:rPr>
          <w:i/>
          <w:iCs/>
          <w:sz w:val="20"/>
          <w:szCs w:val="20"/>
        </w:rPr>
        <w:t>Kosicki v. Toronto (City)</w:t>
      </w:r>
      <w:r w:rsidRPr="00EA22CC">
        <w:rPr>
          <w:sz w:val="20"/>
          <w:szCs w:val="20"/>
        </w:rPr>
        <w:t>, 2025</w:t>
      </w:r>
      <w:r w:rsidR="00A5120C">
        <w:rPr>
          <w:sz w:val="20"/>
          <w:szCs w:val="20"/>
        </w:rPr>
        <w:t xml:space="preserve"> SCC</w:t>
      </w:r>
      <w:r w:rsidR="001F15CA">
        <w:rPr>
          <w:sz w:val="20"/>
          <w:szCs w:val="20"/>
        </w:rPr>
        <w:t xml:space="preserve"> 28 at paras 31, 51.</w:t>
      </w:r>
    </w:p>
    <w:p w14:paraId="618ED4E7" w14:textId="4B4B8938" w:rsidR="5A91DA06" w:rsidRDefault="001412AD" w:rsidP="00130AAC">
      <w:pPr>
        <w:pStyle w:val="WSParaNum"/>
        <w:numPr>
          <w:ilvl w:val="0"/>
          <w:numId w:val="1"/>
        </w:numPr>
        <w:jc w:val="both"/>
      </w:pPr>
      <w:r>
        <w:t>As a comparison, t</w:t>
      </w:r>
      <w:r w:rsidR="5A91DA06" w:rsidRPr="00EE3B86">
        <w:t xml:space="preserve">he </w:t>
      </w:r>
      <w:r w:rsidR="00EA22CC" w:rsidRPr="00775FB6">
        <w:t>F</w:t>
      </w:r>
      <w:r w:rsidR="5A91DA06" w:rsidRPr="00775FB6">
        <w:t xml:space="preserve">ederal </w:t>
      </w:r>
      <w:r w:rsidR="5A91DA06" w:rsidRPr="00775FB6">
        <w:rPr>
          <w:i/>
        </w:rPr>
        <w:t>Species at Risk Act</w:t>
      </w:r>
      <w:r w:rsidR="002F72D4" w:rsidRPr="00EE3B86">
        <w:rPr>
          <w:i/>
          <w:iCs/>
        </w:rPr>
        <w:t xml:space="preserve"> </w:t>
      </w:r>
      <w:r w:rsidR="00A1602E">
        <w:t>(“</w:t>
      </w:r>
      <w:r w:rsidR="00A1602E" w:rsidRPr="00A1602E">
        <w:rPr>
          <w:b/>
          <w:bCs/>
        </w:rPr>
        <w:t>SARA</w:t>
      </w:r>
      <w:r w:rsidR="00A1602E">
        <w:t xml:space="preserve">”) </w:t>
      </w:r>
      <w:r w:rsidR="002F72D4" w:rsidRPr="00A1602E">
        <w:t>is</w:t>
      </w:r>
      <w:r w:rsidR="002F72D4" w:rsidRPr="00EE3B86">
        <w:t xml:space="preserve"> instructive as </w:t>
      </w:r>
      <w:r w:rsidR="4BBDFF2C" w:rsidRPr="00EE3B86">
        <w:t xml:space="preserve">its own </w:t>
      </w:r>
      <w:r w:rsidR="5A91DA06" w:rsidRPr="00EE3B86">
        <w:t>definition of habitat expressly includes areas where a species formerly occurred and ha</w:t>
      </w:r>
      <w:r w:rsidR="1D40437A" w:rsidRPr="00EE3B86">
        <w:t>ve</w:t>
      </w:r>
      <w:r w:rsidR="5A91DA06" w:rsidRPr="00EE3B86">
        <w:t xml:space="preserve"> the potential to be reintroduced. The </w:t>
      </w:r>
      <w:r w:rsidR="5A91DA06" w:rsidRPr="00EA22CC">
        <w:rPr>
          <w:i/>
          <w:iCs/>
        </w:rPr>
        <w:t>ESA</w:t>
      </w:r>
      <w:r w:rsidR="5A91DA06" w:rsidRPr="00EE3B86">
        <w:t xml:space="preserve"> </w:t>
      </w:r>
      <w:r w:rsidR="002F72D4" w:rsidRPr="00EE3B86">
        <w:t xml:space="preserve">however </w:t>
      </w:r>
      <w:r w:rsidR="5A91DA06" w:rsidRPr="00EE3B86">
        <w:t xml:space="preserve">adopts a materially different approach. </w:t>
      </w:r>
      <w:r w:rsidR="002F72D4" w:rsidRPr="00EE3B86">
        <w:t xml:space="preserve">The legislature in </w:t>
      </w:r>
      <w:r w:rsidR="5A91DA06" w:rsidRPr="00EE3B86">
        <w:t>Ontario not only declined to include language protecting potential or former habitat, but further enacted section 2(2) to expressly exclude such areas</w:t>
      </w:r>
      <w:r w:rsidR="19BC02B9" w:rsidRPr="00EE3B86">
        <w:t>.</w:t>
      </w:r>
      <w:r w:rsidR="5A91DA06" w:rsidRPr="00EE3B86">
        <w:t xml:space="preserve"> </w:t>
      </w:r>
    </w:p>
    <w:p w14:paraId="1DBA54A7" w14:textId="5E679FF2" w:rsidR="00EA22CC" w:rsidRPr="00D752CD" w:rsidRDefault="00FA1A6B" w:rsidP="0007526F">
      <w:pPr>
        <w:pStyle w:val="WSParaNum"/>
        <w:numPr>
          <w:ilvl w:val="0"/>
          <w:numId w:val="0"/>
        </w:numPr>
        <w:spacing w:before="0" w:after="0" w:line="240" w:lineRule="auto"/>
        <w:ind w:firstLine="720"/>
        <w:jc w:val="both"/>
        <w:rPr>
          <w:sz w:val="20"/>
          <w:szCs w:val="20"/>
          <w:highlight w:val="magenta"/>
        </w:rPr>
      </w:pPr>
      <w:r w:rsidRPr="0016389A">
        <w:rPr>
          <w:i/>
          <w:iCs/>
          <w:sz w:val="20"/>
          <w:szCs w:val="20"/>
        </w:rPr>
        <w:t xml:space="preserve">Species at Risk </w:t>
      </w:r>
      <w:r w:rsidRPr="00D752CD">
        <w:rPr>
          <w:i/>
          <w:iCs/>
          <w:sz w:val="20"/>
          <w:szCs w:val="20"/>
        </w:rPr>
        <w:t>Act</w:t>
      </w:r>
      <w:r w:rsidR="00722DF9">
        <w:rPr>
          <w:sz w:val="20"/>
          <w:szCs w:val="20"/>
        </w:rPr>
        <w:t xml:space="preserve">, </w:t>
      </w:r>
      <w:r w:rsidRPr="00722DF9">
        <w:rPr>
          <w:sz w:val="20"/>
          <w:szCs w:val="20"/>
        </w:rPr>
        <w:t>S</w:t>
      </w:r>
      <w:r w:rsidRPr="00FA1A6B">
        <w:rPr>
          <w:sz w:val="20"/>
          <w:szCs w:val="20"/>
        </w:rPr>
        <w:t>C 2002, c</w:t>
      </w:r>
      <w:r w:rsidR="00D15A6B">
        <w:rPr>
          <w:sz w:val="20"/>
          <w:szCs w:val="20"/>
        </w:rPr>
        <w:t xml:space="preserve"> </w:t>
      </w:r>
      <w:r w:rsidRPr="00FA1A6B">
        <w:rPr>
          <w:sz w:val="20"/>
          <w:szCs w:val="20"/>
        </w:rPr>
        <w:t>29</w:t>
      </w:r>
      <w:r>
        <w:rPr>
          <w:sz w:val="20"/>
          <w:szCs w:val="20"/>
        </w:rPr>
        <w:t>, s</w:t>
      </w:r>
      <w:r w:rsidR="00CE4CE3">
        <w:rPr>
          <w:sz w:val="20"/>
          <w:szCs w:val="20"/>
        </w:rPr>
        <w:t xml:space="preserve"> </w:t>
      </w:r>
      <w:r>
        <w:rPr>
          <w:sz w:val="20"/>
          <w:szCs w:val="20"/>
        </w:rPr>
        <w:t>2(1)</w:t>
      </w:r>
      <w:r w:rsidR="00D752CD">
        <w:rPr>
          <w:sz w:val="20"/>
          <w:szCs w:val="20"/>
        </w:rPr>
        <w:t xml:space="preserve"> [</w:t>
      </w:r>
      <w:r w:rsidR="00D752CD">
        <w:rPr>
          <w:i/>
          <w:iCs/>
          <w:sz w:val="20"/>
          <w:szCs w:val="20"/>
        </w:rPr>
        <w:t>Species at Risk Act</w:t>
      </w:r>
      <w:r w:rsidR="00D752CD">
        <w:rPr>
          <w:sz w:val="20"/>
          <w:szCs w:val="20"/>
        </w:rPr>
        <w:t>].</w:t>
      </w:r>
    </w:p>
    <w:p w14:paraId="5E57057E" w14:textId="4572EB06" w:rsidR="6CD8EB2C" w:rsidRPr="00EE3B86" w:rsidRDefault="6CD8EB2C" w:rsidP="00D752CD">
      <w:pPr>
        <w:pStyle w:val="WSParaNum"/>
        <w:numPr>
          <w:ilvl w:val="0"/>
          <w:numId w:val="1"/>
        </w:numPr>
        <w:spacing w:before="240" w:after="240"/>
        <w:jc w:val="both"/>
      </w:pPr>
      <w:r w:rsidRPr="00EE3B86">
        <w:t xml:space="preserve">This language reflects a </w:t>
      </w:r>
      <w:r w:rsidR="001412AD" w:rsidRPr="00EE3B86">
        <w:t>significant</w:t>
      </w:r>
      <w:r w:rsidR="5028DDFB" w:rsidRPr="00EE3B86">
        <w:t xml:space="preserve"> </w:t>
      </w:r>
      <w:r w:rsidRPr="00EE3B86">
        <w:t xml:space="preserve">difference between the definition of habitat in SARA and the definition adopted in the </w:t>
      </w:r>
      <w:r w:rsidRPr="00D83126">
        <w:rPr>
          <w:i/>
          <w:iCs/>
        </w:rPr>
        <w:t>ESA</w:t>
      </w:r>
      <w:r w:rsidRPr="00EE3B86">
        <w:t xml:space="preserve">. SARA expressly includes areas where a species formerly occurred and has the potential to be reintroduced. That express inclusion cannot be ignored when interpreting the </w:t>
      </w:r>
      <w:r w:rsidRPr="00D83126">
        <w:rPr>
          <w:i/>
          <w:iCs/>
        </w:rPr>
        <w:t>ESA</w:t>
      </w:r>
      <w:r w:rsidRPr="00EE3B86">
        <w:t xml:space="preserve">. While there is a presumption of </w:t>
      </w:r>
      <w:r w:rsidR="4D6BB93F" w:rsidRPr="00EE3B86">
        <w:t>harmony and consistency between statutes dealing with the same subject matter</w:t>
      </w:r>
      <w:r w:rsidRPr="00EE3B86">
        <w:t>, that presumption operates in conjunction with, not in opposition to, express legislative choice</w:t>
      </w:r>
      <w:r w:rsidR="4D6BB93F" w:rsidRPr="00EE3B86">
        <w:t>.</w:t>
      </w:r>
      <w:r w:rsidRPr="00EE3B86">
        <w:t xml:space="preserve"> Here, the Ontario Legislature not only declined to include language protecting potential or former habitat in the </w:t>
      </w:r>
      <w:r w:rsidRPr="00D83126">
        <w:rPr>
          <w:i/>
          <w:iCs/>
        </w:rPr>
        <w:t>ESA</w:t>
      </w:r>
      <w:r w:rsidRPr="00EE3B86">
        <w:t xml:space="preserve">, but further enacted section 2(2) to expressly exclude such areas unless existing members of the species depend on them to carry on their life processes. </w:t>
      </w:r>
    </w:p>
    <w:p w14:paraId="39CFFA04" w14:textId="61A2E9F6" w:rsidR="00775FB6" w:rsidRDefault="40032227" w:rsidP="00D752CD">
      <w:pPr>
        <w:pStyle w:val="WSParaNum"/>
        <w:numPr>
          <w:ilvl w:val="0"/>
          <w:numId w:val="1"/>
        </w:numPr>
        <w:spacing w:before="240" w:after="240"/>
        <w:jc w:val="both"/>
      </w:pPr>
      <w:r w:rsidRPr="00EE3B86">
        <w:t xml:space="preserve">The deliberate departure from the </w:t>
      </w:r>
      <w:r w:rsidRPr="00775FB6">
        <w:t>SARA definition reflects a</w:t>
      </w:r>
      <w:r w:rsidR="002F72D4" w:rsidRPr="00775FB6">
        <w:t xml:space="preserve">n intention of the legislature </w:t>
      </w:r>
      <w:r w:rsidRPr="00775FB6">
        <w:t xml:space="preserve">to adopt a narrower conception of habitat under the </w:t>
      </w:r>
      <w:r w:rsidRPr="00D83126">
        <w:rPr>
          <w:i/>
          <w:iCs/>
        </w:rPr>
        <w:t>ESA</w:t>
      </w:r>
      <w:r w:rsidRPr="00EE3B86">
        <w:t xml:space="preserve">. That choice must be respected when </w:t>
      </w:r>
      <w:r w:rsidRPr="00EE3B86">
        <w:lastRenderedPageBreak/>
        <w:t xml:space="preserve">interpreting the scope of indirect dependence and when </w:t>
      </w:r>
      <w:r w:rsidR="003F71D0" w:rsidRPr="00EE3B86">
        <w:t xml:space="preserve">considering </w:t>
      </w:r>
      <w:r w:rsidRPr="00EE3B86">
        <w:t>the relevance of SARA-based jurisprudence</w:t>
      </w:r>
      <w:r w:rsidR="242765EC" w:rsidRPr="00EE3B86">
        <w:t>.</w:t>
      </w:r>
      <w:r w:rsidR="003F71D0" w:rsidRPr="00EE3B86">
        <w:t xml:space="preserve"> </w:t>
      </w:r>
    </w:p>
    <w:p w14:paraId="02BFE1FF" w14:textId="77777777" w:rsidR="0007526F" w:rsidRDefault="00D752CD" w:rsidP="0007526F">
      <w:pPr>
        <w:pStyle w:val="WSParaNum"/>
        <w:numPr>
          <w:ilvl w:val="0"/>
          <w:numId w:val="0"/>
        </w:numPr>
        <w:spacing w:before="240" w:after="0" w:line="240" w:lineRule="auto"/>
        <w:ind w:firstLine="720"/>
        <w:jc w:val="both"/>
        <w:rPr>
          <w:sz w:val="20"/>
          <w:szCs w:val="20"/>
        </w:rPr>
      </w:pPr>
      <w:r>
        <w:rPr>
          <w:i/>
          <w:iCs/>
          <w:sz w:val="20"/>
          <w:szCs w:val="20"/>
        </w:rPr>
        <w:t>Species at Risk Act</w:t>
      </w:r>
      <w:r>
        <w:rPr>
          <w:sz w:val="20"/>
          <w:szCs w:val="20"/>
        </w:rPr>
        <w:t xml:space="preserve">, </w:t>
      </w:r>
      <w:r>
        <w:rPr>
          <w:i/>
          <w:iCs/>
          <w:sz w:val="20"/>
          <w:szCs w:val="20"/>
        </w:rPr>
        <w:t xml:space="preserve">supra </w:t>
      </w:r>
      <w:r>
        <w:rPr>
          <w:sz w:val="20"/>
          <w:szCs w:val="20"/>
        </w:rPr>
        <w:t xml:space="preserve">note 71 at s 2(1). </w:t>
      </w:r>
    </w:p>
    <w:p w14:paraId="21B87426" w14:textId="6BA70D8E" w:rsidR="00775FB6" w:rsidRPr="003E456A" w:rsidRDefault="00775FB6" w:rsidP="0007526F">
      <w:pPr>
        <w:pStyle w:val="WSParaNum"/>
        <w:numPr>
          <w:ilvl w:val="0"/>
          <w:numId w:val="0"/>
        </w:numPr>
        <w:spacing w:before="0" w:after="0" w:line="240" w:lineRule="auto"/>
        <w:ind w:firstLine="720"/>
        <w:jc w:val="both"/>
        <w:rPr>
          <w:sz w:val="20"/>
          <w:szCs w:val="20"/>
        </w:rPr>
      </w:pPr>
      <w:r w:rsidRPr="00FF2065">
        <w:rPr>
          <w:i/>
          <w:iCs/>
          <w:sz w:val="20"/>
          <w:szCs w:val="20"/>
          <w:lang w:val="pt-PT"/>
        </w:rPr>
        <w:t>ESA</w:t>
      </w:r>
      <w:r w:rsidRPr="00FF2065">
        <w:rPr>
          <w:sz w:val="20"/>
          <w:szCs w:val="20"/>
          <w:lang w:val="pt-PT"/>
        </w:rPr>
        <w:t xml:space="preserve">, </w:t>
      </w:r>
      <w:r w:rsidRPr="00FF2065">
        <w:rPr>
          <w:i/>
          <w:iCs/>
          <w:sz w:val="20"/>
          <w:szCs w:val="20"/>
          <w:lang w:val="pt-PT"/>
        </w:rPr>
        <w:t xml:space="preserve">supra </w:t>
      </w:r>
      <w:r w:rsidRPr="00FF2065">
        <w:rPr>
          <w:sz w:val="20"/>
          <w:szCs w:val="20"/>
          <w:lang w:val="pt-PT"/>
        </w:rPr>
        <w:t>note 16 at s.2(2).</w:t>
      </w:r>
    </w:p>
    <w:p w14:paraId="3BF539D5" w14:textId="77777777" w:rsidR="00365196" w:rsidRDefault="003F71D0" w:rsidP="00365196">
      <w:pPr>
        <w:pStyle w:val="WSParaNum"/>
        <w:numPr>
          <w:ilvl w:val="0"/>
          <w:numId w:val="1"/>
        </w:numPr>
        <w:spacing w:before="240" w:after="240"/>
        <w:jc w:val="both"/>
        <w:rPr>
          <w:b/>
          <w:bCs/>
        </w:rPr>
      </w:pPr>
      <w:r w:rsidRPr="00D752CD">
        <w:t>While</w:t>
      </w:r>
      <w:r w:rsidR="692B6B16" w:rsidRPr="00D752CD" w:rsidDel="003F71D0">
        <w:t xml:space="preserve"> </w:t>
      </w:r>
      <w:r w:rsidR="40032227" w:rsidRPr="00D752CD">
        <w:t>environmental</w:t>
      </w:r>
      <w:r w:rsidR="40032227" w:rsidRPr="00EE3B86">
        <w:t xml:space="preserve"> legislation is often informed by precautionary considerations</w:t>
      </w:r>
      <w:r w:rsidRPr="00EE3B86">
        <w:t xml:space="preserve">, </w:t>
      </w:r>
      <w:r w:rsidR="40032227" w:rsidRPr="00EE3B86">
        <w:t xml:space="preserve">the precautionary principle cannot </w:t>
      </w:r>
      <w:r w:rsidRPr="00EE3B86">
        <w:t xml:space="preserve">and should not </w:t>
      </w:r>
      <w:r w:rsidR="40032227" w:rsidRPr="00EE3B86">
        <w:t xml:space="preserve">be used to dilute or bypass an express statutory threshold. Section 2(2) of the </w:t>
      </w:r>
      <w:r w:rsidR="40032227" w:rsidRPr="00D83126">
        <w:rPr>
          <w:i/>
          <w:iCs/>
        </w:rPr>
        <w:t>ESA</w:t>
      </w:r>
      <w:r w:rsidR="40032227" w:rsidRPr="00EE3B86">
        <w:t xml:space="preserve"> requires proof that existing members of the species depend on the area to carry on their life processes. Treating uncertainty, potential ecological benefit, or speculative risk as sufficient would convert precaution into a substitute for proof and would undermine the Legislature’s deliberate exclusion of potential habitat. Precaution may inform regulatory and policy decision-making, but it cannot displace the statutory requirements governing the definition of habitat under the </w:t>
      </w:r>
      <w:r w:rsidR="40032227" w:rsidRPr="00D83126">
        <w:rPr>
          <w:i/>
          <w:iCs/>
        </w:rPr>
        <w:t>ESA</w:t>
      </w:r>
      <w:r w:rsidR="40032227" w:rsidRPr="00EE3B86">
        <w:t>.</w:t>
      </w:r>
    </w:p>
    <w:p w14:paraId="72D6C29E" w14:textId="7B7C2A16" w:rsidR="00775FB6" w:rsidRPr="00FF2065" w:rsidRDefault="006D1B55" w:rsidP="00365196">
      <w:pPr>
        <w:pStyle w:val="WSParaNum"/>
        <w:numPr>
          <w:ilvl w:val="0"/>
          <w:numId w:val="0"/>
        </w:numPr>
        <w:spacing w:before="240" w:after="240" w:line="240" w:lineRule="auto"/>
        <w:ind w:firstLine="720"/>
        <w:jc w:val="both"/>
        <w:rPr>
          <w:b/>
          <w:bCs/>
          <w:lang w:val="pt-PT"/>
        </w:rPr>
      </w:pPr>
      <w:r w:rsidRPr="006D1B55">
        <w:rPr>
          <w:i/>
          <w:iCs/>
          <w:sz w:val="20"/>
          <w:szCs w:val="20"/>
          <w:lang w:val="pt-PT"/>
        </w:rPr>
        <w:t>Castonguay</w:t>
      </w:r>
      <w:r w:rsidR="006E0489" w:rsidRPr="00FF2065">
        <w:rPr>
          <w:sz w:val="20"/>
          <w:szCs w:val="20"/>
          <w:lang w:val="pt-PT"/>
        </w:rPr>
        <w:t>,</w:t>
      </w:r>
      <w:r w:rsidR="00766FFD" w:rsidRPr="00FF2065">
        <w:rPr>
          <w:sz w:val="20"/>
          <w:szCs w:val="20"/>
          <w:lang w:val="pt-PT"/>
        </w:rPr>
        <w:t xml:space="preserve"> </w:t>
      </w:r>
      <w:r w:rsidR="00766FFD" w:rsidRPr="00FF2065">
        <w:rPr>
          <w:i/>
          <w:iCs/>
          <w:sz w:val="20"/>
          <w:szCs w:val="20"/>
          <w:lang w:val="pt-PT"/>
        </w:rPr>
        <w:t>supra</w:t>
      </w:r>
      <w:r w:rsidR="00766FFD" w:rsidRPr="00FF2065">
        <w:rPr>
          <w:sz w:val="20"/>
          <w:szCs w:val="20"/>
          <w:lang w:val="pt-PT"/>
        </w:rPr>
        <w:t xml:space="preserve"> note 67 </w:t>
      </w:r>
      <w:r w:rsidR="006E0489" w:rsidRPr="00FF2065">
        <w:rPr>
          <w:sz w:val="20"/>
          <w:szCs w:val="20"/>
          <w:lang w:val="pt-PT"/>
        </w:rPr>
        <w:t xml:space="preserve">at </w:t>
      </w:r>
      <w:r w:rsidR="00365196" w:rsidRPr="00FF2065">
        <w:rPr>
          <w:sz w:val="20"/>
          <w:szCs w:val="20"/>
          <w:lang w:val="pt-PT"/>
        </w:rPr>
        <w:t xml:space="preserve">para </w:t>
      </w:r>
      <w:r w:rsidR="006E0489" w:rsidRPr="00FF2065">
        <w:rPr>
          <w:sz w:val="20"/>
          <w:szCs w:val="20"/>
          <w:lang w:val="pt-PT"/>
        </w:rPr>
        <w:t>20</w:t>
      </w:r>
      <w:r w:rsidR="00365196" w:rsidRPr="00FF2065">
        <w:rPr>
          <w:sz w:val="20"/>
          <w:szCs w:val="20"/>
          <w:lang w:val="pt-PT"/>
        </w:rPr>
        <w:t>.</w:t>
      </w:r>
    </w:p>
    <w:p w14:paraId="289AFE5F" w14:textId="2F02510B" w:rsidR="3E89163E" w:rsidRPr="00EE3B86" w:rsidRDefault="003F71D0" w:rsidP="00365196">
      <w:pPr>
        <w:pStyle w:val="Heading3"/>
        <w:rPr>
          <w:rFonts w:ascii="Times New Roman" w:hAnsi="Times New Roman"/>
          <w:b w:val="0"/>
          <w:sz w:val="24"/>
          <w:szCs w:val="24"/>
        </w:rPr>
      </w:pPr>
      <w:bookmarkStart w:id="21" w:name="_Toc220056505"/>
      <w:r w:rsidRPr="00B8213D">
        <w:rPr>
          <w:rFonts w:ascii="Times New Roman" w:hAnsi="Times New Roman"/>
          <w:sz w:val="24"/>
          <w:szCs w:val="24"/>
        </w:rPr>
        <w:t>No</w:t>
      </w:r>
      <w:r w:rsidR="3E89163E" w:rsidRPr="5FB648F7">
        <w:rPr>
          <w:rFonts w:ascii="Times New Roman" w:hAnsi="Times New Roman"/>
          <w:sz w:val="24"/>
          <w:szCs w:val="24"/>
        </w:rPr>
        <w:t xml:space="preserve"> Indirect Dependence on the Site</w:t>
      </w:r>
      <w:bookmarkEnd w:id="21"/>
    </w:p>
    <w:p w14:paraId="09F354CB" w14:textId="28A9C89A" w:rsidR="003C29AF" w:rsidRDefault="3E89163E" w:rsidP="003C29AF">
      <w:pPr>
        <w:pStyle w:val="WSParaNum"/>
        <w:numPr>
          <w:ilvl w:val="0"/>
          <w:numId w:val="1"/>
        </w:numPr>
        <w:spacing w:before="240" w:after="240"/>
        <w:jc w:val="both"/>
      </w:pPr>
      <w:r w:rsidRPr="00EE3B86">
        <w:t xml:space="preserve">Even if </w:t>
      </w:r>
      <w:r w:rsidR="692B6B16" w:rsidRPr="00EE3B86">
        <w:t>indirect dependence does not require contemporaneous physical presence on the Site</w:t>
      </w:r>
      <w:r w:rsidRPr="00EE3B86">
        <w:t>,</w:t>
      </w:r>
      <w:r w:rsidR="003F71D0" w:rsidRPr="00EE3B86">
        <w:t xml:space="preserve"> </w:t>
      </w:r>
      <w:r w:rsidRPr="00EE3B86">
        <w:t xml:space="preserve">it still </w:t>
      </w:r>
      <w:r w:rsidR="003F71D0" w:rsidRPr="00EE3B86">
        <w:t xml:space="preserve">however </w:t>
      </w:r>
      <w:r w:rsidRPr="00EE3B86">
        <w:t xml:space="preserve">requires proof of </w:t>
      </w:r>
      <w:r w:rsidR="00421A3B" w:rsidRPr="00EE3B86">
        <w:t>dependence</w:t>
      </w:r>
      <w:r w:rsidRPr="00EE3B86">
        <w:t xml:space="preserve"> by existing members of the species. Evidence of ecological suitability or potential usefulness is not sufficient.</w:t>
      </w:r>
    </w:p>
    <w:p w14:paraId="6FA94428" w14:textId="1B7B6BB2" w:rsidR="120C048C" w:rsidRDefault="6A0338DA" w:rsidP="003C29AF">
      <w:pPr>
        <w:pStyle w:val="WSParaNum"/>
        <w:numPr>
          <w:ilvl w:val="0"/>
          <w:numId w:val="1"/>
        </w:numPr>
        <w:spacing w:before="240" w:after="240"/>
        <w:jc w:val="both"/>
      </w:pPr>
      <w:r w:rsidRPr="00EE3B86">
        <w:t xml:space="preserve">Courts </w:t>
      </w:r>
      <w:r w:rsidR="5985FF69" w:rsidRPr="00EE3B86">
        <w:t>interpreting</w:t>
      </w:r>
      <w:r w:rsidRPr="00EE3B86">
        <w:t xml:space="preserve"> analogous </w:t>
      </w:r>
      <w:r w:rsidR="4FD93161" w:rsidRPr="00EE3B86">
        <w:t>statutory</w:t>
      </w:r>
      <w:r w:rsidRPr="00EE3B86">
        <w:t xml:space="preserve"> </w:t>
      </w:r>
      <w:r w:rsidR="23DF4DCB" w:rsidRPr="00EE3B86">
        <w:t>language</w:t>
      </w:r>
      <w:r w:rsidRPr="00EE3B86">
        <w:t xml:space="preserve"> in the context of fish habitat have </w:t>
      </w:r>
      <w:r w:rsidR="77471DA0">
        <w:t>previously</w:t>
      </w:r>
      <w:r w:rsidRPr="00EE3B86">
        <w:t xml:space="preserve"> </w:t>
      </w:r>
      <w:r w:rsidR="698A5964" w:rsidRPr="00EE3B86">
        <w:t>cautioned</w:t>
      </w:r>
      <w:r w:rsidRPr="00EE3B86">
        <w:t xml:space="preserve"> against giving “indirect </w:t>
      </w:r>
      <w:r w:rsidR="68332D3D" w:rsidRPr="00EE3B86">
        <w:t>dependence</w:t>
      </w:r>
      <w:r w:rsidRPr="00EE3B86">
        <w:t xml:space="preserve">” an overbroad meaning that </w:t>
      </w:r>
      <w:r w:rsidR="00793F18">
        <w:t xml:space="preserve">changes </w:t>
      </w:r>
      <w:r w:rsidR="003658F3">
        <w:t>the meaning</w:t>
      </w:r>
      <w:r w:rsidR="00793F18" w:rsidRPr="00EE3B86">
        <w:t xml:space="preserve"> </w:t>
      </w:r>
      <w:r w:rsidRPr="00EE3B86">
        <w:t xml:space="preserve">into </w:t>
      </w:r>
      <w:r w:rsidR="1D71A4CC" w:rsidRPr="00EE3B86">
        <w:t>potential</w:t>
      </w:r>
      <w:r w:rsidR="79C0E6CF" w:rsidRPr="00EE3B86">
        <w:t xml:space="preserve"> use or generalized ecological influence. </w:t>
      </w:r>
    </w:p>
    <w:p w14:paraId="07B24E9B" w14:textId="2CFE2790" w:rsidR="0007526F" w:rsidRDefault="002F1A1C" w:rsidP="0007526F">
      <w:pPr>
        <w:pStyle w:val="WSParaNum"/>
        <w:numPr>
          <w:ilvl w:val="0"/>
          <w:numId w:val="0"/>
        </w:numPr>
        <w:spacing w:before="240" w:after="0" w:line="240" w:lineRule="auto"/>
        <w:ind w:left="720"/>
        <w:jc w:val="both"/>
        <w:rPr>
          <w:i/>
          <w:iCs/>
          <w:sz w:val="20"/>
          <w:szCs w:val="20"/>
        </w:rPr>
      </w:pPr>
      <w:r w:rsidRPr="002F1A1C">
        <w:rPr>
          <w:i/>
          <w:iCs/>
          <w:sz w:val="20"/>
          <w:szCs w:val="20"/>
        </w:rPr>
        <w:t xml:space="preserve">R. v. Bowcott, </w:t>
      </w:r>
      <w:r w:rsidRPr="002F1A1C">
        <w:rPr>
          <w:sz w:val="20"/>
          <w:szCs w:val="20"/>
        </w:rPr>
        <w:t>1998 CanLII 999 (BC SC) at para 19</w:t>
      </w:r>
      <w:r w:rsidR="0070451A">
        <w:rPr>
          <w:sz w:val="20"/>
          <w:szCs w:val="20"/>
        </w:rPr>
        <w:t xml:space="preserve"> [</w:t>
      </w:r>
      <w:r w:rsidR="0070451A">
        <w:rPr>
          <w:i/>
          <w:iCs/>
          <w:sz w:val="20"/>
          <w:szCs w:val="20"/>
        </w:rPr>
        <w:t>Bowcott</w:t>
      </w:r>
      <w:r w:rsidR="0070451A">
        <w:rPr>
          <w:sz w:val="20"/>
          <w:szCs w:val="20"/>
        </w:rPr>
        <w:t>]</w:t>
      </w:r>
      <w:r w:rsidR="0007526F">
        <w:rPr>
          <w:sz w:val="20"/>
          <w:szCs w:val="20"/>
        </w:rPr>
        <w:t>.</w:t>
      </w:r>
    </w:p>
    <w:p w14:paraId="661E029A" w14:textId="448D9C4F" w:rsidR="002B59C8" w:rsidRPr="0007526F" w:rsidRDefault="002B59C8" w:rsidP="0007526F">
      <w:pPr>
        <w:pStyle w:val="WSParaNum"/>
        <w:numPr>
          <w:ilvl w:val="0"/>
          <w:numId w:val="0"/>
        </w:numPr>
        <w:spacing w:before="0" w:after="0" w:line="240" w:lineRule="auto"/>
        <w:ind w:left="720"/>
        <w:jc w:val="both"/>
        <w:rPr>
          <w:i/>
          <w:iCs/>
          <w:sz w:val="20"/>
          <w:szCs w:val="20"/>
        </w:rPr>
      </w:pPr>
      <w:r w:rsidRPr="00F83DF7">
        <w:rPr>
          <w:i/>
          <w:iCs/>
          <w:sz w:val="20"/>
          <w:szCs w:val="20"/>
        </w:rPr>
        <w:t>R v Fraser River Harbour Commission</w:t>
      </w:r>
      <w:r w:rsidR="00F83DF7">
        <w:rPr>
          <w:sz w:val="20"/>
          <w:szCs w:val="20"/>
        </w:rPr>
        <w:t xml:space="preserve">, </w:t>
      </w:r>
      <w:r w:rsidR="004D6017" w:rsidRPr="004D6017">
        <w:rPr>
          <w:sz w:val="20"/>
          <w:szCs w:val="20"/>
        </w:rPr>
        <w:t>[1983] B.C.J. No. 156</w:t>
      </w:r>
      <w:r w:rsidR="004D6017">
        <w:rPr>
          <w:sz w:val="20"/>
          <w:szCs w:val="20"/>
        </w:rPr>
        <w:t xml:space="preserve"> at </w:t>
      </w:r>
      <w:r w:rsidRPr="00124E6B">
        <w:rPr>
          <w:sz w:val="20"/>
          <w:szCs w:val="20"/>
        </w:rPr>
        <w:t>para 10</w:t>
      </w:r>
      <w:r w:rsidR="004D6017">
        <w:rPr>
          <w:sz w:val="20"/>
          <w:szCs w:val="20"/>
        </w:rPr>
        <w:t xml:space="preserve"> [</w:t>
      </w:r>
      <w:r w:rsidR="004D6017">
        <w:rPr>
          <w:i/>
          <w:iCs/>
          <w:sz w:val="20"/>
          <w:szCs w:val="20"/>
        </w:rPr>
        <w:t>Fraser River</w:t>
      </w:r>
      <w:r w:rsidR="004D6017">
        <w:rPr>
          <w:sz w:val="20"/>
          <w:szCs w:val="20"/>
        </w:rPr>
        <w:t xml:space="preserve">]. </w:t>
      </w:r>
    </w:p>
    <w:p w14:paraId="1A755253" w14:textId="77777777" w:rsidR="00425F27" w:rsidRDefault="3DA6E0F6" w:rsidP="00351351">
      <w:pPr>
        <w:pStyle w:val="WSParaNum"/>
        <w:numPr>
          <w:ilvl w:val="0"/>
          <w:numId w:val="1"/>
        </w:numPr>
        <w:spacing w:before="240" w:after="240"/>
        <w:jc w:val="both"/>
      </w:pPr>
      <w:r w:rsidRPr="00EE3B86">
        <w:t xml:space="preserve">In </w:t>
      </w:r>
      <w:r w:rsidRPr="00165C5B">
        <w:rPr>
          <w:i/>
          <w:iCs/>
        </w:rPr>
        <w:t>R v Bowcott,</w:t>
      </w:r>
      <w:r w:rsidRPr="00EE3B86">
        <w:t xml:space="preserve"> </w:t>
      </w:r>
      <w:r w:rsidR="004D4EB0" w:rsidRPr="00EE3B86">
        <w:t>Justice</w:t>
      </w:r>
      <w:r w:rsidR="006A78DF" w:rsidRPr="00EE3B86">
        <w:t xml:space="preserve"> Curtis</w:t>
      </w:r>
      <w:r w:rsidRPr="00EE3B86">
        <w:t xml:space="preserve"> held that the phrase “depend directly or indirectly” must mean something more than land that “could possibly be used for” a species’ life processes, warning that without meaningful limits the definition would improperly extend to entire watersheds.</w:t>
      </w:r>
    </w:p>
    <w:p w14:paraId="1EACB4ED" w14:textId="46D4C830" w:rsidR="3DA6E0F6" w:rsidRPr="00351351" w:rsidRDefault="0070451A" w:rsidP="00351351">
      <w:pPr>
        <w:pStyle w:val="WSParaNum"/>
        <w:numPr>
          <w:ilvl w:val="0"/>
          <w:numId w:val="0"/>
        </w:numPr>
        <w:spacing w:before="240" w:after="240" w:line="240" w:lineRule="auto"/>
        <w:ind w:left="720"/>
        <w:rPr>
          <w:sz w:val="20"/>
          <w:szCs w:val="20"/>
        </w:rPr>
      </w:pPr>
      <w:r w:rsidRPr="00351351">
        <w:rPr>
          <w:i/>
          <w:iCs/>
          <w:sz w:val="20"/>
          <w:szCs w:val="20"/>
        </w:rPr>
        <w:t>Bowcott</w:t>
      </w:r>
      <w:r w:rsidRPr="00351351">
        <w:rPr>
          <w:sz w:val="20"/>
          <w:szCs w:val="20"/>
        </w:rPr>
        <w:t xml:space="preserve">, </w:t>
      </w:r>
      <w:r w:rsidRPr="00351351">
        <w:rPr>
          <w:i/>
          <w:iCs/>
          <w:sz w:val="20"/>
          <w:szCs w:val="20"/>
        </w:rPr>
        <w:t xml:space="preserve">supra </w:t>
      </w:r>
      <w:r w:rsidRPr="00351351">
        <w:rPr>
          <w:sz w:val="20"/>
          <w:szCs w:val="20"/>
        </w:rPr>
        <w:t xml:space="preserve">note 76 at para 19. </w:t>
      </w:r>
    </w:p>
    <w:p w14:paraId="20504323" w14:textId="6B5C22C3" w:rsidR="57519B2A" w:rsidRDefault="3DA6E0F6" w:rsidP="008C6609">
      <w:pPr>
        <w:pStyle w:val="WSParaNum"/>
        <w:numPr>
          <w:ilvl w:val="0"/>
          <w:numId w:val="1"/>
        </w:numPr>
        <w:spacing w:before="240" w:after="240"/>
        <w:jc w:val="both"/>
      </w:pPr>
      <w:r w:rsidRPr="00EE3B86">
        <w:t xml:space="preserve">Similarly, in </w:t>
      </w:r>
      <w:r w:rsidRPr="00EE3B86">
        <w:rPr>
          <w:i/>
          <w:iCs/>
        </w:rPr>
        <w:t>R v Fraser River Harbour Commission</w:t>
      </w:r>
      <w:r w:rsidRPr="00EE3B86">
        <w:t xml:space="preserve">, the court emphasized that while fish may benefit indirectly from surrounding lands, some limitation is necessary to avoid sweeping in </w:t>
      </w:r>
      <w:r w:rsidRPr="00EE3B86">
        <w:lastRenderedPageBreak/>
        <w:t>remote areas based solely on attenuated ecological contribution. Although these cases ar</w:t>
      </w:r>
      <w:r w:rsidR="00761C2E">
        <w:t>ose</w:t>
      </w:r>
      <w:r w:rsidRPr="00EE3B86">
        <w:t xml:space="preserve"> under </w:t>
      </w:r>
      <w:r w:rsidR="00B42EF4" w:rsidRPr="00EE3B86">
        <w:t xml:space="preserve">the </w:t>
      </w:r>
      <w:r w:rsidR="00B42EF4" w:rsidRPr="00B73A89">
        <w:rPr>
          <w:i/>
          <w:iCs/>
        </w:rPr>
        <w:t>Fisheries Act</w:t>
      </w:r>
      <w:r w:rsidR="00B42EF4" w:rsidRPr="00291D4A">
        <w:t>, Section 31(5)</w:t>
      </w:r>
      <w:r w:rsidR="00B73A89">
        <w:t xml:space="preserve"> at the time</w:t>
      </w:r>
      <w:r w:rsidRPr="00291D4A">
        <w:t>,</w:t>
      </w:r>
      <w:r w:rsidRPr="00EE3B86">
        <w:t xml:space="preserve"> they are instructive for the limited proposition that “indirect dependence” requires more than generalized environmental benefit.</w:t>
      </w:r>
      <w:r w:rsidR="74404FD1" w:rsidRPr="00EE3B86">
        <w:t xml:space="preserve"> </w:t>
      </w:r>
    </w:p>
    <w:p w14:paraId="0CBBFE6D" w14:textId="078CB26E" w:rsidR="00425F27" w:rsidRPr="0089068F" w:rsidRDefault="004D6017" w:rsidP="00C06C91">
      <w:pPr>
        <w:pStyle w:val="WSParaNum"/>
        <w:numPr>
          <w:ilvl w:val="0"/>
          <w:numId w:val="0"/>
        </w:numPr>
        <w:spacing w:before="240" w:after="240" w:line="240" w:lineRule="auto"/>
        <w:ind w:left="720"/>
        <w:rPr>
          <w:sz w:val="20"/>
          <w:szCs w:val="20"/>
        </w:rPr>
      </w:pPr>
      <w:r w:rsidRPr="004D6017">
        <w:rPr>
          <w:i/>
          <w:iCs/>
          <w:sz w:val="20"/>
          <w:szCs w:val="20"/>
        </w:rPr>
        <w:t>Fraser</w:t>
      </w:r>
      <w:r>
        <w:rPr>
          <w:i/>
          <w:iCs/>
          <w:sz w:val="20"/>
          <w:szCs w:val="20"/>
        </w:rPr>
        <w:t xml:space="preserve"> River</w:t>
      </w:r>
      <w:r w:rsidR="0089068F">
        <w:rPr>
          <w:sz w:val="20"/>
          <w:szCs w:val="20"/>
        </w:rPr>
        <w:t xml:space="preserve">, </w:t>
      </w:r>
      <w:r w:rsidR="0089068F">
        <w:rPr>
          <w:i/>
          <w:iCs/>
          <w:sz w:val="20"/>
          <w:szCs w:val="20"/>
        </w:rPr>
        <w:t xml:space="preserve">supra </w:t>
      </w:r>
      <w:r w:rsidR="0089068F">
        <w:rPr>
          <w:sz w:val="20"/>
          <w:szCs w:val="20"/>
        </w:rPr>
        <w:t>note 75 at para</w:t>
      </w:r>
      <w:r w:rsidR="00B73A89">
        <w:rPr>
          <w:sz w:val="20"/>
          <w:szCs w:val="20"/>
        </w:rPr>
        <w:t>s 9-</w:t>
      </w:r>
      <w:r w:rsidR="0089068F">
        <w:rPr>
          <w:sz w:val="20"/>
          <w:szCs w:val="20"/>
        </w:rPr>
        <w:t xml:space="preserve">10. </w:t>
      </w:r>
    </w:p>
    <w:p w14:paraId="713A5C07" w14:textId="4DABFE11" w:rsidR="692B6B16" w:rsidRPr="00EE3B86" w:rsidRDefault="692B6B16" w:rsidP="006709EF">
      <w:pPr>
        <w:pStyle w:val="WSParaNum"/>
        <w:numPr>
          <w:ilvl w:val="0"/>
          <w:numId w:val="1"/>
        </w:numPr>
        <w:spacing w:before="240" w:after="240"/>
        <w:jc w:val="both"/>
      </w:pPr>
      <w:r w:rsidRPr="00EE3B86">
        <w:t xml:space="preserve">The GHD is a general policy document that describes areas </w:t>
      </w:r>
      <w:r w:rsidR="003658F3">
        <w:t>that</w:t>
      </w:r>
      <w:r w:rsidR="003658F3" w:rsidRPr="00EE3B86">
        <w:t xml:space="preserve"> </w:t>
      </w:r>
      <w:r w:rsidRPr="00EE3B86">
        <w:t xml:space="preserve">may constitute habitat in theory. It is not evidence that any turtles in fact depended on this particular Site. Similarly, </w:t>
      </w:r>
      <w:r w:rsidR="003658F3">
        <w:t xml:space="preserve">the expert evidence confirmed the </w:t>
      </w:r>
      <w:r w:rsidRPr="00EE3B86">
        <w:t>identifi</w:t>
      </w:r>
      <w:r w:rsidR="003658F3">
        <w:t xml:space="preserve">cation of </w:t>
      </w:r>
      <w:r w:rsidRPr="00EE3B86">
        <w:t xml:space="preserve">features that could be useful to </w:t>
      </w:r>
      <w:r w:rsidR="003658F3" w:rsidRPr="00EE3B86">
        <w:t xml:space="preserve">Blanding’s </w:t>
      </w:r>
      <w:r w:rsidR="003658F3">
        <w:t>T</w:t>
      </w:r>
      <w:r w:rsidR="003658F3" w:rsidRPr="00EE3B86">
        <w:t>urtles</w:t>
      </w:r>
      <w:r w:rsidRPr="00EE3B86">
        <w:t xml:space="preserve">, but acknowledged that </w:t>
      </w:r>
      <w:r w:rsidR="003658F3">
        <w:t xml:space="preserve">they </w:t>
      </w:r>
      <w:r w:rsidRPr="00EE3B86">
        <w:t xml:space="preserve">had no confirmation that </w:t>
      </w:r>
      <w:r w:rsidR="003658F3" w:rsidRPr="00EE3B86">
        <w:t xml:space="preserve">Blanding’s </w:t>
      </w:r>
      <w:r w:rsidR="003658F3">
        <w:t>T</w:t>
      </w:r>
      <w:r w:rsidR="003658F3" w:rsidRPr="00EE3B86">
        <w:t>urtles</w:t>
      </w:r>
      <w:r w:rsidR="003658F3" w:rsidRPr="00EE3B86" w:rsidDel="003658F3">
        <w:t xml:space="preserve"> </w:t>
      </w:r>
      <w:r w:rsidRPr="00EE3B86">
        <w:t>used the Site for nesting, travel, thermoregulation, or any other life process during the offence period.</w:t>
      </w:r>
    </w:p>
    <w:p w14:paraId="527285FC" w14:textId="3BD4FCA0" w:rsidR="1BF31FA3" w:rsidRPr="00EE3B86" w:rsidRDefault="1BF31FA3" w:rsidP="00C35BAD">
      <w:pPr>
        <w:pStyle w:val="WSParaNum"/>
        <w:numPr>
          <w:ilvl w:val="0"/>
          <w:numId w:val="1"/>
        </w:numPr>
        <w:spacing w:before="240" w:after="240"/>
        <w:jc w:val="both"/>
      </w:pPr>
      <w:r w:rsidRPr="00EE3B86">
        <w:t xml:space="preserve">An area may contribute to ecological processes in a general sense without constituting habitat within the meaning of section 2(2). If any land that provided a general ecological benefit to a lake ecosystem were sufficient, virtually all land surrounding a body of water would qualify as habitat. </w:t>
      </w:r>
      <w:r w:rsidR="3385E9F4">
        <w:t xml:space="preserve">The </w:t>
      </w:r>
      <w:r w:rsidR="66D85518">
        <w:t xml:space="preserve">ESA </w:t>
      </w:r>
      <w:r w:rsidR="747BE2CA">
        <w:t>clearly</w:t>
      </w:r>
      <w:r w:rsidR="00C23AF0">
        <w:t xml:space="preserve"> </w:t>
      </w:r>
      <w:r w:rsidRPr="00EE3B86">
        <w:t>requires more.</w:t>
      </w:r>
    </w:p>
    <w:p w14:paraId="65F884C9" w14:textId="551BBF77" w:rsidR="0007526F" w:rsidRDefault="49DD8E93" w:rsidP="0007526F">
      <w:pPr>
        <w:pStyle w:val="WSParaNum"/>
        <w:numPr>
          <w:ilvl w:val="0"/>
          <w:numId w:val="1"/>
        </w:numPr>
        <w:spacing w:before="240" w:after="240"/>
        <w:jc w:val="both"/>
      </w:pPr>
      <w:r w:rsidRPr="00EE3B86">
        <w:t xml:space="preserve">The </w:t>
      </w:r>
      <w:r w:rsidR="00C23AF0">
        <w:t>A</w:t>
      </w:r>
      <w:r w:rsidR="00C23AF0" w:rsidRPr="00EE3B86">
        <w:t>ppellant</w:t>
      </w:r>
      <w:r w:rsidR="00C23AF0">
        <w:t>’</w:t>
      </w:r>
      <w:r w:rsidR="00C23AF0" w:rsidRPr="00EE3B86">
        <w:t xml:space="preserve">s </w:t>
      </w:r>
      <w:r w:rsidRPr="00EE3B86">
        <w:t xml:space="preserve">reliance on </w:t>
      </w:r>
      <w:r w:rsidR="00FD531E" w:rsidRPr="00FD531E">
        <w:rPr>
          <w:i/>
          <w:iCs/>
        </w:rPr>
        <w:t>Ontario (Natural Resources and Forestry) v. South Bruce Peninsula (Town)</w:t>
      </w:r>
      <w:r w:rsidRPr="00EE3B86">
        <w:t xml:space="preserve"> </w:t>
      </w:r>
      <w:r w:rsidR="00FD531E">
        <w:t>(“</w:t>
      </w:r>
      <w:r w:rsidR="00FD531E" w:rsidRPr="00FD531E">
        <w:rPr>
          <w:b/>
          <w:bCs/>
          <w:i/>
          <w:iCs/>
        </w:rPr>
        <w:t>South Bruce Peninsula</w:t>
      </w:r>
      <w:r w:rsidR="00FD531E">
        <w:t xml:space="preserve">”) </w:t>
      </w:r>
      <w:r w:rsidRPr="00FD531E">
        <w:t>does</w:t>
      </w:r>
      <w:r w:rsidRPr="00EE3B86">
        <w:t xml:space="preserve"> not alter that conclusion. In that case, the existence of habitat was not in dispute. The evidence established that piping plovers had returned to Sauble Beach annually since 2007, creating a predictable and recurring pattern of reliance. The issue before the court concerned damage to established habitat, not whether habitat existed in the first place.</w:t>
      </w:r>
    </w:p>
    <w:p w14:paraId="5FEEE59C" w14:textId="30D93C3B" w:rsidR="000F2ECD" w:rsidRPr="000F2ECD" w:rsidRDefault="000F2ECD" w:rsidP="00897864">
      <w:pPr>
        <w:pStyle w:val="WSParaNum"/>
        <w:numPr>
          <w:ilvl w:val="0"/>
          <w:numId w:val="0"/>
        </w:numPr>
        <w:spacing w:before="240" w:after="240" w:line="240" w:lineRule="auto"/>
        <w:ind w:left="720"/>
        <w:jc w:val="both"/>
        <w:rPr>
          <w:sz w:val="20"/>
          <w:szCs w:val="20"/>
        </w:rPr>
      </w:pPr>
      <w:r w:rsidRPr="000F2ECD">
        <w:rPr>
          <w:i/>
          <w:iCs/>
          <w:sz w:val="20"/>
          <w:szCs w:val="20"/>
        </w:rPr>
        <w:t>Ontario (Natural Resources and Forestry) v. South Bruce Peninsula (Town)</w:t>
      </w:r>
      <w:r w:rsidRPr="000F2ECD">
        <w:rPr>
          <w:sz w:val="20"/>
          <w:szCs w:val="20"/>
        </w:rPr>
        <w:t>, 2022 ONCA 315</w:t>
      </w:r>
      <w:r>
        <w:rPr>
          <w:sz w:val="20"/>
          <w:szCs w:val="20"/>
        </w:rPr>
        <w:t xml:space="preserve"> at para 5</w:t>
      </w:r>
      <w:r w:rsidR="00897864">
        <w:rPr>
          <w:sz w:val="20"/>
          <w:szCs w:val="20"/>
        </w:rPr>
        <w:t xml:space="preserve"> [</w:t>
      </w:r>
      <w:r w:rsidR="00897864">
        <w:rPr>
          <w:i/>
          <w:iCs/>
          <w:sz w:val="20"/>
          <w:szCs w:val="20"/>
        </w:rPr>
        <w:t>South Bruce Peninsula]</w:t>
      </w:r>
      <w:r>
        <w:rPr>
          <w:sz w:val="20"/>
          <w:szCs w:val="20"/>
        </w:rPr>
        <w:t>.</w:t>
      </w:r>
    </w:p>
    <w:p w14:paraId="3FD6BB9A" w14:textId="77777777" w:rsidR="0007526F" w:rsidRDefault="49DD8E93" w:rsidP="0007526F">
      <w:pPr>
        <w:pStyle w:val="WSParaNum"/>
        <w:numPr>
          <w:ilvl w:val="0"/>
          <w:numId w:val="1"/>
        </w:numPr>
        <w:spacing w:before="240" w:after="240"/>
        <w:jc w:val="both"/>
      </w:pPr>
      <w:r w:rsidRPr="00EE3B86">
        <w:t xml:space="preserve">Here, by contrast, the threshold question is whether habitat was established at all under section 2(2) of the </w:t>
      </w:r>
      <w:r w:rsidRPr="00F1792E">
        <w:rPr>
          <w:i/>
          <w:iCs/>
        </w:rPr>
        <w:t>ESA</w:t>
      </w:r>
      <w:r w:rsidRPr="00EE3B86">
        <w:t xml:space="preserve">. There is no comparable evidence of recurring or predictable reliance by Blanding’s </w:t>
      </w:r>
      <w:r w:rsidR="00C23AF0">
        <w:t>T</w:t>
      </w:r>
      <w:r w:rsidRPr="00EE3B86">
        <w:t xml:space="preserve">urtles on the Site. </w:t>
      </w:r>
      <w:r w:rsidR="00742DAB">
        <w:t xml:space="preserve">The case of </w:t>
      </w:r>
      <w:r w:rsidRPr="00FD531E">
        <w:rPr>
          <w:i/>
          <w:iCs/>
        </w:rPr>
        <w:t>South Bruce Peninsula</w:t>
      </w:r>
      <w:r w:rsidRPr="00EE3B86">
        <w:t xml:space="preserve"> therefore does not support a finding of habitat in the absence of proof that existing members of the species depended on the area to carry on their life processes.</w:t>
      </w:r>
    </w:p>
    <w:p w14:paraId="615FBA74" w14:textId="440646CB" w:rsidR="0007526F" w:rsidRDefault="0007526F" w:rsidP="0007526F">
      <w:pPr>
        <w:pStyle w:val="WSParaNum"/>
        <w:numPr>
          <w:ilvl w:val="0"/>
          <w:numId w:val="0"/>
        </w:numPr>
        <w:spacing w:before="240" w:after="240"/>
        <w:ind w:firstLine="720"/>
        <w:jc w:val="both"/>
        <w:rPr>
          <w:sz w:val="20"/>
          <w:szCs w:val="20"/>
        </w:rPr>
      </w:pPr>
      <w:r w:rsidRPr="0007526F">
        <w:rPr>
          <w:i/>
          <w:iCs/>
          <w:sz w:val="20"/>
          <w:szCs w:val="20"/>
        </w:rPr>
        <w:t>South Bruce Peninsula</w:t>
      </w:r>
      <w:r w:rsidRPr="0007526F">
        <w:rPr>
          <w:sz w:val="20"/>
          <w:szCs w:val="20"/>
        </w:rPr>
        <w:t xml:space="preserve">, </w:t>
      </w:r>
      <w:r w:rsidRPr="0007526F">
        <w:rPr>
          <w:i/>
          <w:iCs/>
          <w:sz w:val="20"/>
          <w:szCs w:val="20"/>
        </w:rPr>
        <w:t>supra</w:t>
      </w:r>
      <w:r w:rsidRPr="0007526F">
        <w:rPr>
          <w:sz w:val="20"/>
          <w:szCs w:val="20"/>
        </w:rPr>
        <w:t xml:space="preserve"> note 80.</w:t>
      </w:r>
    </w:p>
    <w:p w14:paraId="09BB7797" w14:textId="16F6B005" w:rsidR="0007526F" w:rsidRPr="0007526F" w:rsidRDefault="0007526F" w:rsidP="0007526F">
      <w:pPr>
        <w:pStyle w:val="Heading3"/>
        <w:jc w:val="both"/>
        <w:rPr>
          <w:rFonts w:ascii="Times New Roman" w:hAnsi="Times New Roman"/>
          <w:sz w:val="24"/>
          <w:szCs w:val="24"/>
        </w:rPr>
      </w:pPr>
      <w:bookmarkStart w:id="22" w:name="_Toc220056506"/>
      <w:r>
        <w:rPr>
          <w:rFonts w:ascii="Times New Roman" w:hAnsi="Times New Roman"/>
          <w:sz w:val="24"/>
          <w:szCs w:val="24"/>
        </w:rPr>
        <w:lastRenderedPageBreak/>
        <w:t>No</w:t>
      </w:r>
      <w:r w:rsidRPr="0042410F">
        <w:rPr>
          <w:rFonts w:ascii="Times New Roman" w:hAnsi="Times New Roman"/>
          <w:sz w:val="24"/>
          <w:szCs w:val="24"/>
        </w:rPr>
        <w:t xml:space="preserve"> Misunderstanding or Misapplication of the Statutory Definition</w:t>
      </w:r>
      <w:bookmarkEnd w:id="22"/>
    </w:p>
    <w:p w14:paraId="0612D4B8" w14:textId="77777777" w:rsidR="0007526F" w:rsidRDefault="0023099A" w:rsidP="0007526F">
      <w:pPr>
        <w:pStyle w:val="WSParaNum"/>
        <w:numPr>
          <w:ilvl w:val="0"/>
          <w:numId w:val="1"/>
        </w:numPr>
        <w:spacing w:before="240" w:after="240"/>
        <w:jc w:val="both"/>
      </w:pPr>
      <w:r>
        <w:t>T</w:t>
      </w:r>
      <w:r w:rsidR="68BAFE7B">
        <w:t>he OCJ decision reflects neither a misunderstanding nor a misapplication of the statutory definition of habitat. Justice Mathias identified</w:t>
      </w:r>
      <w:r w:rsidR="00E1397C">
        <w:t xml:space="preserve"> and applied</w:t>
      </w:r>
      <w:r w:rsidR="68BAFE7B">
        <w:t xml:space="preserve"> the correct legal test, including the possibility of indirect dependence, and applied it to the evidentiary record before her. </w:t>
      </w:r>
      <w:r w:rsidR="00E1397C">
        <w:t xml:space="preserve">The </w:t>
      </w:r>
      <w:r w:rsidR="68BAFE7B">
        <w:t>conclusion that the Crown failed to prove that existing Blanding’s turtles depended, directly or indirectly, on the Site during the offence period was a factual determination</w:t>
      </w:r>
      <w:r w:rsidR="00E1397C">
        <w:t xml:space="preserve"> appropriately</w:t>
      </w:r>
      <w:r w:rsidR="68BAFE7B">
        <w:t xml:space="preserve"> made </w:t>
      </w:r>
      <w:r w:rsidR="00E1397C">
        <w:t xml:space="preserve">in consideration of the express language </w:t>
      </w:r>
      <w:r w:rsidR="68BAFE7B">
        <w:t>of the statute. Accordingly, the appeal should be dismissed.</w:t>
      </w:r>
    </w:p>
    <w:p w14:paraId="4817F83B" w14:textId="3E814CB1" w:rsidR="0007526F" w:rsidRPr="0007526F" w:rsidRDefault="0007526F" w:rsidP="0007526F">
      <w:pPr>
        <w:pStyle w:val="Heading2"/>
        <w:tabs>
          <w:tab w:val="num" w:pos="720"/>
        </w:tabs>
        <w:spacing w:before="0"/>
        <w:jc w:val="both"/>
        <w:rPr>
          <w:rFonts w:ascii="Times New Roman" w:hAnsi="Times New Roman"/>
          <w:i w:val="0"/>
          <w:iCs w:val="0"/>
          <w:sz w:val="24"/>
          <w:szCs w:val="24"/>
        </w:rPr>
      </w:pPr>
      <w:bookmarkStart w:id="23" w:name="_Toc220056507"/>
      <w:r w:rsidRPr="51C8701F">
        <w:rPr>
          <w:rFonts w:ascii="Times New Roman" w:hAnsi="Times New Roman"/>
          <w:i w:val="0"/>
          <w:iCs w:val="0"/>
          <w:sz w:val="24"/>
          <w:szCs w:val="24"/>
        </w:rPr>
        <w:t>Issue 4: The Amended Definition of “Habitat” Does Not Support a Conviction.</w:t>
      </w:r>
      <w:bookmarkEnd w:id="23"/>
    </w:p>
    <w:p w14:paraId="7310D35D" w14:textId="3F1E3CE4" w:rsidR="008C63D1" w:rsidRPr="00EE3B86" w:rsidRDefault="5327DFEA" w:rsidP="0007526F">
      <w:pPr>
        <w:pStyle w:val="WSParaNum"/>
        <w:numPr>
          <w:ilvl w:val="0"/>
          <w:numId w:val="1"/>
        </w:numPr>
        <w:spacing w:before="240" w:after="240"/>
        <w:jc w:val="both"/>
      </w:pPr>
      <w:r>
        <w:t xml:space="preserve">The fourth issue asks how the </w:t>
      </w:r>
      <w:r w:rsidR="0099083E">
        <w:t>T</w:t>
      </w:r>
      <w:r>
        <w:t xml:space="preserve">rial should have been decided if the amended definition of “habitat” introduced by the </w:t>
      </w:r>
      <w:r w:rsidRPr="0007526F">
        <w:rPr>
          <w:i/>
          <w:iCs/>
        </w:rPr>
        <w:t>Protect Ontario by Unleashing our Economy Act</w:t>
      </w:r>
      <w:r>
        <w:t xml:space="preserve">, 2025 had been in force when </w:t>
      </w:r>
      <w:r w:rsidR="008724C0">
        <w:t>CHL</w:t>
      </w:r>
      <w:r>
        <w:t xml:space="preserve"> was charged and tried.   </w:t>
      </w:r>
    </w:p>
    <w:p w14:paraId="23B4783C" w14:textId="0CCFAD5D" w:rsidR="00C06C91" w:rsidRPr="003C51D9" w:rsidRDefault="003C51D9" w:rsidP="004E0352">
      <w:pPr>
        <w:pStyle w:val="WSParaNum"/>
        <w:numPr>
          <w:ilvl w:val="0"/>
          <w:numId w:val="0"/>
        </w:numPr>
        <w:spacing w:before="0" w:line="240" w:lineRule="auto"/>
        <w:ind w:left="720"/>
        <w:jc w:val="both"/>
        <w:rPr>
          <w:i/>
          <w:iCs/>
          <w:sz w:val="20"/>
          <w:szCs w:val="20"/>
        </w:rPr>
      </w:pPr>
      <w:r w:rsidRPr="003C51D9">
        <w:rPr>
          <w:i/>
          <w:iCs/>
          <w:sz w:val="20"/>
          <w:szCs w:val="20"/>
        </w:rPr>
        <w:t xml:space="preserve">Protect Ontario by Unleashing our Economy Act, </w:t>
      </w:r>
      <w:r w:rsidRPr="00271325">
        <w:rPr>
          <w:sz w:val="20"/>
          <w:szCs w:val="20"/>
        </w:rPr>
        <w:t>2025</w:t>
      </w:r>
      <w:r w:rsidR="00801AE8">
        <w:rPr>
          <w:sz w:val="20"/>
          <w:szCs w:val="20"/>
        </w:rPr>
        <w:t xml:space="preserve"> </w:t>
      </w:r>
      <w:r w:rsidR="00801AE8" w:rsidRPr="00801AE8">
        <w:rPr>
          <w:sz w:val="20"/>
          <w:szCs w:val="20"/>
        </w:rPr>
        <w:t>SO</w:t>
      </w:r>
      <w:r w:rsidR="00801AE8">
        <w:rPr>
          <w:sz w:val="20"/>
          <w:szCs w:val="20"/>
        </w:rPr>
        <w:t xml:space="preserve"> </w:t>
      </w:r>
      <w:r w:rsidR="00801AE8" w:rsidRPr="00801AE8">
        <w:rPr>
          <w:sz w:val="20"/>
          <w:szCs w:val="20"/>
        </w:rPr>
        <w:t>2025, c</w:t>
      </w:r>
      <w:r w:rsidR="00801AE8">
        <w:rPr>
          <w:sz w:val="20"/>
          <w:szCs w:val="20"/>
        </w:rPr>
        <w:t xml:space="preserve"> </w:t>
      </w:r>
      <w:r w:rsidR="00801AE8" w:rsidRPr="00801AE8">
        <w:rPr>
          <w:sz w:val="20"/>
          <w:szCs w:val="20"/>
        </w:rPr>
        <w:t>4 - Bill 5</w:t>
      </w:r>
      <w:r w:rsidR="00801AE8">
        <w:rPr>
          <w:sz w:val="20"/>
          <w:szCs w:val="20"/>
        </w:rPr>
        <w:t>.</w:t>
      </w:r>
    </w:p>
    <w:p w14:paraId="52CFEE91" w14:textId="77777777" w:rsidR="007F7D6E" w:rsidRPr="00EE3B86" w:rsidRDefault="00F51E4D" w:rsidP="00E05B64">
      <w:pPr>
        <w:pStyle w:val="WSParaNum"/>
        <w:numPr>
          <w:ilvl w:val="0"/>
          <w:numId w:val="1"/>
        </w:numPr>
        <w:spacing w:before="0" w:after="0"/>
        <w:jc w:val="both"/>
      </w:pPr>
      <w:r w:rsidRPr="00EE3B86">
        <w:t>Properly understood, the amended definition has two central changes. First, it narrows what qualifies as protected habitat</w:t>
      </w:r>
      <w:r w:rsidR="002E789E" w:rsidRPr="00EE3B86">
        <w:t xml:space="preserve"> by removing the term indirectly</w:t>
      </w:r>
      <w:r w:rsidRPr="00EE3B86">
        <w:t>. Second, it anchors liability to an occupied or habitually occupied dwelling place and a tightly limited surrounding area that is essential to it. Applied to the trial record, those requirements were not met during the offence</w:t>
      </w:r>
      <w:r w:rsidR="007F7D6E" w:rsidRPr="00EE3B86">
        <w:t>.</w:t>
      </w:r>
      <w:r w:rsidRPr="00EE3B86">
        <w:t xml:space="preserve"> </w:t>
      </w:r>
    </w:p>
    <w:p w14:paraId="17A9B77E" w14:textId="2FA655BD" w:rsidR="008C63D1" w:rsidRPr="006B38E7" w:rsidRDefault="5327DFEA" w:rsidP="00E05B64">
      <w:pPr>
        <w:pStyle w:val="Heading3"/>
        <w:jc w:val="both"/>
        <w:rPr>
          <w:rFonts w:ascii="Times New Roman" w:hAnsi="Times New Roman"/>
          <w:sz w:val="24"/>
          <w:szCs w:val="24"/>
        </w:rPr>
      </w:pPr>
      <w:bookmarkStart w:id="24" w:name="_Toc220056508"/>
      <w:r w:rsidRPr="006B38E7">
        <w:rPr>
          <w:rFonts w:ascii="Times New Roman" w:hAnsi="Times New Roman"/>
          <w:sz w:val="24"/>
          <w:szCs w:val="24"/>
        </w:rPr>
        <w:t xml:space="preserve">The </w:t>
      </w:r>
      <w:r w:rsidR="00CF0917" w:rsidRPr="7611FC7F">
        <w:rPr>
          <w:rFonts w:ascii="Times New Roman" w:hAnsi="Times New Roman"/>
          <w:sz w:val="24"/>
          <w:szCs w:val="24"/>
        </w:rPr>
        <w:t>2025</w:t>
      </w:r>
      <w:r w:rsidR="6B2A1EF4" w:rsidRPr="7611FC7F">
        <w:rPr>
          <w:rFonts w:ascii="Times New Roman" w:hAnsi="Times New Roman"/>
          <w:sz w:val="24"/>
          <w:szCs w:val="24"/>
        </w:rPr>
        <w:t xml:space="preserve"> </w:t>
      </w:r>
      <w:r w:rsidRPr="7611FC7F">
        <w:rPr>
          <w:rFonts w:ascii="Times New Roman" w:hAnsi="Times New Roman"/>
          <w:sz w:val="24"/>
          <w:szCs w:val="24"/>
        </w:rPr>
        <w:t>Definition</w:t>
      </w:r>
      <w:r w:rsidRPr="006B38E7">
        <w:rPr>
          <w:rFonts w:ascii="Times New Roman" w:hAnsi="Times New Roman"/>
          <w:sz w:val="24"/>
          <w:szCs w:val="24"/>
        </w:rPr>
        <w:t xml:space="preserve"> Significantly Narrows the Scope of Protected Habitat</w:t>
      </w:r>
      <w:bookmarkEnd w:id="24"/>
      <w:r w:rsidRPr="006B38E7">
        <w:rPr>
          <w:rFonts w:ascii="Times New Roman" w:hAnsi="Times New Roman"/>
          <w:sz w:val="24"/>
          <w:szCs w:val="24"/>
        </w:rPr>
        <w:t xml:space="preserve"> </w:t>
      </w:r>
    </w:p>
    <w:p w14:paraId="2350B72C" w14:textId="392278A5" w:rsidR="003E456A" w:rsidRDefault="5327DFEA" w:rsidP="00E05B64">
      <w:pPr>
        <w:pStyle w:val="WSParaNum"/>
        <w:numPr>
          <w:ilvl w:val="0"/>
          <w:numId w:val="1"/>
        </w:numPr>
        <w:spacing w:before="240" w:after="240"/>
        <w:jc w:val="both"/>
      </w:pPr>
      <w:r w:rsidRPr="00EE3B86">
        <w:t xml:space="preserve">The 2025 amendment represents a deliberate </w:t>
      </w:r>
      <w:r w:rsidR="00CF0917">
        <w:t xml:space="preserve">intention of the Legislature to revise </w:t>
      </w:r>
      <w:r w:rsidRPr="00EE3B86">
        <w:t xml:space="preserve">the </w:t>
      </w:r>
      <w:r w:rsidR="71D97297" w:rsidRPr="00F1792E">
        <w:rPr>
          <w:i/>
          <w:iCs/>
        </w:rPr>
        <w:t>ESA</w:t>
      </w:r>
      <w:r w:rsidR="71D97297">
        <w:t>.</w:t>
      </w:r>
      <w:r w:rsidRPr="00EE3B86">
        <w:t xml:space="preserve"> Under the former definition, habitat included areas on which a species depended directly or indirectly to carry on its life processes. The amended definition </w:t>
      </w:r>
      <w:r w:rsidR="129CFC98" w:rsidRPr="00EE3B86">
        <w:t>completely</w:t>
      </w:r>
      <w:r w:rsidR="2E29BC20" w:rsidRPr="00EE3B86">
        <w:t xml:space="preserve"> </w:t>
      </w:r>
      <w:r w:rsidRPr="00EE3B86">
        <w:t xml:space="preserve">abandons </w:t>
      </w:r>
      <w:r w:rsidR="3B3D8EBF" w:rsidRPr="00EE3B86">
        <w:t xml:space="preserve">the term </w:t>
      </w:r>
      <w:r w:rsidR="007F7D6E" w:rsidRPr="00EE3B86">
        <w:t>in</w:t>
      </w:r>
      <w:r w:rsidR="3B3D8EBF" w:rsidRPr="00EE3B86">
        <w:t>directly and</w:t>
      </w:r>
      <w:r w:rsidRPr="00EE3B86">
        <w:t xml:space="preserve"> confines habitat to the species’ immediate dwelling areas, such as dens, nests, or other locations of actual occupancy</w:t>
      </w:r>
      <w:r w:rsidR="00AF35F0" w:rsidRPr="00EE3B86">
        <w:t>.</w:t>
      </w:r>
    </w:p>
    <w:p w14:paraId="24BAC86E" w14:textId="1E280987" w:rsidR="008C63D1" w:rsidRPr="00D469AF" w:rsidRDefault="00D469AF" w:rsidP="00D469AF">
      <w:pPr>
        <w:pStyle w:val="WSParaNum"/>
        <w:numPr>
          <w:ilvl w:val="0"/>
          <w:numId w:val="0"/>
        </w:numPr>
        <w:spacing w:before="240" w:after="240" w:line="240" w:lineRule="auto"/>
        <w:ind w:left="720"/>
        <w:jc w:val="both"/>
        <w:rPr>
          <w:sz w:val="20"/>
          <w:szCs w:val="20"/>
        </w:rPr>
      </w:pPr>
      <w:r w:rsidRPr="00252226">
        <w:rPr>
          <w:i/>
          <w:iCs/>
          <w:sz w:val="20"/>
          <w:szCs w:val="20"/>
        </w:rPr>
        <w:t>Endangered Species Act</w:t>
      </w:r>
      <w:r w:rsidRPr="00D469AF">
        <w:rPr>
          <w:sz w:val="20"/>
          <w:szCs w:val="20"/>
        </w:rPr>
        <w:t xml:space="preserve">, </w:t>
      </w:r>
      <w:r w:rsidR="00315E8E">
        <w:rPr>
          <w:sz w:val="20"/>
          <w:szCs w:val="20"/>
        </w:rPr>
        <w:t xml:space="preserve">2007, </w:t>
      </w:r>
      <w:r w:rsidRPr="00D469AF">
        <w:rPr>
          <w:sz w:val="20"/>
          <w:szCs w:val="20"/>
        </w:rPr>
        <w:t>SO 2007, c 6, s 2(</w:t>
      </w:r>
      <w:r w:rsidR="001E5DE6">
        <w:rPr>
          <w:sz w:val="20"/>
          <w:szCs w:val="20"/>
        </w:rPr>
        <w:t>1</w:t>
      </w:r>
      <w:r w:rsidRPr="00D469AF">
        <w:rPr>
          <w:sz w:val="20"/>
          <w:szCs w:val="20"/>
        </w:rPr>
        <w:t>)</w:t>
      </w:r>
      <w:r w:rsidR="001E5DE6">
        <w:rPr>
          <w:sz w:val="20"/>
          <w:szCs w:val="20"/>
        </w:rPr>
        <w:t xml:space="preserve">. </w:t>
      </w:r>
      <w:r w:rsidR="5327DFEA" w:rsidRPr="00D469AF">
        <w:rPr>
          <w:sz w:val="20"/>
          <w:szCs w:val="20"/>
        </w:rPr>
        <w:t xml:space="preserve"> </w:t>
      </w:r>
    </w:p>
    <w:p w14:paraId="5FE29588" w14:textId="0C18E2E5" w:rsidR="008C63D1" w:rsidRPr="00EE3B86" w:rsidRDefault="5327DFEA" w:rsidP="00E05B64">
      <w:pPr>
        <w:pStyle w:val="WSParaNum"/>
        <w:numPr>
          <w:ilvl w:val="0"/>
          <w:numId w:val="1"/>
        </w:numPr>
        <w:spacing w:before="240" w:after="240"/>
        <w:jc w:val="both"/>
      </w:pPr>
      <w:r w:rsidRPr="00EE3B86">
        <w:t>This narrowing reflects a conscious policy choice by the Legislature to limit the reach of habitat protection and to provide greater certainty as to what land falls within the scope of the offence provision</w:t>
      </w:r>
      <w:r w:rsidR="74821266" w:rsidRPr="00EE3B86">
        <w:t xml:space="preserve">. </w:t>
      </w:r>
    </w:p>
    <w:p w14:paraId="7045EA9B" w14:textId="0F3601BA" w:rsidR="00F57790" w:rsidRDefault="5327DFEA" w:rsidP="00E05B64">
      <w:pPr>
        <w:pStyle w:val="WSParaNum"/>
        <w:numPr>
          <w:ilvl w:val="0"/>
          <w:numId w:val="1"/>
        </w:numPr>
        <w:spacing w:before="240" w:after="240"/>
        <w:jc w:val="both"/>
      </w:pPr>
      <w:r w:rsidRPr="00EE3B86">
        <w:t xml:space="preserve">In interpreting the </w:t>
      </w:r>
      <w:r w:rsidR="00315E8E" w:rsidRPr="00EE3B86">
        <w:t>a</w:t>
      </w:r>
      <w:r w:rsidR="00315E8E">
        <w:t>m</w:t>
      </w:r>
      <w:r w:rsidR="00315E8E" w:rsidRPr="00EE3B86">
        <w:t>ended</w:t>
      </w:r>
      <w:r w:rsidRPr="00EE3B86">
        <w:t xml:space="preserve"> definition, the Court must give effect to that legislative choice. Statutory amendments are presumed to have meaning, and courts must avoid interpretations that </w:t>
      </w:r>
      <w:r w:rsidRPr="00EE3B86">
        <w:lastRenderedPageBreak/>
        <w:t>render legislative change redundant.</w:t>
      </w:r>
      <w:r w:rsidR="00F57790">
        <w:t xml:space="preserve"> </w:t>
      </w:r>
      <w:r w:rsidR="007F1404" w:rsidRPr="00EE3B86">
        <w:t>The</w:t>
      </w:r>
      <w:r w:rsidRPr="00EE3B86">
        <w:t xml:space="preserve"> amended definition cannot be </w:t>
      </w:r>
      <w:r w:rsidR="007F1404" w:rsidRPr="00EE3B86">
        <w:t xml:space="preserve">reconciled with an approach that preserves the prior </w:t>
      </w:r>
      <w:r w:rsidRPr="00EE3B86">
        <w:t>indirect-dependence analysis</w:t>
      </w:r>
      <w:r w:rsidR="007F1404" w:rsidRPr="00EE3B86">
        <w:t>.</w:t>
      </w:r>
    </w:p>
    <w:p w14:paraId="7FE04300" w14:textId="36AAD530" w:rsidR="008C63D1" w:rsidRPr="00FF2065" w:rsidRDefault="5327DFEA" w:rsidP="00E05B64">
      <w:pPr>
        <w:pStyle w:val="WSParaNum"/>
        <w:numPr>
          <w:ilvl w:val="0"/>
          <w:numId w:val="0"/>
        </w:numPr>
        <w:spacing w:before="240" w:after="240" w:line="240" w:lineRule="auto"/>
        <w:jc w:val="both"/>
        <w:rPr>
          <w:lang w:val="pt-PT"/>
        </w:rPr>
      </w:pPr>
      <w:r w:rsidRPr="00EE3B86">
        <w:t xml:space="preserve"> </w:t>
      </w:r>
      <w:r w:rsidR="00F57790">
        <w:tab/>
      </w:r>
      <w:r w:rsidR="008D1442" w:rsidRPr="00FF2065">
        <w:rPr>
          <w:i/>
          <w:iCs/>
          <w:sz w:val="20"/>
          <w:szCs w:val="20"/>
          <w:lang w:val="pt-PT"/>
        </w:rPr>
        <w:t>Rizzo</w:t>
      </w:r>
      <w:r w:rsidR="008D1442" w:rsidRPr="00FF2065">
        <w:rPr>
          <w:sz w:val="20"/>
          <w:szCs w:val="20"/>
          <w:lang w:val="pt-PT"/>
        </w:rPr>
        <w:t xml:space="preserve">, </w:t>
      </w:r>
      <w:r w:rsidR="008D1442" w:rsidRPr="00FF2065">
        <w:rPr>
          <w:i/>
          <w:iCs/>
          <w:sz w:val="20"/>
          <w:szCs w:val="20"/>
          <w:lang w:val="pt-PT"/>
        </w:rPr>
        <w:t>supra</w:t>
      </w:r>
      <w:r w:rsidR="008D1442" w:rsidRPr="00FF2065">
        <w:rPr>
          <w:sz w:val="20"/>
          <w:szCs w:val="20"/>
          <w:lang w:val="pt-PT"/>
        </w:rPr>
        <w:t xml:space="preserve"> note 66</w:t>
      </w:r>
      <w:r w:rsidR="00F57790" w:rsidRPr="00FF2065">
        <w:rPr>
          <w:sz w:val="20"/>
          <w:szCs w:val="20"/>
          <w:lang w:val="pt-PT"/>
        </w:rPr>
        <w:t xml:space="preserve"> at para 21</w:t>
      </w:r>
      <w:r w:rsidR="008D1442" w:rsidRPr="00FF2065">
        <w:rPr>
          <w:sz w:val="20"/>
          <w:szCs w:val="20"/>
          <w:lang w:val="pt-PT"/>
        </w:rPr>
        <w:t>.</w:t>
      </w:r>
    </w:p>
    <w:p w14:paraId="2C589C45" w14:textId="21B6E0F0" w:rsidR="008C63D1" w:rsidRPr="006B38E7" w:rsidRDefault="5327DFEA" w:rsidP="00E05B64">
      <w:pPr>
        <w:pStyle w:val="Heading3"/>
        <w:jc w:val="both"/>
        <w:rPr>
          <w:rFonts w:ascii="Times New Roman" w:hAnsi="Times New Roman"/>
          <w:sz w:val="24"/>
          <w:szCs w:val="24"/>
        </w:rPr>
      </w:pPr>
      <w:bookmarkStart w:id="25" w:name="_Toc220056509"/>
      <w:r w:rsidRPr="006B38E7">
        <w:rPr>
          <w:rFonts w:ascii="Times New Roman" w:hAnsi="Times New Roman"/>
          <w:sz w:val="24"/>
          <w:szCs w:val="24"/>
        </w:rPr>
        <w:t xml:space="preserve">The Amended </w:t>
      </w:r>
      <w:r w:rsidR="00AA5624" w:rsidRPr="006B38E7">
        <w:rPr>
          <w:rFonts w:ascii="Times New Roman" w:hAnsi="Times New Roman"/>
          <w:sz w:val="24"/>
          <w:szCs w:val="24"/>
        </w:rPr>
        <w:t xml:space="preserve">Definition </w:t>
      </w:r>
      <w:r w:rsidR="00AA5624">
        <w:rPr>
          <w:rFonts w:ascii="Times New Roman" w:hAnsi="Times New Roman"/>
          <w:sz w:val="24"/>
          <w:szCs w:val="24"/>
        </w:rPr>
        <w:t>Requires</w:t>
      </w:r>
      <w:r w:rsidR="009E3142">
        <w:rPr>
          <w:rFonts w:ascii="Times New Roman" w:hAnsi="Times New Roman"/>
          <w:sz w:val="24"/>
          <w:szCs w:val="24"/>
        </w:rPr>
        <w:t xml:space="preserve"> </w:t>
      </w:r>
      <w:r w:rsidRPr="006B38E7">
        <w:rPr>
          <w:rFonts w:ascii="Times New Roman" w:hAnsi="Times New Roman"/>
          <w:sz w:val="24"/>
          <w:szCs w:val="24"/>
        </w:rPr>
        <w:t xml:space="preserve">Actual </w:t>
      </w:r>
      <w:r w:rsidR="385D9793" w:rsidRPr="006B38E7">
        <w:rPr>
          <w:rFonts w:ascii="Times New Roman" w:hAnsi="Times New Roman"/>
          <w:sz w:val="24"/>
          <w:szCs w:val="24"/>
        </w:rPr>
        <w:t xml:space="preserve">Physical </w:t>
      </w:r>
      <w:r w:rsidRPr="006B38E7">
        <w:rPr>
          <w:rFonts w:ascii="Times New Roman" w:hAnsi="Times New Roman"/>
          <w:sz w:val="24"/>
          <w:szCs w:val="24"/>
        </w:rPr>
        <w:t>Use by Existing Members</w:t>
      </w:r>
      <w:bookmarkEnd w:id="25"/>
      <w:r w:rsidRPr="006B38E7">
        <w:rPr>
          <w:rFonts w:ascii="Times New Roman" w:hAnsi="Times New Roman"/>
          <w:sz w:val="24"/>
          <w:szCs w:val="24"/>
        </w:rPr>
        <w:t xml:space="preserve">  </w:t>
      </w:r>
    </w:p>
    <w:p w14:paraId="1A2BD3E5" w14:textId="40F6B381" w:rsidR="00425BA3" w:rsidRPr="00EE3B86" w:rsidRDefault="00425BA3" w:rsidP="00E05B64">
      <w:pPr>
        <w:pStyle w:val="WSParaNum"/>
        <w:numPr>
          <w:ilvl w:val="0"/>
          <w:numId w:val="1"/>
        </w:numPr>
        <w:spacing w:before="240" w:after="240"/>
        <w:jc w:val="both"/>
      </w:pPr>
      <w:r w:rsidRPr="00EE3B86">
        <w:t>The amendment does more than remove the reference to indirect dependence. It reinforces a principle already reflected in s</w:t>
      </w:r>
      <w:r w:rsidR="004025A1">
        <w:t>ection</w:t>
      </w:r>
      <w:r w:rsidRPr="00EE3B86">
        <w:t xml:space="preserve"> 2(2) of the </w:t>
      </w:r>
      <w:r w:rsidRPr="00B95CEF">
        <w:rPr>
          <w:i/>
          <w:iCs/>
        </w:rPr>
        <w:t>ESA</w:t>
      </w:r>
      <w:r w:rsidRPr="00EE3B86">
        <w:t>, that habitat protection is grounded in actual use by existing members of the species.</w:t>
      </w:r>
    </w:p>
    <w:p w14:paraId="0419FE14" w14:textId="1815DF7F" w:rsidR="008C63D1" w:rsidRPr="00EE3B86" w:rsidRDefault="2F30D20B" w:rsidP="00DF2E53">
      <w:pPr>
        <w:pStyle w:val="WSParaNum"/>
        <w:numPr>
          <w:ilvl w:val="0"/>
          <w:numId w:val="1"/>
        </w:numPr>
        <w:spacing w:before="240" w:after="240"/>
        <w:jc w:val="both"/>
      </w:pPr>
      <w:r w:rsidRPr="00EE3B86">
        <w:t xml:space="preserve">It does </w:t>
      </w:r>
      <w:r w:rsidR="00984B5D" w:rsidRPr="00EE3B86">
        <w:t>so</w:t>
      </w:r>
      <w:r w:rsidR="5327DFEA" w:rsidRPr="00EE3B86">
        <w:t xml:space="preserve"> by</w:t>
      </w:r>
      <w:r w:rsidR="006266D1" w:rsidRPr="00EE3B86">
        <w:t xml:space="preserve"> </w:t>
      </w:r>
      <w:r w:rsidR="00911271" w:rsidRPr="00EE3B86">
        <w:t>redefining</w:t>
      </w:r>
      <w:r w:rsidR="5327DFEA" w:rsidRPr="00EE3B86">
        <w:t xml:space="preserve"> habitat </w:t>
      </w:r>
      <w:r w:rsidR="0006082E" w:rsidRPr="00EE3B86">
        <w:t>as</w:t>
      </w:r>
      <w:r w:rsidR="5327DFEA" w:rsidRPr="00EE3B86">
        <w:t xml:space="preserve"> “a dwelling-place, such as a den, nest or other similar place, that is occupied or habitually occupied by one or more members of a species for the purposes of breeding, rearing, staging, wintering or hibernating”.  </w:t>
      </w:r>
    </w:p>
    <w:p w14:paraId="3EAC05E3" w14:textId="3783FF2F" w:rsidR="008C63D1" w:rsidRPr="00EE3B86" w:rsidRDefault="5327DFEA" w:rsidP="00FF534F">
      <w:pPr>
        <w:pStyle w:val="WSParaNum"/>
        <w:numPr>
          <w:ilvl w:val="0"/>
          <w:numId w:val="1"/>
        </w:numPr>
        <w:spacing w:before="240" w:after="240"/>
        <w:jc w:val="both"/>
      </w:pPr>
      <w:r w:rsidRPr="00EE3B86">
        <w:t xml:space="preserve">Under the amended definition, the Crown would be required to prove that, during the offence period, existing Blanding’s </w:t>
      </w:r>
      <w:r w:rsidR="00DE1549">
        <w:t>T</w:t>
      </w:r>
      <w:r w:rsidRPr="00EE3B86">
        <w:t xml:space="preserve">urtles occupied or used the specific area alleged to have been damaged in a manner that meets the </w:t>
      </w:r>
      <w:r w:rsidR="56E2B0AB">
        <w:t xml:space="preserve">new </w:t>
      </w:r>
      <w:r>
        <w:t>definition</w:t>
      </w:r>
      <w:r w:rsidRPr="00EE3B86">
        <w:t xml:space="preserve"> of habitat. General ecological value, potential usefulness, or speculative contribution to broader ecosystem functions would be insufficient, </w:t>
      </w:r>
      <w:r w:rsidR="00382919" w:rsidRPr="00EE3B86">
        <w:t>as</w:t>
      </w:r>
      <w:r w:rsidRPr="00EE3B86">
        <w:t xml:space="preserve"> there would need to be one of these physical attributes present. Absent proof of present, species-specific use of the land as a dwelling area, the offence cannot be made out. </w:t>
      </w:r>
    </w:p>
    <w:p w14:paraId="79D553EC" w14:textId="31FB4D25" w:rsidR="008C63D1" w:rsidRPr="006B38E7" w:rsidRDefault="5327DFEA" w:rsidP="004C387B">
      <w:pPr>
        <w:pStyle w:val="Heading3"/>
        <w:jc w:val="both"/>
        <w:rPr>
          <w:rFonts w:ascii="Times New Roman" w:hAnsi="Times New Roman"/>
          <w:sz w:val="24"/>
          <w:szCs w:val="24"/>
        </w:rPr>
      </w:pPr>
      <w:bookmarkStart w:id="26" w:name="_Toc220056510"/>
      <w:r w:rsidRPr="006B38E7">
        <w:rPr>
          <w:rFonts w:ascii="Times New Roman" w:hAnsi="Times New Roman"/>
          <w:sz w:val="24"/>
          <w:szCs w:val="24"/>
        </w:rPr>
        <w:t xml:space="preserve">The Evidence at Trial </w:t>
      </w:r>
      <w:r w:rsidR="00DE1549">
        <w:rPr>
          <w:rFonts w:ascii="Times New Roman" w:hAnsi="Times New Roman"/>
          <w:sz w:val="24"/>
          <w:szCs w:val="24"/>
        </w:rPr>
        <w:t>Does</w:t>
      </w:r>
      <w:r w:rsidR="00DE1549" w:rsidRPr="006B38E7">
        <w:rPr>
          <w:rFonts w:ascii="Times New Roman" w:hAnsi="Times New Roman"/>
          <w:sz w:val="24"/>
          <w:szCs w:val="24"/>
        </w:rPr>
        <w:t xml:space="preserve"> </w:t>
      </w:r>
      <w:r w:rsidRPr="006B38E7">
        <w:rPr>
          <w:rFonts w:ascii="Times New Roman" w:hAnsi="Times New Roman"/>
          <w:sz w:val="24"/>
          <w:szCs w:val="24"/>
        </w:rPr>
        <w:t>Not Satisfy the Amended Definition</w:t>
      </w:r>
      <w:bookmarkEnd w:id="26"/>
      <w:r w:rsidRPr="006B38E7">
        <w:rPr>
          <w:rFonts w:ascii="Times New Roman" w:hAnsi="Times New Roman"/>
          <w:sz w:val="24"/>
          <w:szCs w:val="24"/>
        </w:rPr>
        <w:t xml:space="preserve"> </w:t>
      </w:r>
    </w:p>
    <w:p w14:paraId="24842C5F" w14:textId="79A43B8C" w:rsidR="008C63D1" w:rsidRPr="00EE3B86" w:rsidRDefault="5327DFEA" w:rsidP="004C387B">
      <w:pPr>
        <w:pStyle w:val="WSParaNum"/>
        <w:numPr>
          <w:ilvl w:val="0"/>
          <w:numId w:val="1"/>
        </w:numPr>
        <w:spacing w:before="240" w:after="240"/>
        <w:jc w:val="both"/>
      </w:pPr>
      <w:r w:rsidRPr="00EE3B86">
        <w:t>Even at the strongest and most liberal approach to the</w:t>
      </w:r>
      <w:r w:rsidR="00DE1549">
        <w:t xml:space="preserve"> interpretation of the amended definition of </w:t>
      </w:r>
      <w:r w:rsidR="00BA6146">
        <w:t>“habitat”</w:t>
      </w:r>
      <w:r w:rsidRPr="00EE3B86">
        <w:t xml:space="preserve"> </w:t>
      </w:r>
      <w:r w:rsidR="00BA6146">
        <w:t xml:space="preserve">the </w:t>
      </w:r>
      <w:r w:rsidR="008D07CF">
        <w:t>Appellant is unable to meet this new definition</w:t>
      </w:r>
      <w:r w:rsidRPr="00EE3B86">
        <w:t xml:space="preserve">.  </w:t>
      </w:r>
    </w:p>
    <w:p w14:paraId="3DD2B6DF" w14:textId="00FBF6A2" w:rsidR="008C63D1" w:rsidRDefault="5327DFEA" w:rsidP="00C45051">
      <w:pPr>
        <w:pStyle w:val="WSParaNum"/>
        <w:numPr>
          <w:ilvl w:val="0"/>
          <w:numId w:val="1"/>
        </w:numPr>
        <w:spacing w:before="240" w:after="240"/>
        <w:jc w:val="both"/>
      </w:pPr>
      <w:r w:rsidRPr="00EE3B86">
        <w:t xml:space="preserve">No evidence established that any Blanding’s </w:t>
      </w:r>
      <w:r w:rsidR="008D07CF">
        <w:t>T</w:t>
      </w:r>
      <w:r w:rsidR="008D07CF" w:rsidRPr="00EE3B86">
        <w:t xml:space="preserve">urtle </w:t>
      </w:r>
      <w:r w:rsidRPr="00EE3B86">
        <w:t xml:space="preserve">occupied or used the Site during the June to August 2018 offence period. No </w:t>
      </w:r>
      <w:r w:rsidR="008D07CF" w:rsidRPr="00EE3B86">
        <w:t xml:space="preserve">Blanding’s </w:t>
      </w:r>
      <w:r w:rsidR="008D07CF">
        <w:t>T</w:t>
      </w:r>
      <w:r w:rsidR="008D07CF" w:rsidRPr="00EE3B86">
        <w:t>urtle</w:t>
      </w:r>
      <w:r w:rsidR="008D07CF" w:rsidRPr="008D07CF" w:rsidDel="008D07CF">
        <w:t xml:space="preserve"> </w:t>
      </w:r>
      <w:r w:rsidRPr="00EE3B86">
        <w:t xml:space="preserve">was observed on the Site. There were certainly no nests, dens, hibernacula, or other residences identified. No expert testified to having confirmed that turtles used the Site as a dwelling area. The photographic evidence of a turtle was taken in 2020 at the water’s edge of Circle Lake, well after the offence period and not on the disturbed area itself. Even if we accept all the evidence of turtles in the area, both before and after the offence period, there is no evidence of Dwelling Areas.  </w:t>
      </w:r>
    </w:p>
    <w:p w14:paraId="5B703E18" w14:textId="3A89A502" w:rsidR="003F2031" w:rsidRPr="00E73F8E" w:rsidRDefault="00CE4FAB" w:rsidP="00301DEC">
      <w:pPr>
        <w:pStyle w:val="WSParaNum"/>
        <w:numPr>
          <w:ilvl w:val="0"/>
          <w:numId w:val="0"/>
        </w:numPr>
        <w:spacing w:before="240" w:after="240" w:line="240" w:lineRule="auto"/>
        <w:ind w:left="720"/>
        <w:jc w:val="both"/>
        <w:rPr>
          <w:sz w:val="20"/>
          <w:szCs w:val="20"/>
        </w:rPr>
      </w:pPr>
      <w:r w:rsidRPr="006A393F">
        <w:rPr>
          <w:i/>
          <w:iCs/>
          <w:sz w:val="20"/>
          <w:szCs w:val="20"/>
        </w:rPr>
        <w:t>OCJ Decision</w:t>
      </w:r>
      <w:r>
        <w:rPr>
          <w:sz w:val="20"/>
          <w:szCs w:val="20"/>
        </w:rPr>
        <w:t xml:space="preserve">, </w:t>
      </w:r>
      <w:r w:rsidR="00E73F8E">
        <w:rPr>
          <w:i/>
          <w:iCs/>
          <w:sz w:val="20"/>
          <w:szCs w:val="20"/>
        </w:rPr>
        <w:t>supra</w:t>
      </w:r>
      <w:r w:rsidR="00E73F8E">
        <w:rPr>
          <w:sz w:val="20"/>
          <w:szCs w:val="20"/>
        </w:rPr>
        <w:t xml:space="preserve"> note 9 at </w:t>
      </w:r>
      <w:r w:rsidR="006A393F">
        <w:rPr>
          <w:sz w:val="20"/>
          <w:szCs w:val="20"/>
        </w:rPr>
        <w:t>15.</w:t>
      </w:r>
    </w:p>
    <w:p w14:paraId="02D66637" w14:textId="1BE4EA52" w:rsidR="008C63D1" w:rsidRPr="00EE3B86" w:rsidRDefault="5327DFEA" w:rsidP="004C387B">
      <w:pPr>
        <w:pStyle w:val="WSParaNum"/>
        <w:numPr>
          <w:ilvl w:val="0"/>
          <w:numId w:val="1"/>
        </w:numPr>
        <w:spacing w:before="240" w:after="240"/>
        <w:jc w:val="both"/>
      </w:pPr>
      <w:r w:rsidRPr="00EE3B86">
        <w:lastRenderedPageBreak/>
        <w:t xml:space="preserve"> The Crown’s expert evidence rested on ecological generalizations, mapping exercises, and policy documents describing habitat in theory. Even under the former, broader definition, Justice Mathias found that this evidence did not establish actual dependence by existing turtles during the relevant time. Under the amended definition, which eliminates indirect dependence entirely, that evidentiary gap is decisive.  </w:t>
      </w:r>
    </w:p>
    <w:p w14:paraId="4E59E667" w14:textId="41199ED4" w:rsidR="008C63D1" w:rsidRPr="00EE3B86" w:rsidRDefault="5327DFEA" w:rsidP="00994D15">
      <w:pPr>
        <w:pStyle w:val="WSParaNum"/>
        <w:numPr>
          <w:ilvl w:val="0"/>
          <w:numId w:val="1"/>
        </w:numPr>
        <w:spacing w:before="240" w:after="240"/>
        <w:jc w:val="both"/>
      </w:pPr>
      <w:r w:rsidRPr="00EE3B86">
        <w:t xml:space="preserve">If habitat is </w:t>
      </w:r>
      <w:r w:rsidR="008D07CF">
        <w:t>restricted</w:t>
      </w:r>
      <w:r w:rsidR="008D07CF" w:rsidRPr="00EE3B86">
        <w:t xml:space="preserve"> </w:t>
      </w:r>
      <w:r w:rsidRPr="00EE3B86">
        <w:t xml:space="preserve">to areas of actual occupation or residence, the </w:t>
      </w:r>
      <w:r w:rsidR="008D07CF">
        <w:t>Appellant</w:t>
      </w:r>
      <w:r w:rsidR="008D07CF" w:rsidRPr="00EE3B86">
        <w:t xml:space="preserve">’s </w:t>
      </w:r>
      <w:r w:rsidRPr="00EE3B86">
        <w:t xml:space="preserve">theory necessarily fails. The Site was never shown to be a den, nest, hibernaculum, or other dwelling place. At most, the evidence suggested that the Site possessed characteristics that could be useful to turtles under highly contingent and indirect conditions. The amended definition makes clear that this is not enough. </w:t>
      </w:r>
    </w:p>
    <w:p w14:paraId="5E8E880A" w14:textId="7E791D2D" w:rsidR="00994D15" w:rsidRDefault="5327DFEA" w:rsidP="00994D15">
      <w:pPr>
        <w:pStyle w:val="WSParaNum"/>
        <w:numPr>
          <w:ilvl w:val="0"/>
          <w:numId w:val="1"/>
        </w:numPr>
        <w:spacing w:before="240" w:after="240"/>
        <w:jc w:val="both"/>
      </w:pPr>
      <w:r w:rsidRPr="00EE3B86">
        <w:t xml:space="preserve">The Appellant suggests that the amended definition should result in the conviction being upheld. That position is untenable. The amendment narrows liability. It does not expand it. If the </w:t>
      </w:r>
      <w:r w:rsidR="003E1CAE">
        <w:t>Appellant</w:t>
      </w:r>
      <w:r w:rsidRPr="00EE3B86">
        <w:t xml:space="preserve"> could not prove habitat under the broader former definition, it cannot possibly succeed under a much more restrictive one. </w:t>
      </w:r>
    </w:p>
    <w:p w14:paraId="26F15A35" w14:textId="3EBE937D" w:rsidR="008C63D1" w:rsidRPr="00EE3B86" w:rsidRDefault="5327DFEA" w:rsidP="00994D15">
      <w:pPr>
        <w:pStyle w:val="WSParaNum"/>
        <w:numPr>
          <w:ilvl w:val="0"/>
          <w:numId w:val="1"/>
        </w:numPr>
        <w:spacing w:before="240" w:after="240"/>
        <w:jc w:val="both"/>
      </w:pPr>
      <w:r w:rsidRPr="00EE3B86">
        <w:t xml:space="preserve">Accepting the Appellant’s position would invert basic principles of statutory interpretation and criminal liability by sustaining a conviction on the basis of a definition of habitat that the Legislature has since repudiated. </w:t>
      </w:r>
    </w:p>
    <w:p w14:paraId="68F65D45" w14:textId="4B095883" w:rsidR="6D225FEC" w:rsidRDefault="6D225FEC" w:rsidP="49E3CCF5">
      <w:pPr>
        <w:pStyle w:val="Heading3"/>
        <w:spacing w:line="259" w:lineRule="auto"/>
      </w:pPr>
      <w:bookmarkStart w:id="27" w:name="_Toc220056511"/>
      <w:r w:rsidRPr="243D4AD1">
        <w:rPr>
          <w:rFonts w:ascii="Times New Roman" w:hAnsi="Times New Roman"/>
          <w:sz w:val="24"/>
          <w:szCs w:val="24"/>
        </w:rPr>
        <w:t xml:space="preserve">No Conviction </w:t>
      </w:r>
      <w:r w:rsidRPr="3D399CE5">
        <w:rPr>
          <w:rFonts w:ascii="Times New Roman" w:hAnsi="Times New Roman"/>
          <w:sz w:val="24"/>
          <w:szCs w:val="24"/>
        </w:rPr>
        <w:t xml:space="preserve">Available </w:t>
      </w:r>
      <w:r w:rsidRPr="3E700988">
        <w:rPr>
          <w:rFonts w:ascii="Times New Roman" w:hAnsi="Times New Roman"/>
          <w:sz w:val="24"/>
          <w:szCs w:val="24"/>
        </w:rPr>
        <w:t xml:space="preserve">Under the </w:t>
      </w:r>
      <w:r w:rsidRPr="269DB3FC">
        <w:rPr>
          <w:rFonts w:ascii="Times New Roman" w:hAnsi="Times New Roman"/>
          <w:sz w:val="24"/>
          <w:szCs w:val="24"/>
        </w:rPr>
        <w:t xml:space="preserve">Amended </w:t>
      </w:r>
      <w:r w:rsidRPr="4CBB61A1">
        <w:rPr>
          <w:rFonts w:ascii="Times New Roman" w:hAnsi="Times New Roman"/>
          <w:sz w:val="24"/>
          <w:szCs w:val="24"/>
        </w:rPr>
        <w:t>Definition</w:t>
      </w:r>
      <w:bookmarkEnd w:id="27"/>
    </w:p>
    <w:p w14:paraId="64404442" w14:textId="24ACDF8F" w:rsidR="008C63D1" w:rsidRPr="00EE3B86" w:rsidRDefault="5327DFEA" w:rsidP="006B38E7">
      <w:pPr>
        <w:pStyle w:val="WSParaNum"/>
        <w:numPr>
          <w:ilvl w:val="0"/>
          <w:numId w:val="1"/>
        </w:numPr>
        <w:spacing w:before="240" w:after="240"/>
        <w:jc w:val="both"/>
      </w:pPr>
      <w:r w:rsidRPr="00EE3B86">
        <w:t xml:space="preserve">If the amended definition of “habitat” had been in force when </w:t>
      </w:r>
      <w:r w:rsidR="0094D0B3">
        <w:t xml:space="preserve">CHL </w:t>
      </w:r>
      <w:r w:rsidRPr="00EE3B86">
        <w:t xml:space="preserve">was charged and tried, the Trial Justice could not lawfully have entered a conviction on the evidentiary record before the Court. The amended definition narrows the scope of protected habitat, centres liability on actual occupation by existing members of the species and eliminates indirect dependence for animal species.  </w:t>
      </w:r>
    </w:p>
    <w:p w14:paraId="57856EBD" w14:textId="585BD049" w:rsidR="008C63D1" w:rsidRPr="00EE3B86" w:rsidRDefault="5327DFEA" w:rsidP="006B38E7">
      <w:pPr>
        <w:pStyle w:val="WSParaNum"/>
        <w:numPr>
          <w:ilvl w:val="0"/>
          <w:numId w:val="1"/>
        </w:numPr>
        <w:spacing w:before="240" w:after="240"/>
        <w:jc w:val="both"/>
      </w:pPr>
      <w:r w:rsidRPr="00EE3B86">
        <w:t xml:space="preserve">The </w:t>
      </w:r>
      <w:r w:rsidR="00D935DC">
        <w:t>Appellant has not proven</w:t>
      </w:r>
      <w:r w:rsidRPr="00EE3B86">
        <w:t xml:space="preserve"> the existence of any dwelling place, nor any occupation or habitual occupation of the Site by Blanding’s turtles during the offence period. In the absence of such proof, the statutory elements of the offence could not have been made out. </w:t>
      </w:r>
    </w:p>
    <w:p w14:paraId="3A26AA53" w14:textId="77CA2E9B" w:rsidR="008C63D1" w:rsidRPr="00EE3B86" w:rsidRDefault="5327DFEA" w:rsidP="006B38E7">
      <w:pPr>
        <w:pStyle w:val="WSParaNum"/>
        <w:numPr>
          <w:ilvl w:val="0"/>
          <w:numId w:val="1"/>
        </w:numPr>
        <w:spacing w:before="240" w:after="240"/>
        <w:jc w:val="both"/>
      </w:pPr>
      <w:r w:rsidRPr="00EE3B86">
        <w:lastRenderedPageBreak/>
        <w:t xml:space="preserve">Accordingly, had the amended definition governed the trial, a conviction would not have </w:t>
      </w:r>
      <w:r w:rsidR="00D935DC">
        <w:t>occurred</w:t>
      </w:r>
      <w:r w:rsidRPr="00EE3B86">
        <w:t>. The proper disposition at trial would have been an acquittal. The appeal should therefore be dismissed.</w:t>
      </w:r>
    </w:p>
    <w:p w14:paraId="2B33941B" w14:textId="77777777" w:rsidR="00DD6E8C" w:rsidRPr="00EE3B86" w:rsidRDefault="0024187B" w:rsidP="006B38E7">
      <w:pPr>
        <w:pStyle w:val="Heading1"/>
        <w:tabs>
          <w:tab w:val="num" w:pos="720"/>
        </w:tabs>
        <w:spacing w:before="0" w:after="0" w:line="360" w:lineRule="auto"/>
        <w:ind w:left="720" w:hanging="720"/>
        <w:rPr>
          <w:rFonts w:ascii="Times New Roman" w:hAnsi="Times New Roman"/>
          <w:sz w:val="24"/>
          <w:szCs w:val="24"/>
        </w:rPr>
      </w:pPr>
      <w:bookmarkStart w:id="28" w:name="_Toc271703736"/>
      <w:bookmarkStart w:id="29" w:name="_Toc220056512"/>
      <w:r w:rsidRPr="00EE3B86">
        <w:rPr>
          <w:rFonts w:ascii="Times New Roman" w:hAnsi="Times New Roman"/>
          <w:sz w:val="24"/>
          <w:szCs w:val="24"/>
        </w:rPr>
        <w:t>ORDER</w:t>
      </w:r>
      <w:r w:rsidR="00DD6E8C" w:rsidRPr="00EE3B86">
        <w:rPr>
          <w:rFonts w:ascii="Times New Roman" w:hAnsi="Times New Roman"/>
          <w:sz w:val="24"/>
          <w:szCs w:val="24"/>
        </w:rPr>
        <w:t xml:space="preserve"> SOUGHT</w:t>
      </w:r>
      <w:bookmarkEnd w:id="28"/>
      <w:bookmarkEnd w:id="29"/>
    </w:p>
    <w:p w14:paraId="74C589BA" w14:textId="57E7F68D" w:rsidR="00DD6E8C" w:rsidRPr="00EE3B86" w:rsidRDefault="00003D7F" w:rsidP="006B38E7">
      <w:pPr>
        <w:pStyle w:val="WSParaNum"/>
        <w:numPr>
          <w:ilvl w:val="0"/>
          <w:numId w:val="1"/>
        </w:numPr>
        <w:spacing w:before="0" w:after="0"/>
      </w:pPr>
      <w:r w:rsidRPr="00EE3B86">
        <w:t>The Respondent respectfully requests that this Honourable Court:</w:t>
      </w:r>
    </w:p>
    <w:p w14:paraId="543BEBE5" w14:textId="1F4A2306" w:rsidR="00003D7F" w:rsidRPr="00EE3B86" w:rsidRDefault="00003D7F" w:rsidP="006B38E7">
      <w:pPr>
        <w:pStyle w:val="WSParaNum"/>
        <w:numPr>
          <w:ilvl w:val="1"/>
          <w:numId w:val="1"/>
        </w:numPr>
        <w:spacing w:before="0" w:after="0"/>
      </w:pPr>
      <w:r w:rsidRPr="00EE3B86">
        <w:t>Dismiss the Crown’s appeal;</w:t>
      </w:r>
    </w:p>
    <w:p w14:paraId="291A2356" w14:textId="77777777" w:rsidR="00DE437C" w:rsidRPr="00EE3B86" w:rsidRDefault="00003D7F" w:rsidP="006B38E7">
      <w:pPr>
        <w:pStyle w:val="WSParaNum"/>
        <w:numPr>
          <w:ilvl w:val="1"/>
          <w:numId w:val="1"/>
        </w:numPr>
        <w:spacing w:before="0" w:after="0"/>
      </w:pPr>
      <w:r w:rsidRPr="00EE3B86">
        <w:t xml:space="preserve">Affirm the decision of the Ontario Court of </w:t>
      </w:r>
      <w:r w:rsidR="00F4413B" w:rsidRPr="00EE3B86">
        <w:t xml:space="preserve">Justice allowing the appeal and </w:t>
      </w:r>
      <w:r w:rsidR="00DE437C" w:rsidRPr="00EE3B86">
        <w:t>entering an acquittal; and</w:t>
      </w:r>
    </w:p>
    <w:p w14:paraId="42F418CA" w14:textId="63268A59" w:rsidR="00DD6E8C" w:rsidRPr="00EE3B86" w:rsidRDefault="00DE437C" w:rsidP="006B38E7">
      <w:pPr>
        <w:pStyle w:val="WSParaNum"/>
        <w:numPr>
          <w:ilvl w:val="1"/>
          <w:numId w:val="1"/>
        </w:numPr>
        <w:spacing w:before="0" w:after="0"/>
      </w:pPr>
      <w:r w:rsidRPr="00EE3B86">
        <w:t>Grant such further and other relief as this Court considers just.</w:t>
      </w:r>
      <w:r w:rsidR="00003D7F" w:rsidRPr="00EE3B86">
        <w:t xml:space="preserve"> </w:t>
      </w:r>
    </w:p>
    <w:p w14:paraId="2967C577" w14:textId="102A2A14" w:rsidR="00DD6E8C" w:rsidRPr="00EE3B86" w:rsidRDefault="00DD6E8C" w:rsidP="006B38E7">
      <w:pPr>
        <w:spacing w:line="360" w:lineRule="auto"/>
      </w:pPr>
      <w:r w:rsidRPr="00EE3B86">
        <w:t>ALL OF WHICH IS</w:t>
      </w:r>
      <w:r w:rsidR="0003757F" w:rsidRPr="00EE3B86">
        <w:t xml:space="preserve"> RESPECTFULLY SUBMITTED this </w:t>
      </w:r>
      <w:r w:rsidR="00A134F2" w:rsidRPr="00EE3B86">
        <w:t>23</w:t>
      </w:r>
      <w:r w:rsidR="00A134F2" w:rsidRPr="00EE3B86">
        <w:rPr>
          <w:vertAlign w:val="superscript"/>
        </w:rPr>
        <w:t>rd</w:t>
      </w:r>
      <w:r w:rsidR="00A134F2" w:rsidRPr="00EE3B86">
        <w:t xml:space="preserve"> </w:t>
      </w:r>
      <w:r w:rsidRPr="00EE3B86">
        <w:t>day of</w:t>
      </w:r>
      <w:r w:rsidR="00A134F2" w:rsidRPr="00EE3B86">
        <w:t xml:space="preserve"> January</w:t>
      </w:r>
      <w:r w:rsidR="00C606E4" w:rsidRPr="00EE3B86">
        <w:t xml:space="preserve">, </w:t>
      </w:r>
      <w:r w:rsidR="00915A04" w:rsidRPr="00EE3B86">
        <w:t>202</w:t>
      </w:r>
      <w:r w:rsidR="00B72782" w:rsidRPr="00EE3B86">
        <w:t>6</w:t>
      </w:r>
      <w:r w:rsidRPr="00EE3B86">
        <w:t>.</w:t>
      </w:r>
    </w:p>
    <w:p w14:paraId="0D0F3608" w14:textId="6D02D650" w:rsidR="00334F22" w:rsidRPr="00EE3B86" w:rsidRDefault="77D45C8F" w:rsidP="00DD6E8C">
      <w:pPr>
        <w:spacing w:line="360" w:lineRule="auto"/>
      </w:pPr>
      <w:r>
        <w:rPr>
          <w:noProof/>
        </w:rPr>
        <w:drawing>
          <wp:anchor distT="0" distB="0" distL="114300" distR="114300" simplePos="0" relativeHeight="251658241" behindDoc="1" locked="0" layoutInCell="1" allowOverlap="1" wp14:anchorId="3001332B" wp14:editId="1F043FE1">
            <wp:simplePos x="0" y="0"/>
            <wp:positionH relativeFrom="column">
              <wp:posOffset>4210050</wp:posOffset>
            </wp:positionH>
            <wp:positionV relativeFrom="paragraph">
              <wp:posOffset>-85725</wp:posOffset>
            </wp:positionV>
            <wp:extent cx="1442937" cy="612693"/>
            <wp:effectExtent l="0" t="0" r="0" b="0"/>
            <wp:wrapNone/>
            <wp:docPr id="20797539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87895" name="Picture 659487895"/>
                    <pic:cNvPicPr/>
                  </pic:nvPicPr>
                  <pic:blipFill>
                    <a:blip r:embed="rId19">
                      <a:extLst>
                        <a:ext uri="{28A0092B-C50C-407E-A947-70E740481C1C}">
                          <a14:useLocalDpi xmlns:a14="http://schemas.microsoft.com/office/drawing/2010/main"/>
                        </a:ext>
                      </a:extLst>
                    </a:blip>
                    <a:stretch>
                      <a:fillRect/>
                    </a:stretch>
                  </pic:blipFill>
                  <pic:spPr>
                    <a:xfrm>
                      <a:off x="0" y="0"/>
                      <a:ext cx="1442937" cy="612693"/>
                    </a:xfrm>
                    <a:prstGeom prst="rect">
                      <a:avLst/>
                    </a:prstGeom>
                  </pic:spPr>
                </pic:pic>
              </a:graphicData>
            </a:graphic>
            <wp14:sizeRelH relativeFrom="page">
              <wp14:pctWidth>0</wp14:pctWidth>
            </wp14:sizeRelH>
            <wp14:sizeRelV relativeFrom="page">
              <wp14:pctHeight>0</wp14:pctHeight>
            </wp14:sizeRelV>
          </wp:anchor>
        </w:drawing>
      </w:r>
    </w:p>
    <w:p w14:paraId="1B98958B" w14:textId="77777777" w:rsidR="00334F22" w:rsidRPr="00EE3B86" w:rsidRDefault="00334F22" w:rsidP="003822BD">
      <w:pPr>
        <w:jc w:val="right"/>
      </w:pPr>
      <w:r w:rsidRPr="00EE3B86">
        <w:t>_______________________________</w:t>
      </w:r>
    </w:p>
    <w:p w14:paraId="47ADB7A8" w14:textId="7DDA327C" w:rsidR="00A85602" w:rsidRPr="00EE3B86" w:rsidRDefault="00F13C14" w:rsidP="003822BD">
      <w:pPr>
        <w:jc w:val="right"/>
      </w:pPr>
      <w:r w:rsidRPr="00EE3B86">
        <w:t>Rory McGarvey</w:t>
      </w:r>
    </w:p>
    <w:p w14:paraId="6E6B90C7" w14:textId="77777777" w:rsidR="00A85602" w:rsidRPr="00EE3B86" w:rsidRDefault="00A85602" w:rsidP="003822BD"/>
    <w:p w14:paraId="2F9E1FF3" w14:textId="61AE2203" w:rsidR="00334F22" w:rsidRPr="00EE3B86" w:rsidRDefault="00334F22" w:rsidP="003822BD"/>
    <w:p w14:paraId="3007E314" w14:textId="4FFF090B" w:rsidR="00334F22" w:rsidRPr="00EE3B86" w:rsidRDefault="00471F01" w:rsidP="00C403F2">
      <w:pPr>
        <w:jc w:val="right"/>
      </w:pPr>
      <w:r w:rsidRPr="00EE3B86">
        <w:rPr>
          <w:noProof/>
        </w:rPr>
        <w:drawing>
          <wp:anchor distT="0" distB="0" distL="114300" distR="114300" simplePos="0" relativeHeight="251658243" behindDoc="1" locked="0" layoutInCell="1" allowOverlap="1" wp14:anchorId="06C3ED6A" wp14:editId="3FD11A7A">
            <wp:simplePos x="0" y="0"/>
            <wp:positionH relativeFrom="column">
              <wp:posOffset>4674816</wp:posOffset>
            </wp:positionH>
            <wp:positionV relativeFrom="paragraph">
              <wp:posOffset>63375</wp:posOffset>
            </wp:positionV>
            <wp:extent cx="1384300" cy="431800"/>
            <wp:effectExtent l="0" t="0" r="0" b="0"/>
            <wp:wrapNone/>
            <wp:docPr id="325377655"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77655" name="Picture 3" descr="A close-up of a signature&#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1384300" cy="431800"/>
                    </a:xfrm>
                    <a:prstGeom prst="rect">
                      <a:avLst/>
                    </a:prstGeom>
                  </pic:spPr>
                </pic:pic>
              </a:graphicData>
            </a:graphic>
            <wp14:sizeRelH relativeFrom="page">
              <wp14:pctWidth>0</wp14:pctWidth>
            </wp14:sizeRelH>
            <wp14:sizeRelV relativeFrom="page">
              <wp14:pctHeight>0</wp14:pctHeight>
            </wp14:sizeRelV>
          </wp:anchor>
        </w:drawing>
      </w:r>
    </w:p>
    <w:p w14:paraId="399F470A" w14:textId="77777777" w:rsidR="00334F22" w:rsidRPr="00EE3B86" w:rsidRDefault="00334F22" w:rsidP="003822BD"/>
    <w:p w14:paraId="2E751D21" w14:textId="77777777" w:rsidR="00334F22" w:rsidRPr="00EE3B86" w:rsidRDefault="00334F22" w:rsidP="003822BD">
      <w:pPr>
        <w:jc w:val="right"/>
      </w:pPr>
      <w:r w:rsidRPr="00EE3B86">
        <w:t>_______________________________</w:t>
      </w:r>
    </w:p>
    <w:p w14:paraId="5DEB544D" w14:textId="4835A10B" w:rsidR="00334F22" w:rsidRPr="00EE3B86" w:rsidRDefault="00EC468B" w:rsidP="003822BD">
      <w:pPr>
        <w:jc w:val="right"/>
      </w:pPr>
      <w:r w:rsidRPr="00EE3B86">
        <w:t>Grace Gallant</w:t>
      </w:r>
    </w:p>
    <w:p w14:paraId="280DFB98" w14:textId="77777777" w:rsidR="003822BD" w:rsidRPr="00EE3B86" w:rsidRDefault="003822BD" w:rsidP="003822BD">
      <w:pPr>
        <w:jc w:val="right"/>
      </w:pPr>
    </w:p>
    <w:p w14:paraId="3B79C618" w14:textId="77777777" w:rsidR="003822BD" w:rsidRPr="00EE3B86" w:rsidRDefault="003822BD" w:rsidP="003822BD">
      <w:pPr>
        <w:jc w:val="right"/>
      </w:pPr>
      <w:r w:rsidRPr="00EE3B86">
        <w:t xml:space="preserve">Counsel for the </w:t>
      </w:r>
      <w:r w:rsidR="00EE2290" w:rsidRPr="00EE3B86">
        <w:t>Respondent</w:t>
      </w:r>
    </w:p>
    <w:p w14:paraId="49B15252" w14:textId="7F55E85D" w:rsidR="003822BD" w:rsidRPr="00EE3B86" w:rsidRDefault="00E91273" w:rsidP="003822BD">
      <w:pPr>
        <w:jc w:val="right"/>
      </w:pPr>
      <w:r>
        <w:t>Consolidated Homes Ltd.</w:t>
      </w:r>
    </w:p>
    <w:p w14:paraId="48101583" w14:textId="73385F5C" w:rsidR="51C8701F" w:rsidRDefault="51C8701F" w:rsidP="51C8701F">
      <w:pPr>
        <w:jc w:val="right"/>
      </w:pPr>
    </w:p>
    <w:p w14:paraId="26DDD88D" w14:textId="6219490C" w:rsidR="6995AD06" w:rsidRDefault="6995AD06" w:rsidP="6995AD06">
      <w:pPr>
        <w:jc w:val="right"/>
      </w:pPr>
    </w:p>
    <w:p w14:paraId="1FBC5FAE" w14:textId="4AE0F4F3" w:rsidR="6995AD06" w:rsidRDefault="6995AD06" w:rsidP="6995AD06">
      <w:pPr>
        <w:jc w:val="right"/>
      </w:pPr>
    </w:p>
    <w:p w14:paraId="522F5251" w14:textId="6334B6D1" w:rsidR="6995AD06" w:rsidRDefault="6995AD06" w:rsidP="6995AD06">
      <w:pPr>
        <w:jc w:val="right"/>
      </w:pPr>
    </w:p>
    <w:p w14:paraId="54690EBD" w14:textId="3293F1F3" w:rsidR="6995AD06" w:rsidRDefault="6995AD06" w:rsidP="6995AD06">
      <w:pPr>
        <w:jc w:val="right"/>
      </w:pPr>
    </w:p>
    <w:p w14:paraId="0591AD92" w14:textId="4A611DE5" w:rsidR="6995AD06" w:rsidRDefault="6995AD06" w:rsidP="6995AD06">
      <w:pPr>
        <w:jc w:val="right"/>
      </w:pPr>
    </w:p>
    <w:p w14:paraId="32214D39" w14:textId="62A179F4" w:rsidR="6995AD06" w:rsidRDefault="6995AD06" w:rsidP="6995AD06">
      <w:pPr>
        <w:jc w:val="right"/>
      </w:pPr>
    </w:p>
    <w:p w14:paraId="675BCFF2" w14:textId="24560400" w:rsidR="6995AD06" w:rsidRDefault="6995AD06" w:rsidP="6995AD06">
      <w:pPr>
        <w:jc w:val="right"/>
      </w:pPr>
    </w:p>
    <w:p w14:paraId="3FED4DB6" w14:textId="0AEB6A93" w:rsidR="6995AD06" w:rsidRDefault="6995AD06" w:rsidP="6995AD06">
      <w:pPr>
        <w:jc w:val="right"/>
      </w:pPr>
    </w:p>
    <w:p w14:paraId="386A1D20" w14:textId="19984607" w:rsidR="6995AD06" w:rsidRDefault="6995AD06" w:rsidP="6995AD06">
      <w:pPr>
        <w:jc w:val="right"/>
      </w:pPr>
    </w:p>
    <w:p w14:paraId="3F3B2EC0" w14:textId="77777777" w:rsidR="00266917" w:rsidRDefault="00266917" w:rsidP="6995AD06">
      <w:pPr>
        <w:jc w:val="right"/>
      </w:pPr>
    </w:p>
    <w:p w14:paraId="505D471D" w14:textId="77777777" w:rsidR="00266917" w:rsidRDefault="00266917" w:rsidP="6995AD06">
      <w:pPr>
        <w:jc w:val="right"/>
      </w:pPr>
    </w:p>
    <w:p w14:paraId="6B90F303" w14:textId="77777777" w:rsidR="00266917" w:rsidRDefault="00266917" w:rsidP="6995AD06">
      <w:pPr>
        <w:jc w:val="right"/>
      </w:pPr>
    </w:p>
    <w:p w14:paraId="323A2CE4" w14:textId="77777777" w:rsidR="00266917" w:rsidRDefault="00266917" w:rsidP="6995AD06">
      <w:pPr>
        <w:jc w:val="right"/>
      </w:pPr>
    </w:p>
    <w:p w14:paraId="622412F0" w14:textId="24D47CBE" w:rsidR="6995AD06" w:rsidRDefault="6995AD06" w:rsidP="6995AD06">
      <w:pPr>
        <w:jc w:val="right"/>
      </w:pPr>
    </w:p>
    <w:p w14:paraId="0F7BEAB6" w14:textId="5F6AAD96" w:rsidR="6995AD06" w:rsidRDefault="6995AD06" w:rsidP="6995AD06">
      <w:pPr>
        <w:jc w:val="right"/>
      </w:pPr>
    </w:p>
    <w:p w14:paraId="46CF663F" w14:textId="17874D78" w:rsidR="6995AD06" w:rsidRDefault="6995AD06" w:rsidP="6995AD06">
      <w:pPr>
        <w:jc w:val="right"/>
      </w:pPr>
    </w:p>
    <w:p w14:paraId="32AFF832" w14:textId="1B14CD2E" w:rsidR="0044118E" w:rsidRDefault="0044118E" w:rsidP="00D921E9">
      <w:pPr>
        <w:pStyle w:val="Heading1"/>
        <w:tabs>
          <w:tab w:val="num" w:pos="720"/>
        </w:tabs>
        <w:spacing w:before="0" w:after="0" w:line="360" w:lineRule="auto"/>
        <w:ind w:left="720" w:hanging="720"/>
        <w:rPr>
          <w:rFonts w:ascii="Times New Roman" w:hAnsi="Times New Roman"/>
          <w:sz w:val="24"/>
          <w:szCs w:val="24"/>
        </w:rPr>
      </w:pPr>
      <w:bookmarkStart w:id="30" w:name="_Toc220056513"/>
      <w:r w:rsidRPr="6995AD06">
        <w:rPr>
          <w:rFonts w:ascii="Times New Roman" w:hAnsi="Times New Roman"/>
          <w:sz w:val="24"/>
          <w:szCs w:val="24"/>
        </w:rPr>
        <w:lastRenderedPageBreak/>
        <w:t>TABLE OF AUTHORITIES</w:t>
      </w:r>
      <w:bookmarkEnd w:id="30"/>
    </w:p>
    <w:p w14:paraId="63A60B1D" w14:textId="77777777" w:rsidR="00A32705" w:rsidRPr="00A32705" w:rsidRDefault="00A32705" w:rsidP="00A32705"/>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7763"/>
        <w:gridCol w:w="1597"/>
      </w:tblGrid>
      <w:tr w:rsidR="00ED3A5F" w:rsidRPr="00D64564" w14:paraId="1905516D" w14:textId="77777777" w:rsidTr="51C8701F">
        <w:trPr>
          <w:trHeight w:val="432"/>
        </w:trPr>
        <w:tc>
          <w:tcPr>
            <w:tcW w:w="7763" w:type="dxa"/>
            <w:shd w:val="clear" w:color="auto" w:fill="D9D9D9" w:themeFill="background1" w:themeFillShade="D9"/>
          </w:tcPr>
          <w:p w14:paraId="272037E9" w14:textId="77777777" w:rsidR="00ED3A5F" w:rsidRPr="00D64564" w:rsidRDefault="00ED3A5F">
            <w:pPr>
              <w:rPr>
                <w:b/>
                <w:bCs/>
              </w:rPr>
            </w:pPr>
            <w:r w:rsidRPr="1CA8E965">
              <w:rPr>
                <w:b/>
                <w:bCs/>
              </w:rPr>
              <w:t>CASE LAW</w:t>
            </w:r>
          </w:p>
        </w:tc>
        <w:tc>
          <w:tcPr>
            <w:tcW w:w="1597" w:type="dxa"/>
            <w:shd w:val="clear" w:color="auto" w:fill="D9D9D9" w:themeFill="background1" w:themeFillShade="D9"/>
          </w:tcPr>
          <w:p w14:paraId="1A0DA87C" w14:textId="77777777" w:rsidR="00ED3A5F" w:rsidRPr="00D64564" w:rsidRDefault="00ED3A5F">
            <w:pPr>
              <w:widowControl w:val="0"/>
              <w:rPr>
                <w:b/>
                <w:bCs/>
              </w:rPr>
            </w:pPr>
            <w:r w:rsidRPr="1CA8E965">
              <w:rPr>
                <w:b/>
                <w:bCs/>
              </w:rPr>
              <w:t>Paragraph No.</w:t>
            </w:r>
          </w:p>
        </w:tc>
      </w:tr>
      <w:tr w:rsidR="00FD3744" w14:paraId="03C766D2" w14:textId="77777777" w:rsidTr="51C8701F">
        <w:trPr>
          <w:trHeight w:val="432"/>
        </w:trPr>
        <w:tc>
          <w:tcPr>
            <w:tcW w:w="7763" w:type="dxa"/>
          </w:tcPr>
          <w:p w14:paraId="1EC97864" w14:textId="61A2355A" w:rsidR="00FD3744" w:rsidRPr="001464CE" w:rsidRDefault="00FD3744">
            <w:pPr>
              <w:pStyle w:val="WSParaNum"/>
              <w:numPr>
                <w:ilvl w:val="0"/>
                <w:numId w:val="0"/>
              </w:numPr>
              <w:spacing w:before="0" w:after="0" w:line="240" w:lineRule="auto"/>
              <w:rPr>
                <w:i/>
                <w:iCs/>
              </w:rPr>
            </w:pPr>
            <w:r w:rsidRPr="00FD3744">
              <w:rPr>
                <w:i/>
                <w:iCs/>
              </w:rPr>
              <w:t xml:space="preserve">R. v. Bowcott, </w:t>
            </w:r>
            <w:r w:rsidRPr="00FD3744">
              <w:t>1998 CanLII 999 (BC SC)</w:t>
            </w:r>
            <w:r>
              <w:t>.</w:t>
            </w:r>
          </w:p>
        </w:tc>
        <w:tc>
          <w:tcPr>
            <w:tcW w:w="1597" w:type="dxa"/>
          </w:tcPr>
          <w:p w14:paraId="321C53CB" w14:textId="2879AF23" w:rsidR="00FD3744" w:rsidRDefault="00FD3744">
            <w:pPr>
              <w:jc w:val="right"/>
            </w:pPr>
            <w:r>
              <w:t>77,78</w:t>
            </w:r>
          </w:p>
        </w:tc>
      </w:tr>
      <w:tr w:rsidR="0088385A" w14:paraId="58AAEE0C" w14:textId="77777777" w:rsidTr="51C8701F">
        <w:trPr>
          <w:trHeight w:val="432"/>
        </w:trPr>
        <w:tc>
          <w:tcPr>
            <w:tcW w:w="7763" w:type="dxa"/>
          </w:tcPr>
          <w:p w14:paraId="21347F40" w14:textId="021390D4" w:rsidR="0088385A" w:rsidRPr="00850977" w:rsidRDefault="0088385A">
            <w:pPr>
              <w:pStyle w:val="WSParaNum"/>
              <w:numPr>
                <w:ilvl w:val="0"/>
                <w:numId w:val="0"/>
              </w:numPr>
              <w:spacing w:before="0" w:after="0" w:line="240" w:lineRule="auto"/>
              <w:rPr>
                <w:i/>
                <w:iCs/>
              </w:rPr>
            </w:pPr>
            <w:r w:rsidRPr="001464CE">
              <w:rPr>
                <w:i/>
                <w:iCs/>
              </w:rPr>
              <w:t>Housen v Nikolaisen,</w:t>
            </w:r>
            <w:r w:rsidRPr="001464CE">
              <w:t xml:space="preserve"> 2002 SCC 33</w:t>
            </w:r>
            <w:r>
              <w:t>.</w:t>
            </w:r>
          </w:p>
        </w:tc>
        <w:tc>
          <w:tcPr>
            <w:tcW w:w="1597" w:type="dxa"/>
          </w:tcPr>
          <w:p w14:paraId="76027E0F" w14:textId="5CCD5538" w:rsidR="0088385A" w:rsidRDefault="0088385A">
            <w:pPr>
              <w:jc w:val="right"/>
            </w:pPr>
            <w:r>
              <w:t>5</w:t>
            </w:r>
            <w:r w:rsidR="00001380">
              <w:t>7</w:t>
            </w:r>
          </w:p>
        </w:tc>
      </w:tr>
      <w:tr w:rsidR="00F90F72" w14:paraId="53D7DE61" w14:textId="77777777" w:rsidTr="51C8701F">
        <w:trPr>
          <w:trHeight w:val="432"/>
        </w:trPr>
        <w:tc>
          <w:tcPr>
            <w:tcW w:w="7763" w:type="dxa"/>
          </w:tcPr>
          <w:p w14:paraId="04E9D9A1" w14:textId="605B2293" w:rsidR="00F90F72" w:rsidRPr="001464CE" w:rsidRDefault="00F90F72">
            <w:pPr>
              <w:pStyle w:val="WSParaNum"/>
              <w:numPr>
                <w:ilvl w:val="0"/>
                <w:numId w:val="0"/>
              </w:numPr>
              <w:spacing w:before="0" w:after="0" w:line="240" w:lineRule="auto"/>
              <w:rPr>
                <w:i/>
                <w:iCs/>
              </w:rPr>
            </w:pPr>
            <w:r w:rsidRPr="00F90F72">
              <w:rPr>
                <w:i/>
                <w:iCs/>
              </w:rPr>
              <w:t xml:space="preserve">Kosicki v. Toronto (City), </w:t>
            </w:r>
            <w:r w:rsidRPr="00F90F72">
              <w:t>2025 SCC 28</w:t>
            </w:r>
            <w:r>
              <w:t>.</w:t>
            </w:r>
          </w:p>
        </w:tc>
        <w:tc>
          <w:tcPr>
            <w:tcW w:w="1597" w:type="dxa"/>
          </w:tcPr>
          <w:p w14:paraId="1A4E95DC" w14:textId="5C71B246" w:rsidR="00F90F72" w:rsidRDefault="00395B39">
            <w:pPr>
              <w:jc w:val="right"/>
            </w:pPr>
            <w:r>
              <w:t>71</w:t>
            </w:r>
          </w:p>
        </w:tc>
      </w:tr>
      <w:tr w:rsidR="00B047D0" w14:paraId="0301DD33" w14:textId="77777777" w:rsidTr="51C8701F">
        <w:trPr>
          <w:trHeight w:val="432"/>
        </w:trPr>
        <w:tc>
          <w:tcPr>
            <w:tcW w:w="7763" w:type="dxa"/>
          </w:tcPr>
          <w:p w14:paraId="2BCA65B3" w14:textId="607C1092" w:rsidR="00B047D0" w:rsidRPr="00B047D0" w:rsidRDefault="00B047D0">
            <w:pPr>
              <w:pStyle w:val="WSParaNum"/>
              <w:numPr>
                <w:ilvl w:val="0"/>
                <w:numId w:val="0"/>
              </w:numPr>
              <w:spacing w:before="0" w:after="0" w:line="240" w:lineRule="auto"/>
              <w:rPr>
                <w:i/>
                <w:iCs/>
              </w:rPr>
            </w:pPr>
            <w:r w:rsidRPr="00B047D0">
              <w:rPr>
                <w:i/>
                <w:iCs/>
              </w:rPr>
              <w:t xml:space="preserve">R v Castonguay Blasting Ltd., </w:t>
            </w:r>
            <w:r w:rsidRPr="00B047D0">
              <w:t>2013 SCC 52</w:t>
            </w:r>
            <w:r>
              <w:t>.</w:t>
            </w:r>
          </w:p>
        </w:tc>
        <w:tc>
          <w:tcPr>
            <w:tcW w:w="1597" w:type="dxa"/>
          </w:tcPr>
          <w:p w14:paraId="0EAC4C90" w14:textId="6999AC0D" w:rsidR="00B047D0" w:rsidRDefault="00B047D0">
            <w:pPr>
              <w:jc w:val="right"/>
            </w:pPr>
            <w:r>
              <w:t>67, 75</w:t>
            </w:r>
          </w:p>
        </w:tc>
      </w:tr>
      <w:tr w:rsidR="00ED3A5F" w14:paraId="483640BA" w14:textId="77777777" w:rsidTr="51C8701F">
        <w:trPr>
          <w:trHeight w:val="432"/>
        </w:trPr>
        <w:tc>
          <w:tcPr>
            <w:tcW w:w="7763" w:type="dxa"/>
          </w:tcPr>
          <w:p w14:paraId="7C1174CC" w14:textId="3540D577" w:rsidR="00ED3A5F" w:rsidRPr="0027343A" w:rsidRDefault="00850977">
            <w:pPr>
              <w:pStyle w:val="WSParaNum"/>
              <w:numPr>
                <w:ilvl w:val="0"/>
                <w:numId w:val="0"/>
              </w:numPr>
              <w:spacing w:before="0" w:after="0" w:line="240" w:lineRule="auto"/>
            </w:pPr>
            <w:r w:rsidRPr="00850977">
              <w:rPr>
                <w:i/>
                <w:iCs/>
              </w:rPr>
              <w:t>R v Consolidated Homes Ltd.</w:t>
            </w:r>
            <w:r w:rsidRPr="00850977">
              <w:t xml:space="preserve"> (20 August 2024), North Bay (OCJ)</w:t>
            </w:r>
            <w:r w:rsidR="00454490">
              <w:t>.</w:t>
            </w:r>
          </w:p>
        </w:tc>
        <w:tc>
          <w:tcPr>
            <w:tcW w:w="1597" w:type="dxa"/>
          </w:tcPr>
          <w:p w14:paraId="44BAAAC6" w14:textId="7D914987" w:rsidR="00ED3A5F" w:rsidRDefault="00032EE9">
            <w:pPr>
              <w:jc w:val="right"/>
            </w:pPr>
            <w:r>
              <w:t>9-12</w:t>
            </w:r>
            <w:r w:rsidR="009619B8">
              <w:t>, 15, 20-</w:t>
            </w:r>
            <w:r w:rsidR="00D55F5F">
              <w:t xml:space="preserve">23, </w:t>
            </w:r>
            <w:r w:rsidR="001441AD">
              <w:t xml:space="preserve">25, 26, 30, 34, 35, 39, 40, </w:t>
            </w:r>
            <w:r w:rsidR="00EB0263">
              <w:t xml:space="preserve">44-46, </w:t>
            </w:r>
            <w:r w:rsidR="0051799B">
              <w:t xml:space="preserve">51, </w:t>
            </w:r>
            <w:r w:rsidR="00C35BAD">
              <w:t xml:space="preserve">53, </w:t>
            </w:r>
            <w:r w:rsidR="0051799B">
              <w:t>5</w:t>
            </w:r>
            <w:r w:rsidR="003B335A">
              <w:t>5</w:t>
            </w:r>
            <w:r w:rsidR="0051799B">
              <w:t>,</w:t>
            </w:r>
            <w:r w:rsidR="003B335A">
              <w:t xml:space="preserve"> 59,</w:t>
            </w:r>
            <w:r w:rsidR="0051799B">
              <w:t xml:space="preserve"> 60, 63</w:t>
            </w:r>
            <w:r w:rsidR="00206F01">
              <w:t>, 9</w:t>
            </w:r>
            <w:r w:rsidR="00257ABD">
              <w:t>4</w:t>
            </w:r>
          </w:p>
        </w:tc>
      </w:tr>
      <w:tr w:rsidR="00ED3A5F" w14:paraId="54A81763" w14:textId="77777777" w:rsidTr="51C8701F">
        <w:trPr>
          <w:trHeight w:val="432"/>
        </w:trPr>
        <w:tc>
          <w:tcPr>
            <w:tcW w:w="7763" w:type="dxa"/>
          </w:tcPr>
          <w:p w14:paraId="645DEE65" w14:textId="1349FADE" w:rsidR="00ED3A5F" w:rsidRDefault="00F641A9">
            <w:pPr>
              <w:pStyle w:val="WSParaNum"/>
              <w:numPr>
                <w:ilvl w:val="0"/>
                <w:numId w:val="0"/>
              </w:numPr>
              <w:spacing w:before="0" w:after="0"/>
              <w:rPr>
                <w:lang w:val="en-US"/>
              </w:rPr>
            </w:pPr>
            <w:r w:rsidRPr="00F641A9">
              <w:rPr>
                <w:i/>
                <w:iCs/>
                <w:lang w:val="en-US"/>
              </w:rPr>
              <w:t>R v Consolidated Homes Ltd</w:t>
            </w:r>
            <w:r>
              <w:rPr>
                <w:lang w:val="en-US"/>
              </w:rPr>
              <w:t>.</w:t>
            </w:r>
            <w:r w:rsidRPr="00F641A9">
              <w:rPr>
                <w:lang w:val="en-US"/>
              </w:rPr>
              <w:t>, 2025 ONCA 41</w:t>
            </w:r>
            <w:r w:rsidR="00454490">
              <w:rPr>
                <w:lang w:val="en-US"/>
              </w:rPr>
              <w:t>.</w:t>
            </w:r>
          </w:p>
        </w:tc>
        <w:tc>
          <w:tcPr>
            <w:tcW w:w="1597" w:type="dxa"/>
          </w:tcPr>
          <w:p w14:paraId="028F75D5" w14:textId="4BD41272" w:rsidR="00ED3A5F" w:rsidRDefault="00754D7E">
            <w:pPr>
              <w:jc w:val="right"/>
            </w:pPr>
            <w:r>
              <w:t xml:space="preserve">18, 25, 31, 38-40, 42, </w:t>
            </w:r>
            <w:r w:rsidR="00F81F24">
              <w:t>51, 52, 5</w:t>
            </w:r>
            <w:r w:rsidR="00DD723C">
              <w:t>5</w:t>
            </w:r>
            <w:r w:rsidR="00F81F24">
              <w:t>, 61</w:t>
            </w:r>
          </w:p>
        </w:tc>
      </w:tr>
      <w:tr w:rsidR="003F4C75" w14:paraId="2138AF4A" w14:textId="77777777" w:rsidTr="51C8701F">
        <w:trPr>
          <w:trHeight w:val="432"/>
        </w:trPr>
        <w:tc>
          <w:tcPr>
            <w:tcW w:w="7763" w:type="dxa"/>
          </w:tcPr>
          <w:p w14:paraId="7AFE0DDC" w14:textId="421622C0" w:rsidR="003F4C75" w:rsidRPr="00A13A01" w:rsidRDefault="003F4C75">
            <w:pPr>
              <w:rPr>
                <w:i/>
                <w:iCs/>
              </w:rPr>
            </w:pPr>
            <w:r w:rsidRPr="003F4C75">
              <w:rPr>
                <w:i/>
                <w:iCs/>
              </w:rPr>
              <w:t xml:space="preserve">R v Fraser River Harbour Commission, </w:t>
            </w:r>
            <w:r w:rsidRPr="003F4C75">
              <w:t>[1983] B.C.J. No. 156</w:t>
            </w:r>
            <w:r w:rsidR="00782593">
              <w:t>.</w:t>
            </w:r>
          </w:p>
        </w:tc>
        <w:tc>
          <w:tcPr>
            <w:tcW w:w="1597" w:type="dxa"/>
          </w:tcPr>
          <w:p w14:paraId="7F66AE46" w14:textId="564B2B54" w:rsidR="003F4C75" w:rsidRDefault="00161505">
            <w:pPr>
              <w:jc w:val="right"/>
            </w:pPr>
            <w:r>
              <w:t>77,79</w:t>
            </w:r>
          </w:p>
        </w:tc>
      </w:tr>
      <w:tr w:rsidR="00A13A01" w14:paraId="1817004A" w14:textId="77777777" w:rsidTr="51C8701F">
        <w:trPr>
          <w:trHeight w:val="432"/>
        </w:trPr>
        <w:tc>
          <w:tcPr>
            <w:tcW w:w="7763" w:type="dxa"/>
          </w:tcPr>
          <w:p w14:paraId="62845A87" w14:textId="67F5853A" w:rsidR="00A13A01" w:rsidRPr="00A13A01" w:rsidRDefault="00A13A01">
            <w:r w:rsidRPr="00A13A01">
              <w:rPr>
                <w:i/>
                <w:iCs/>
              </w:rPr>
              <w:t xml:space="preserve">R v Le, </w:t>
            </w:r>
            <w:r w:rsidRPr="00A13A01">
              <w:t>2019 SCC 34</w:t>
            </w:r>
            <w:r>
              <w:t>.</w:t>
            </w:r>
          </w:p>
        </w:tc>
        <w:tc>
          <w:tcPr>
            <w:tcW w:w="1597" w:type="dxa"/>
          </w:tcPr>
          <w:p w14:paraId="0A91D7F8" w14:textId="121FB954" w:rsidR="00A13A01" w:rsidRDefault="00A13A01">
            <w:pPr>
              <w:jc w:val="right"/>
            </w:pPr>
            <w:r>
              <w:t>47</w:t>
            </w:r>
          </w:p>
        </w:tc>
      </w:tr>
      <w:tr w:rsidR="0088385A" w14:paraId="0809EDF8" w14:textId="77777777" w:rsidTr="51C8701F">
        <w:trPr>
          <w:trHeight w:val="432"/>
        </w:trPr>
        <w:tc>
          <w:tcPr>
            <w:tcW w:w="7763" w:type="dxa"/>
          </w:tcPr>
          <w:p w14:paraId="6DF48CC2" w14:textId="6137AD41" w:rsidR="0088385A" w:rsidRPr="001464CE" w:rsidRDefault="0088385A">
            <w:pPr>
              <w:rPr>
                <w:i/>
                <w:iCs/>
              </w:rPr>
            </w:pPr>
            <w:r w:rsidRPr="0088385A">
              <w:rPr>
                <w:i/>
                <w:iCs/>
              </w:rPr>
              <w:t xml:space="preserve">R v Morrissey, </w:t>
            </w:r>
            <w:r w:rsidRPr="0088385A">
              <w:t>1995 CanLII 3498 (ON CA)</w:t>
            </w:r>
            <w:r w:rsidR="00084F50">
              <w:t>.</w:t>
            </w:r>
          </w:p>
        </w:tc>
        <w:tc>
          <w:tcPr>
            <w:tcW w:w="1597" w:type="dxa"/>
          </w:tcPr>
          <w:p w14:paraId="59C8D115" w14:textId="521B220F" w:rsidR="0088385A" w:rsidRDefault="00084F50">
            <w:pPr>
              <w:jc w:val="right"/>
            </w:pPr>
            <w:r>
              <w:t>64</w:t>
            </w:r>
          </w:p>
        </w:tc>
      </w:tr>
      <w:tr w:rsidR="00ED3A5F" w14:paraId="6A9D0442" w14:textId="77777777" w:rsidTr="51C8701F">
        <w:trPr>
          <w:trHeight w:val="432"/>
        </w:trPr>
        <w:tc>
          <w:tcPr>
            <w:tcW w:w="7763" w:type="dxa"/>
          </w:tcPr>
          <w:p w14:paraId="4F9614D9" w14:textId="44CB306B" w:rsidR="00ED3A5F" w:rsidRDefault="00FC2167">
            <w:r w:rsidRPr="00FC2167">
              <w:rPr>
                <w:i/>
                <w:iCs/>
              </w:rPr>
              <w:t>R v Villaroman</w:t>
            </w:r>
            <w:r w:rsidRPr="00FC2167">
              <w:t>, 2016 SCC 33</w:t>
            </w:r>
            <w:r w:rsidR="00A13A01">
              <w:t>.</w:t>
            </w:r>
          </w:p>
        </w:tc>
        <w:tc>
          <w:tcPr>
            <w:tcW w:w="1597" w:type="dxa"/>
          </w:tcPr>
          <w:p w14:paraId="4BAA982E" w14:textId="56F3B72A" w:rsidR="00ED3A5F" w:rsidRDefault="00454490">
            <w:pPr>
              <w:jc w:val="right"/>
            </w:pPr>
            <w:r>
              <w:t>27, 32, 36</w:t>
            </w:r>
          </w:p>
        </w:tc>
      </w:tr>
      <w:tr w:rsidR="004856F2" w:rsidRPr="0027343A" w14:paraId="3D15E985" w14:textId="77777777" w:rsidTr="51C8701F">
        <w:trPr>
          <w:trHeight w:val="432"/>
        </w:trPr>
        <w:tc>
          <w:tcPr>
            <w:tcW w:w="7763" w:type="dxa"/>
          </w:tcPr>
          <w:p w14:paraId="1F1C2C53" w14:textId="447B4934" w:rsidR="004856F2" w:rsidRPr="0027155A" w:rsidRDefault="004856F2">
            <w:pPr>
              <w:pStyle w:val="WSParaNum"/>
              <w:numPr>
                <w:ilvl w:val="0"/>
                <w:numId w:val="0"/>
              </w:numPr>
              <w:spacing w:before="0" w:after="0" w:line="240" w:lineRule="auto"/>
              <w:rPr>
                <w:i/>
                <w:iCs/>
                <w:lang w:val="fr-FR"/>
              </w:rPr>
            </w:pPr>
            <w:r w:rsidRPr="004856F2">
              <w:rPr>
                <w:i/>
                <w:iCs/>
                <w:lang w:val="fr-FR"/>
              </w:rPr>
              <w:t xml:space="preserve">Ontario (Natural Resources and Forestry) v. South Bruce Peninsula (Town), </w:t>
            </w:r>
            <w:r w:rsidRPr="004856F2">
              <w:rPr>
                <w:lang w:val="fr-FR"/>
              </w:rPr>
              <w:t>2022 ONCA 315.</w:t>
            </w:r>
          </w:p>
        </w:tc>
        <w:tc>
          <w:tcPr>
            <w:tcW w:w="1597" w:type="dxa"/>
          </w:tcPr>
          <w:p w14:paraId="16DD2660" w14:textId="4D9993AD" w:rsidR="004856F2" w:rsidRDefault="009B0EB7" w:rsidP="0036786A">
            <w:pPr>
              <w:jc w:val="right"/>
              <w:rPr>
                <w:lang w:val="fr-CA"/>
              </w:rPr>
            </w:pPr>
            <w:r>
              <w:rPr>
                <w:lang w:val="fr-CA"/>
              </w:rPr>
              <w:t>8</w:t>
            </w:r>
            <w:r w:rsidR="00861A9B">
              <w:rPr>
                <w:lang w:val="fr-CA"/>
              </w:rPr>
              <w:t>2,83</w:t>
            </w:r>
          </w:p>
        </w:tc>
      </w:tr>
      <w:tr w:rsidR="00ED3A5F" w:rsidRPr="0027343A" w14:paraId="39A08976" w14:textId="77777777" w:rsidTr="51C8701F">
        <w:trPr>
          <w:trHeight w:val="432"/>
        </w:trPr>
        <w:tc>
          <w:tcPr>
            <w:tcW w:w="7763" w:type="dxa"/>
          </w:tcPr>
          <w:p w14:paraId="24B9593B" w14:textId="50E566E9" w:rsidR="00ED3A5F" w:rsidRDefault="0027155A">
            <w:pPr>
              <w:pStyle w:val="WSParaNum"/>
              <w:numPr>
                <w:ilvl w:val="0"/>
                <w:numId w:val="0"/>
              </w:numPr>
              <w:spacing w:before="0" w:after="0" w:line="240" w:lineRule="auto"/>
              <w:rPr>
                <w:lang w:val="fr-FR"/>
              </w:rPr>
            </w:pPr>
            <w:r w:rsidRPr="0027155A">
              <w:rPr>
                <w:i/>
                <w:iCs/>
                <w:lang w:val="fr-FR"/>
              </w:rPr>
              <w:t>Rizzo &amp; Rizzo Shoes Ltd (Re)</w:t>
            </w:r>
            <w:r w:rsidRPr="0027155A">
              <w:rPr>
                <w:lang w:val="fr-FR"/>
              </w:rPr>
              <w:t>, 1998 CanLII 837 (SCC), [1998] 1 SCR 27</w:t>
            </w:r>
            <w:r w:rsidR="00395B39">
              <w:rPr>
                <w:lang w:val="fr-FR"/>
              </w:rPr>
              <w:t>.</w:t>
            </w:r>
          </w:p>
        </w:tc>
        <w:tc>
          <w:tcPr>
            <w:tcW w:w="1597" w:type="dxa"/>
          </w:tcPr>
          <w:p w14:paraId="75A0EC92" w14:textId="4B8DB737" w:rsidR="00ED3A5F" w:rsidRPr="0027343A" w:rsidRDefault="0036786A" w:rsidP="0036786A">
            <w:pPr>
              <w:jc w:val="right"/>
              <w:rPr>
                <w:lang w:val="fr-CA"/>
              </w:rPr>
            </w:pPr>
            <w:r>
              <w:rPr>
                <w:lang w:val="fr-CA"/>
              </w:rPr>
              <w:t>67, 70, 89</w:t>
            </w:r>
          </w:p>
        </w:tc>
      </w:tr>
      <w:tr w:rsidR="00ED3A5F" w14:paraId="7AD6722B" w14:textId="77777777" w:rsidTr="51C8701F">
        <w:trPr>
          <w:trHeight w:val="432"/>
        </w:trPr>
        <w:tc>
          <w:tcPr>
            <w:tcW w:w="7763" w:type="dxa"/>
          </w:tcPr>
          <w:p w14:paraId="5EC64769" w14:textId="0BA9E704" w:rsidR="00ED3A5F" w:rsidRDefault="009B65E1">
            <w:pPr>
              <w:pStyle w:val="WSParaNum"/>
              <w:numPr>
                <w:ilvl w:val="0"/>
                <w:numId w:val="0"/>
              </w:numPr>
              <w:spacing w:before="0" w:after="0" w:line="240" w:lineRule="auto"/>
            </w:pPr>
            <w:r w:rsidRPr="009B65E1">
              <w:rPr>
                <w:i/>
                <w:iCs/>
              </w:rPr>
              <w:t>Wang v. British Columbia (Securities Commission)</w:t>
            </w:r>
            <w:r w:rsidRPr="009B65E1">
              <w:t>, 2023 BCCA 101 (CanLII)</w:t>
            </w:r>
            <w:r w:rsidR="00395B39">
              <w:t>.</w:t>
            </w:r>
          </w:p>
        </w:tc>
        <w:tc>
          <w:tcPr>
            <w:tcW w:w="1597" w:type="dxa"/>
          </w:tcPr>
          <w:p w14:paraId="77AE7549" w14:textId="4A41E4AB" w:rsidR="00ED3A5F" w:rsidRDefault="009B65E1" w:rsidP="009B65E1">
            <w:pPr>
              <w:jc w:val="right"/>
            </w:pPr>
            <w:r>
              <w:t>70</w:t>
            </w:r>
          </w:p>
        </w:tc>
      </w:tr>
      <w:tr w:rsidR="00ED3A5F" w14:paraId="3204388A" w14:textId="77777777" w:rsidTr="51C8701F">
        <w:trPr>
          <w:trHeight w:val="420"/>
        </w:trPr>
        <w:tc>
          <w:tcPr>
            <w:tcW w:w="7763" w:type="dxa"/>
            <w:shd w:val="clear" w:color="auto" w:fill="D9D9D9" w:themeFill="background1" w:themeFillShade="D9"/>
          </w:tcPr>
          <w:p w14:paraId="5CA976F2" w14:textId="77777777" w:rsidR="00ED3A5F" w:rsidRPr="00D64564" w:rsidRDefault="00ED3A5F">
            <w:pPr>
              <w:rPr>
                <w:b/>
                <w:bCs/>
              </w:rPr>
            </w:pPr>
            <w:r w:rsidRPr="1CA8E965">
              <w:rPr>
                <w:b/>
                <w:bCs/>
              </w:rPr>
              <w:t>LEGISLATION</w:t>
            </w:r>
          </w:p>
        </w:tc>
        <w:tc>
          <w:tcPr>
            <w:tcW w:w="1597" w:type="dxa"/>
            <w:shd w:val="clear" w:color="auto" w:fill="D9D9D9" w:themeFill="background1" w:themeFillShade="D9"/>
          </w:tcPr>
          <w:p w14:paraId="6C451A06" w14:textId="77777777" w:rsidR="00ED3A5F" w:rsidRDefault="00ED3A5F">
            <w:pPr>
              <w:jc w:val="right"/>
            </w:pPr>
          </w:p>
        </w:tc>
      </w:tr>
      <w:tr w:rsidR="00ED3A5F" w14:paraId="2C645F57" w14:textId="77777777" w:rsidTr="51C8701F">
        <w:trPr>
          <w:trHeight w:val="432"/>
        </w:trPr>
        <w:tc>
          <w:tcPr>
            <w:tcW w:w="7763" w:type="dxa"/>
          </w:tcPr>
          <w:p w14:paraId="66F9D03C" w14:textId="33209137" w:rsidR="00ED3A5F" w:rsidRDefault="00752D51">
            <w:pPr>
              <w:pStyle w:val="WSParaNum"/>
              <w:numPr>
                <w:ilvl w:val="0"/>
                <w:numId w:val="0"/>
              </w:numPr>
              <w:spacing w:before="0" w:after="0" w:line="240" w:lineRule="auto"/>
            </w:pPr>
            <w:r w:rsidRPr="00752D51">
              <w:rPr>
                <w:i/>
                <w:iCs/>
              </w:rPr>
              <w:t>Endangered Species Act</w:t>
            </w:r>
            <w:r w:rsidRPr="00752D51">
              <w:t>, 2007, SO 2007, c. 6</w:t>
            </w:r>
            <w:r w:rsidR="00246C03">
              <w:t xml:space="preserve"> </w:t>
            </w:r>
            <w:r w:rsidR="00246C03" w:rsidRPr="00246C03">
              <w:t>as it appeared between 30 June 2008 and 5 June 2019</w:t>
            </w:r>
            <w:r w:rsidR="00246C03">
              <w:t>.</w:t>
            </w:r>
          </w:p>
        </w:tc>
        <w:tc>
          <w:tcPr>
            <w:tcW w:w="1597" w:type="dxa"/>
          </w:tcPr>
          <w:p w14:paraId="18B6804A" w14:textId="591493BF" w:rsidR="00ED3A5F" w:rsidRDefault="00752D51" w:rsidP="00752D51">
            <w:pPr>
              <w:jc w:val="right"/>
            </w:pPr>
            <w:r>
              <w:t>16,43,74</w:t>
            </w:r>
          </w:p>
        </w:tc>
      </w:tr>
      <w:tr w:rsidR="00BF1030" w14:paraId="226F9FD2" w14:textId="77777777" w:rsidTr="51C8701F">
        <w:trPr>
          <w:trHeight w:val="432"/>
        </w:trPr>
        <w:tc>
          <w:tcPr>
            <w:tcW w:w="7763" w:type="dxa"/>
          </w:tcPr>
          <w:p w14:paraId="58D77308" w14:textId="53698C2E" w:rsidR="00BF1030" w:rsidRPr="00752D51" w:rsidRDefault="00BF1030">
            <w:pPr>
              <w:pStyle w:val="WSParaNum"/>
              <w:numPr>
                <w:ilvl w:val="0"/>
                <w:numId w:val="0"/>
              </w:numPr>
              <w:spacing w:before="0" w:after="0" w:line="240" w:lineRule="auto"/>
              <w:rPr>
                <w:i/>
                <w:iCs/>
              </w:rPr>
            </w:pPr>
            <w:r w:rsidRPr="00BF1030">
              <w:rPr>
                <w:i/>
                <w:iCs/>
              </w:rPr>
              <w:t>Endangered Species Act,</w:t>
            </w:r>
            <w:r>
              <w:rPr>
                <w:i/>
                <w:iCs/>
              </w:rPr>
              <w:t xml:space="preserve"> </w:t>
            </w:r>
            <w:r>
              <w:t>2007,</w:t>
            </w:r>
            <w:r w:rsidRPr="00BF1030">
              <w:rPr>
                <w:i/>
                <w:iCs/>
              </w:rPr>
              <w:t xml:space="preserve"> </w:t>
            </w:r>
            <w:r w:rsidRPr="00BF1030">
              <w:t>SO 2007, c 6</w:t>
            </w:r>
            <w:r>
              <w:t>.</w:t>
            </w:r>
          </w:p>
        </w:tc>
        <w:tc>
          <w:tcPr>
            <w:tcW w:w="1597" w:type="dxa"/>
          </w:tcPr>
          <w:p w14:paraId="5C64CF40" w14:textId="0A2B926C" w:rsidR="00BF1030" w:rsidRDefault="00315E8E" w:rsidP="00752D51">
            <w:pPr>
              <w:jc w:val="right"/>
            </w:pPr>
            <w:r>
              <w:t>8</w:t>
            </w:r>
            <w:r w:rsidR="00F203DF">
              <w:t>7</w:t>
            </w:r>
          </w:p>
        </w:tc>
      </w:tr>
      <w:tr w:rsidR="00A32705" w14:paraId="0F93634C" w14:textId="77777777" w:rsidTr="51C8701F">
        <w:trPr>
          <w:trHeight w:val="432"/>
        </w:trPr>
        <w:tc>
          <w:tcPr>
            <w:tcW w:w="7763" w:type="dxa"/>
          </w:tcPr>
          <w:p w14:paraId="65909493" w14:textId="2D5DA558" w:rsidR="00A32705" w:rsidRPr="00C01D5F" w:rsidRDefault="00A32705">
            <w:pPr>
              <w:pStyle w:val="WSParaNum"/>
              <w:numPr>
                <w:ilvl w:val="0"/>
                <w:numId w:val="0"/>
              </w:numPr>
              <w:spacing w:before="0" w:after="0" w:line="240" w:lineRule="auto"/>
              <w:rPr>
                <w:i/>
                <w:iCs/>
              </w:rPr>
            </w:pPr>
            <w:r w:rsidRPr="00A32705">
              <w:rPr>
                <w:i/>
                <w:iCs/>
              </w:rPr>
              <w:t xml:space="preserve">Protect Ontario by Unleashing our Economy Act, </w:t>
            </w:r>
            <w:r w:rsidRPr="00A32705">
              <w:t>2025 SO 2025, c 4 - Bill 5.</w:t>
            </w:r>
          </w:p>
        </w:tc>
        <w:tc>
          <w:tcPr>
            <w:tcW w:w="1597" w:type="dxa"/>
          </w:tcPr>
          <w:p w14:paraId="76A0BD84" w14:textId="2FAE8001" w:rsidR="00A32705" w:rsidRDefault="00A32705">
            <w:pPr>
              <w:jc w:val="right"/>
            </w:pPr>
            <w:r>
              <w:t>85</w:t>
            </w:r>
          </w:p>
        </w:tc>
      </w:tr>
      <w:tr w:rsidR="00ED3A5F" w14:paraId="4386482C" w14:textId="77777777" w:rsidTr="51C8701F">
        <w:trPr>
          <w:trHeight w:val="432"/>
        </w:trPr>
        <w:tc>
          <w:tcPr>
            <w:tcW w:w="7763" w:type="dxa"/>
          </w:tcPr>
          <w:p w14:paraId="21AA58E2" w14:textId="6A990ACE" w:rsidR="00ED3A5F" w:rsidRPr="00D64564" w:rsidRDefault="271D88AA" w:rsidP="51C8701F">
            <w:pPr>
              <w:pStyle w:val="WSParaNum"/>
              <w:numPr>
                <w:ilvl w:val="0"/>
                <w:numId w:val="0"/>
              </w:numPr>
              <w:spacing w:before="0" w:after="0" w:line="240" w:lineRule="auto"/>
              <w:rPr>
                <w:i/>
                <w:iCs/>
              </w:rPr>
            </w:pPr>
            <w:r w:rsidRPr="51C8701F">
              <w:rPr>
                <w:i/>
                <w:iCs/>
              </w:rPr>
              <w:t>Species at Risk Act</w:t>
            </w:r>
            <w:r>
              <w:t>, SC 2002, c 29.</w:t>
            </w:r>
          </w:p>
        </w:tc>
        <w:tc>
          <w:tcPr>
            <w:tcW w:w="1597" w:type="dxa"/>
          </w:tcPr>
          <w:p w14:paraId="1F20AC7F" w14:textId="7ECA717D" w:rsidR="00ED3A5F" w:rsidRDefault="271D88AA">
            <w:pPr>
              <w:jc w:val="right"/>
            </w:pPr>
            <w:r>
              <w:t>72, 74</w:t>
            </w:r>
          </w:p>
        </w:tc>
      </w:tr>
    </w:tbl>
    <w:p w14:paraId="49FAD89D" w14:textId="2F4B1E7A" w:rsidR="51C8701F" w:rsidRDefault="51C8701F" w:rsidP="00266917">
      <w:pPr>
        <w:pStyle w:val="Heading1"/>
        <w:numPr>
          <w:ilvl w:val="0"/>
          <w:numId w:val="0"/>
        </w:numPr>
        <w:tabs>
          <w:tab w:val="num" w:pos="720"/>
        </w:tabs>
        <w:spacing w:before="0" w:after="0" w:line="360" w:lineRule="auto"/>
        <w:ind w:left="720"/>
        <w:rPr>
          <w:rFonts w:ascii="Times New Roman" w:hAnsi="Times New Roman"/>
          <w:sz w:val="24"/>
          <w:szCs w:val="24"/>
        </w:rPr>
      </w:pPr>
    </w:p>
    <w:p w14:paraId="2C490E4D" w14:textId="77777777" w:rsidR="00266917" w:rsidRDefault="00266917" w:rsidP="00266917"/>
    <w:p w14:paraId="7F40F354" w14:textId="77777777" w:rsidR="00D91B70" w:rsidRDefault="00D91B70" w:rsidP="51C8701F">
      <w:pPr>
        <w:pStyle w:val="Heading1"/>
        <w:numPr>
          <w:ilvl w:val="0"/>
          <w:numId w:val="0"/>
        </w:numPr>
        <w:tabs>
          <w:tab w:val="num" w:pos="720"/>
        </w:tabs>
        <w:spacing w:before="0" w:after="0" w:line="360" w:lineRule="auto"/>
        <w:rPr>
          <w:rFonts w:ascii="Times New Roman" w:hAnsi="Times New Roman"/>
          <w:sz w:val="24"/>
          <w:szCs w:val="24"/>
        </w:rPr>
      </w:pPr>
      <w:bookmarkStart w:id="31" w:name="_Toc220056514"/>
    </w:p>
    <w:p w14:paraId="2F7A4346" w14:textId="56F139BD" w:rsidR="004232FA" w:rsidRPr="00C35BAD" w:rsidRDefault="00266917" w:rsidP="00D91B70">
      <w:pPr>
        <w:pStyle w:val="Heading1"/>
        <w:numPr>
          <w:ilvl w:val="0"/>
          <w:numId w:val="0"/>
        </w:numPr>
        <w:tabs>
          <w:tab w:val="num" w:pos="720"/>
        </w:tabs>
        <w:spacing w:before="0" w:after="0"/>
        <w:rPr>
          <w:rFonts w:ascii="Times New Roman" w:hAnsi="Times New Roman"/>
          <w:sz w:val="24"/>
          <w:szCs w:val="24"/>
        </w:rPr>
      </w:pPr>
      <w:r>
        <w:rPr>
          <w:rFonts w:ascii="Times New Roman" w:hAnsi="Times New Roman"/>
          <w:sz w:val="24"/>
          <w:szCs w:val="24"/>
        </w:rPr>
        <w:t>PART VI--</w:t>
      </w:r>
      <w:r w:rsidR="00471DA0" w:rsidRPr="51C8701F">
        <w:rPr>
          <w:rFonts w:ascii="Times New Roman" w:hAnsi="Times New Roman"/>
          <w:sz w:val="24"/>
          <w:szCs w:val="24"/>
        </w:rPr>
        <w:t>LEGISLATION AT ISSUE</w:t>
      </w:r>
      <w:bookmarkEnd w:id="31"/>
      <w:r w:rsidR="0024187B" w:rsidRPr="51C8701F">
        <w:rPr>
          <w:rFonts w:ascii="Times New Roman" w:hAnsi="Times New Roman"/>
          <w:sz w:val="24"/>
          <w:szCs w:val="24"/>
        </w:rPr>
        <w:t xml:space="preserve"> </w:t>
      </w:r>
      <w:bookmarkStart w:id="32" w:name="_Toc220026853"/>
    </w:p>
    <w:bookmarkEnd w:id="32"/>
    <w:p w14:paraId="7D58E90B" w14:textId="77777777" w:rsidR="00D91B70" w:rsidRDefault="00C35BAD" w:rsidP="51C8701F">
      <w:pPr>
        <w:shd w:val="clear" w:color="auto" w:fill="FFFFFF" w:themeFill="background1"/>
        <w:spacing w:before="288"/>
        <w:rPr>
          <w:b/>
          <w:bCs/>
        </w:rPr>
      </w:pPr>
      <w:r w:rsidRPr="51C8701F">
        <w:rPr>
          <w:b/>
          <w:bCs/>
        </w:rPr>
        <w:t>Endangered Species Act, 2007, S.O. 2007, c. 6</w:t>
      </w:r>
    </w:p>
    <w:p w14:paraId="51E5BED5" w14:textId="402F9AF8" w:rsidR="000623D3" w:rsidRPr="00EE3B86" w:rsidRDefault="1CF7A07B" w:rsidP="51C8701F">
      <w:pPr>
        <w:shd w:val="clear" w:color="auto" w:fill="FFFFFF" w:themeFill="background1"/>
        <w:spacing w:before="288"/>
        <w:rPr>
          <w:b/>
          <w:bCs/>
        </w:rPr>
      </w:pPr>
      <w:r w:rsidRPr="51C8701F">
        <w:rPr>
          <w:b/>
          <w:bCs/>
        </w:rPr>
        <w:t>Definitions</w:t>
      </w:r>
    </w:p>
    <w:p w14:paraId="20FAC625" w14:textId="4EADE26B" w:rsidR="000623D3" w:rsidRPr="00EE3B86" w:rsidRDefault="1CF7A07B" w:rsidP="51C8701F">
      <w:pPr>
        <w:shd w:val="clear" w:color="auto" w:fill="FFFFFF" w:themeFill="background1"/>
        <w:spacing w:before="100"/>
        <w:jc w:val="both"/>
      </w:pPr>
      <w:r w:rsidRPr="51C8701F">
        <w:rPr>
          <w:b/>
          <w:bCs/>
        </w:rPr>
        <w:t xml:space="preserve">2 </w:t>
      </w:r>
      <w:r w:rsidRPr="51C8701F">
        <w:t xml:space="preserve">(1) </w:t>
      </w:r>
      <w:r w:rsidRPr="51C8701F">
        <w:rPr>
          <w:b/>
          <w:bCs/>
        </w:rPr>
        <w:t xml:space="preserve"> </w:t>
      </w:r>
      <w:r w:rsidRPr="51C8701F">
        <w:t>In this Act,</w:t>
      </w:r>
    </w:p>
    <w:p w14:paraId="49B9A11A" w14:textId="184A62FC" w:rsidR="000623D3" w:rsidRPr="00EE3B86" w:rsidRDefault="1CF7A07B" w:rsidP="00D91B70">
      <w:pPr>
        <w:shd w:val="clear" w:color="auto" w:fill="FFFFFF" w:themeFill="background1"/>
        <w:spacing w:before="111"/>
        <w:jc w:val="both"/>
      </w:pPr>
      <w:r w:rsidRPr="51C8701F">
        <w:t>“habitat” means, subject to subsection (3),</w:t>
      </w:r>
    </w:p>
    <w:p w14:paraId="03F5DA72" w14:textId="52B0113A" w:rsidR="000623D3" w:rsidRPr="00EE3B86" w:rsidRDefault="1CF7A07B" w:rsidP="51C8701F">
      <w:pPr>
        <w:shd w:val="clear" w:color="auto" w:fill="FFFFFF" w:themeFill="background1"/>
        <w:spacing w:before="111"/>
        <w:ind w:left="538"/>
        <w:jc w:val="both"/>
      </w:pPr>
      <w:r w:rsidRPr="51C8701F">
        <w:t>(a)  in respect of an animal species,</w:t>
      </w:r>
    </w:p>
    <w:p w14:paraId="46B11FD9" w14:textId="1C975D36" w:rsidR="000623D3" w:rsidRPr="00EE3B86" w:rsidRDefault="1CF7A07B" w:rsidP="51C8701F">
      <w:pPr>
        <w:shd w:val="clear" w:color="auto" w:fill="FFFFFF" w:themeFill="background1"/>
        <w:spacing w:before="111"/>
        <w:ind w:left="955"/>
        <w:jc w:val="both"/>
      </w:pPr>
      <w:r w:rsidRPr="51C8701F">
        <w:t>(i)  a dwelling-place, such as a den, nest or other similar place, that is occupied or habitually occupied by one or more members of a species for the purposes of breeding, rearing, staging, wintering or hibernating, and</w:t>
      </w:r>
    </w:p>
    <w:p w14:paraId="11651FC1" w14:textId="6D0962BA" w:rsidR="000623D3" w:rsidRPr="00EE3B86" w:rsidRDefault="1CF7A07B" w:rsidP="51C8701F">
      <w:pPr>
        <w:shd w:val="clear" w:color="auto" w:fill="FFFFFF" w:themeFill="background1"/>
        <w:spacing w:before="111"/>
        <w:ind w:left="955"/>
        <w:jc w:val="both"/>
      </w:pPr>
      <w:r w:rsidRPr="51C8701F">
        <w:t>(ii)  the area immediately around a dwelling place described in subclause (i) that is essential for the purposes set out in that subclause.</w:t>
      </w:r>
    </w:p>
    <w:p w14:paraId="58664A1D" w14:textId="3A913FCC" w:rsidR="000623D3" w:rsidRPr="00EE3B86" w:rsidRDefault="1CF7A07B" w:rsidP="51C8701F">
      <w:pPr>
        <w:shd w:val="clear" w:color="auto" w:fill="FFFFFF" w:themeFill="background1"/>
        <w:spacing w:before="111"/>
        <w:ind w:left="538"/>
        <w:jc w:val="both"/>
      </w:pPr>
      <w:r w:rsidRPr="51C8701F">
        <w:t>(b)  in respect of a vascular plant species, the critical root zone surrounding a member of the species, and</w:t>
      </w:r>
    </w:p>
    <w:p w14:paraId="60E649EA" w14:textId="355D4751" w:rsidR="000623D3" w:rsidRPr="00EE3B86" w:rsidRDefault="1CF7A07B" w:rsidP="51C8701F">
      <w:pPr>
        <w:shd w:val="clear" w:color="auto" w:fill="FFFFFF" w:themeFill="background1"/>
        <w:spacing w:before="111"/>
        <w:ind w:left="538"/>
        <w:jc w:val="both"/>
      </w:pPr>
      <w:r w:rsidRPr="51C8701F">
        <w:t>(c)  in respect of all other species, an area on which any member of a species directly depends in order to carry on its life processes; (“habitat”)</w:t>
      </w:r>
    </w:p>
    <w:p w14:paraId="3470F8C4" w14:textId="1285B422" w:rsidR="000623D3" w:rsidRPr="00EE3B86" w:rsidRDefault="1CF7A07B" w:rsidP="51C8701F">
      <w:pPr>
        <w:shd w:val="clear" w:color="auto" w:fill="FFFFFF" w:themeFill="background1"/>
        <w:spacing w:before="288"/>
        <w:jc w:val="both"/>
        <w:rPr>
          <w:b/>
          <w:bCs/>
        </w:rPr>
      </w:pPr>
      <w:r w:rsidRPr="51C8701F">
        <w:rPr>
          <w:b/>
          <w:bCs/>
        </w:rPr>
        <w:t>Definition of “habitat”</w:t>
      </w:r>
    </w:p>
    <w:p w14:paraId="75C93957" w14:textId="033F0980" w:rsidR="000623D3" w:rsidRPr="00EE3B86" w:rsidRDefault="1CF7A07B" w:rsidP="00D91B70">
      <w:pPr>
        <w:shd w:val="clear" w:color="auto" w:fill="FFFFFF" w:themeFill="background1"/>
        <w:spacing w:before="100"/>
        <w:jc w:val="both"/>
      </w:pPr>
      <w:r w:rsidRPr="51C8701F">
        <w:t>(2) For greater certainty, the definition of “habitat” in subsection (1) does not include an area where the species formerly occurred or has the potential to be reintroduced unless existing members of the species depend on that area to carry on their life processes.  2007, c. 6, s. 2 (2); 2025, c. 4, Sched. 2, s. 2 (9).</w:t>
      </w:r>
    </w:p>
    <w:p w14:paraId="3239045B" w14:textId="187763D2" w:rsidR="000623D3" w:rsidRPr="00EE3B86" w:rsidRDefault="1CF7A07B" w:rsidP="51C8701F">
      <w:pPr>
        <w:shd w:val="clear" w:color="auto" w:fill="FFFFFF" w:themeFill="background1"/>
        <w:spacing w:before="288"/>
        <w:jc w:val="both"/>
        <w:rPr>
          <w:b/>
          <w:bCs/>
        </w:rPr>
      </w:pPr>
      <w:r w:rsidRPr="51C8701F">
        <w:rPr>
          <w:b/>
          <w:bCs/>
        </w:rPr>
        <w:t>Prohibition on damage to habitat, etc.</w:t>
      </w:r>
    </w:p>
    <w:p w14:paraId="147A24A2" w14:textId="103BCF73" w:rsidR="000623D3" w:rsidRPr="00EE3B86" w:rsidRDefault="1CF7A07B" w:rsidP="51C8701F">
      <w:pPr>
        <w:shd w:val="clear" w:color="auto" w:fill="FFFFFF" w:themeFill="background1"/>
        <w:spacing w:before="100"/>
        <w:jc w:val="both"/>
      </w:pPr>
      <w:r w:rsidRPr="51C8701F">
        <w:rPr>
          <w:b/>
          <w:bCs/>
        </w:rPr>
        <w:t xml:space="preserve">10 </w:t>
      </w:r>
      <w:r w:rsidRPr="51C8701F">
        <w:t>(1) No person shall damage or destroy the habitat of,</w:t>
      </w:r>
    </w:p>
    <w:p w14:paraId="5B847051" w14:textId="60BC64EE" w:rsidR="000623D3" w:rsidRPr="00EE3B86" w:rsidRDefault="1CF7A07B" w:rsidP="51C8701F">
      <w:pPr>
        <w:shd w:val="clear" w:color="auto" w:fill="FFFFFF" w:themeFill="background1"/>
        <w:spacing w:before="111"/>
        <w:ind w:left="538"/>
        <w:jc w:val="both"/>
      </w:pPr>
      <w:r w:rsidRPr="51C8701F">
        <w:t>(a)  a species that is listed on the Species at Risk in Ontario List as an endangered or threatened species; or</w:t>
      </w:r>
    </w:p>
    <w:p w14:paraId="5AD318A4" w14:textId="2ADAC98A" w:rsidR="000623D3" w:rsidRDefault="1CF7A07B" w:rsidP="51C8701F">
      <w:pPr>
        <w:shd w:val="clear" w:color="auto" w:fill="FFFFFF" w:themeFill="background1"/>
        <w:spacing w:before="111"/>
        <w:ind w:left="538"/>
        <w:jc w:val="both"/>
      </w:pPr>
      <w:r w:rsidRPr="51C8701F">
        <w:t>(b)  a species that is listed on the Species at Risk in Ontario List as an extirpated species, if the species is prescribed by the regulations for the purpose of this clause.  2007, c. 6, s. 10 (1).</w:t>
      </w:r>
    </w:p>
    <w:p w14:paraId="3660C15B" w14:textId="14D66E21" w:rsidR="000623D3" w:rsidRPr="00EE3B86" w:rsidRDefault="000623D3" w:rsidP="51C8701F">
      <w:pPr>
        <w:jc w:val="both"/>
      </w:pPr>
    </w:p>
    <w:p w14:paraId="4BE32F51" w14:textId="40F2B104" w:rsidR="5661007D" w:rsidRDefault="3069EDE1" w:rsidP="51C8701F">
      <w:pPr>
        <w:pStyle w:val="WSParaNum"/>
        <w:numPr>
          <w:ilvl w:val="0"/>
          <w:numId w:val="0"/>
        </w:numPr>
        <w:rPr>
          <w:i/>
          <w:iCs/>
        </w:rPr>
      </w:pPr>
      <w:r w:rsidRPr="51C8701F">
        <w:rPr>
          <w:i/>
          <w:iCs/>
        </w:rPr>
        <w:t xml:space="preserve">Protect Ontario by Unleashing our Economy Act, </w:t>
      </w:r>
      <w:r w:rsidRPr="51C8701F">
        <w:t>2025 SO 2025, c 4 - Bill 5</w:t>
      </w:r>
    </w:p>
    <w:p w14:paraId="34FA87ED" w14:textId="697C04C4" w:rsidR="3069EDE1" w:rsidRDefault="3069EDE1" w:rsidP="51C8701F">
      <w:pPr>
        <w:shd w:val="clear" w:color="auto" w:fill="FFFFFF" w:themeFill="background1"/>
        <w:spacing w:before="100"/>
        <w:jc w:val="both"/>
        <w:rPr>
          <w:b/>
          <w:bCs/>
        </w:rPr>
      </w:pPr>
      <w:r w:rsidRPr="51C8701F">
        <w:rPr>
          <w:b/>
          <w:bCs/>
        </w:rPr>
        <w:t>(3) The definition of “habitat” in subsection 2 (1) of the Act is repealed and the following substituted:</w:t>
      </w:r>
    </w:p>
    <w:p w14:paraId="2DC1DFD0" w14:textId="54B7B3A0" w:rsidR="3069EDE1" w:rsidRDefault="3069EDE1" w:rsidP="51C8701F">
      <w:pPr>
        <w:shd w:val="clear" w:color="auto" w:fill="FFFFFF" w:themeFill="background1"/>
        <w:spacing w:before="111"/>
        <w:ind w:left="189"/>
        <w:jc w:val="both"/>
      </w:pPr>
      <w:r w:rsidRPr="51C8701F">
        <w:t>“habitat” means, subject to subsection (3),</w:t>
      </w:r>
    </w:p>
    <w:p w14:paraId="1F5ECA21" w14:textId="1AB55C04" w:rsidR="3069EDE1" w:rsidRDefault="3069EDE1" w:rsidP="51C8701F">
      <w:pPr>
        <w:shd w:val="clear" w:color="auto" w:fill="FFFFFF" w:themeFill="background1"/>
        <w:spacing w:before="111"/>
        <w:ind w:left="538"/>
        <w:jc w:val="both"/>
      </w:pPr>
      <w:r w:rsidRPr="51C8701F">
        <w:t>(a)  in respect of an animal species,</w:t>
      </w:r>
    </w:p>
    <w:p w14:paraId="24A88B86" w14:textId="46B76679" w:rsidR="3069EDE1" w:rsidRDefault="3069EDE1" w:rsidP="51C8701F">
      <w:pPr>
        <w:shd w:val="clear" w:color="auto" w:fill="FFFFFF" w:themeFill="background1"/>
        <w:spacing w:before="111"/>
        <w:ind w:left="955"/>
        <w:jc w:val="both"/>
      </w:pPr>
      <w:r w:rsidRPr="51C8701F">
        <w:lastRenderedPageBreak/>
        <w:t>(i)  a dwelling-place, such as a den, nest or other similar place, that is occupied or habitually occupied by one or more members of a species for the purposes of breeding, rearing, staging, wintering or hibernating, and</w:t>
      </w:r>
    </w:p>
    <w:p w14:paraId="50B907C6" w14:textId="504D099A" w:rsidR="3069EDE1" w:rsidRDefault="3069EDE1" w:rsidP="51C8701F">
      <w:pPr>
        <w:shd w:val="clear" w:color="auto" w:fill="FFFFFF" w:themeFill="background1"/>
        <w:spacing w:before="111"/>
        <w:ind w:left="955"/>
        <w:jc w:val="both"/>
      </w:pPr>
      <w:r w:rsidRPr="51C8701F">
        <w:t>(ii)  the area immediately around a dwelling place described in subclause (i) that is essential for the purposes set out in that subclause.</w:t>
      </w:r>
    </w:p>
    <w:p w14:paraId="17DE0177" w14:textId="274A2740" w:rsidR="3069EDE1" w:rsidRDefault="3069EDE1" w:rsidP="51C8701F">
      <w:pPr>
        <w:shd w:val="clear" w:color="auto" w:fill="FFFFFF" w:themeFill="background1"/>
        <w:spacing w:before="111"/>
        <w:ind w:left="538"/>
        <w:jc w:val="both"/>
      </w:pPr>
      <w:r w:rsidRPr="51C8701F">
        <w:t>(b)  in respect of a vascular plant species, the critical root zone surrounding a member of the species, and</w:t>
      </w:r>
    </w:p>
    <w:p w14:paraId="10A8C588" w14:textId="674D6D06" w:rsidR="3069EDE1" w:rsidRDefault="3069EDE1" w:rsidP="51C8701F">
      <w:pPr>
        <w:shd w:val="clear" w:color="auto" w:fill="FFFFFF" w:themeFill="background1"/>
        <w:spacing w:before="111"/>
        <w:ind w:left="538"/>
        <w:jc w:val="both"/>
      </w:pPr>
      <w:r w:rsidRPr="51C8701F">
        <w:t>(c)  in respect of all other species, an area on which any member of a species directly depends in order to carry on its life processes; (“habitat”)</w:t>
      </w:r>
    </w:p>
    <w:p w14:paraId="515353A6" w14:textId="3F444858" w:rsidR="77D419B0" w:rsidRDefault="77D419B0" w:rsidP="77D419B0">
      <w:pPr>
        <w:jc w:val="both"/>
      </w:pPr>
    </w:p>
    <w:p w14:paraId="323F16F4" w14:textId="0EDA2038" w:rsidR="000623D3" w:rsidRPr="00EE3B86" w:rsidRDefault="000623D3" w:rsidP="008D22C7">
      <w:pPr>
        <w:sectPr w:rsidR="000623D3" w:rsidRPr="00EE3B86" w:rsidSect="00E91273">
          <w:headerReference w:type="default" r:id="rId21"/>
          <w:pgSz w:w="12240" w:h="15840" w:code="1"/>
          <w:pgMar w:top="1440" w:right="1440" w:bottom="1440" w:left="1440" w:header="720" w:footer="720" w:gutter="0"/>
          <w:pgNumType w:start="1"/>
          <w:cols w:space="720"/>
          <w:docGrid w:linePitch="360"/>
        </w:sectPr>
      </w:pPr>
    </w:p>
    <w:tbl>
      <w:tblPr>
        <w:tblW w:w="5000" w:type="pct"/>
        <w:tblLayout w:type="fixed"/>
        <w:tblCellMar>
          <w:left w:w="0" w:type="dxa"/>
          <w:right w:w="0" w:type="dxa"/>
        </w:tblCellMar>
        <w:tblLook w:val="0000" w:firstRow="0" w:lastRow="0" w:firstColumn="0" w:lastColumn="0" w:noHBand="0" w:noVBand="0"/>
      </w:tblPr>
      <w:tblGrid>
        <w:gridCol w:w="5941"/>
        <w:gridCol w:w="1105"/>
        <w:gridCol w:w="5914"/>
      </w:tblGrid>
      <w:tr w:rsidR="00663B7A" w:rsidRPr="00EE3B86" w14:paraId="68AC1881" w14:textId="77777777" w:rsidTr="00663B7A">
        <w:tc>
          <w:tcPr>
            <w:tcW w:w="5941" w:type="dxa"/>
            <w:tcBorders>
              <w:top w:val="nil"/>
              <w:left w:val="nil"/>
              <w:bottom w:val="nil"/>
              <w:right w:val="nil"/>
            </w:tcBorders>
          </w:tcPr>
          <w:p w14:paraId="4652A02C" w14:textId="053519BA" w:rsidR="002F3DDD" w:rsidRPr="00EE3B86" w:rsidRDefault="00E91273" w:rsidP="00C573D9">
            <w:pPr>
              <w:spacing w:line="1" w:lineRule="atLeast"/>
              <w:rPr>
                <w:rStyle w:val="Bold"/>
              </w:rPr>
            </w:pPr>
            <w:r w:rsidRPr="00EE3B86">
              <w:rPr>
                <w:rStyle w:val="Bold"/>
              </w:rPr>
              <w:lastRenderedPageBreak/>
              <w:t>HIS MAJESTY THE KING</w:t>
            </w:r>
          </w:p>
        </w:tc>
        <w:tc>
          <w:tcPr>
            <w:tcW w:w="1105" w:type="dxa"/>
            <w:tcBorders>
              <w:top w:val="nil"/>
              <w:left w:val="nil"/>
              <w:bottom w:val="nil"/>
              <w:right w:val="nil"/>
            </w:tcBorders>
          </w:tcPr>
          <w:p w14:paraId="6AD79352" w14:textId="77777777" w:rsidR="00663B7A" w:rsidRPr="00EE3B86" w:rsidRDefault="00663B7A" w:rsidP="00663B7A">
            <w:pPr>
              <w:spacing w:line="1" w:lineRule="atLeast"/>
              <w:ind w:left="-479"/>
              <w:jc w:val="center"/>
              <w:rPr>
                <w:b/>
                <w:color w:val="000000"/>
              </w:rPr>
            </w:pPr>
            <w:r w:rsidRPr="00EE3B86">
              <w:rPr>
                <w:b/>
                <w:color w:val="000000" w:themeColor="text1"/>
              </w:rPr>
              <w:t>-and-</w:t>
            </w:r>
          </w:p>
        </w:tc>
        <w:tc>
          <w:tcPr>
            <w:tcW w:w="5914" w:type="dxa"/>
            <w:tcBorders>
              <w:top w:val="nil"/>
              <w:left w:val="nil"/>
              <w:bottom w:val="nil"/>
              <w:right w:val="nil"/>
            </w:tcBorders>
          </w:tcPr>
          <w:p w14:paraId="6B3B9ABC" w14:textId="7113FE9F" w:rsidR="00663B7A" w:rsidRPr="00EE3B86" w:rsidRDefault="00E91273" w:rsidP="00216A01">
            <w:pPr>
              <w:spacing w:line="1" w:lineRule="atLeast"/>
              <w:jc w:val="right"/>
              <w:rPr>
                <w:b/>
                <w:color w:val="000000"/>
              </w:rPr>
            </w:pPr>
            <w:r w:rsidRPr="00EE3B86">
              <w:rPr>
                <w:b/>
                <w:color w:val="000000"/>
              </w:rPr>
              <w:t>CONSOLIDATED HOMES</w:t>
            </w:r>
            <w:r w:rsidR="00E052B6" w:rsidRPr="00EE3B86">
              <w:rPr>
                <w:b/>
                <w:color w:val="000000"/>
              </w:rPr>
              <w:t xml:space="preserve"> LTD.</w:t>
            </w:r>
          </w:p>
        </w:tc>
      </w:tr>
      <w:tr w:rsidR="00663B7A" w:rsidRPr="00EE3B86" w14:paraId="5627B7E1" w14:textId="77777777" w:rsidTr="00663B7A">
        <w:tc>
          <w:tcPr>
            <w:tcW w:w="5941" w:type="dxa"/>
            <w:tcBorders>
              <w:top w:val="nil"/>
              <w:left w:val="nil"/>
              <w:bottom w:val="nil"/>
              <w:right w:val="nil"/>
            </w:tcBorders>
          </w:tcPr>
          <w:p w14:paraId="2D34F098" w14:textId="6128A87E" w:rsidR="00663B7A" w:rsidRPr="00EE3B86" w:rsidRDefault="00663B7A" w:rsidP="00CE6DCA">
            <w:pPr>
              <w:spacing w:line="1" w:lineRule="atLeast"/>
              <w:rPr>
                <w:color w:val="000000"/>
              </w:rPr>
            </w:pPr>
            <w:r w:rsidRPr="00EE3B86">
              <w:rPr>
                <w:color w:val="000000" w:themeColor="text1"/>
              </w:rPr>
              <w:t>APPELLANT</w:t>
            </w:r>
            <w:r w:rsidRPr="00EE3B86">
              <w:br/>
            </w:r>
          </w:p>
        </w:tc>
        <w:tc>
          <w:tcPr>
            <w:tcW w:w="1105" w:type="dxa"/>
            <w:tcBorders>
              <w:top w:val="nil"/>
              <w:left w:val="nil"/>
              <w:bottom w:val="nil"/>
              <w:right w:val="nil"/>
            </w:tcBorders>
          </w:tcPr>
          <w:p w14:paraId="62FEC7FD" w14:textId="77777777" w:rsidR="00663B7A" w:rsidRPr="00EE3B86" w:rsidRDefault="00663B7A">
            <w:pPr>
              <w:spacing w:line="1" w:lineRule="atLeast"/>
              <w:jc w:val="center"/>
              <w:rPr>
                <w:color w:val="000000"/>
              </w:rPr>
            </w:pPr>
          </w:p>
        </w:tc>
        <w:tc>
          <w:tcPr>
            <w:tcW w:w="5914" w:type="dxa"/>
            <w:tcBorders>
              <w:top w:val="nil"/>
              <w:left w:val="nil"/>
              <w:bottom w:val="nil"/>
              <w:right w:val="nil"/>
            </w:tcBorders>
          </w:tcPr>
          <w:p w14:paraId="634B2DC5" w14:textId="312DA9C4" w:rsidR="00663B7A" w:rsidRPr="00EE3B86" w:rsidRDefault="00CE6DCA" w:rsidP="00CE6DCA">
            <w:pPr>
              <w:spacing w:line="1" w:lineRule="atLeast"/>
              <w:jc w:val="right"/>
              <w:rPr>
                <w:color w:val="000000"/>
              </w:rPr>
            </w:pPr>
            <w:r w:rsidRPr="00EE3B86">
              <w:rPr>
                <w:color w:val="000000" w:themeColor="text1"/>
              </w:rPr>
              <w:t>RESPONDENT</w:t>
            </w:r>
            <w:r w:rsidRPr="00EE3B86">
              <w:br/>
            </w:r>
          </w:p>
        </w:tc>
      </w:tr>
    </w:tbl>
    <w:p w14:paraId="4CC6205C" w14:textId="2AB43AAB" w:rsidR="00663B7A" w:rsidRPr="00EE3B86" w:rsidRDefault="00C606E4" w:rsidP="00663B7A">
      <w:pPr>
        <w:spacing w:before="240"/>
        <w:jc w:val="right"/>
        <w:rPr>
          <w:noProof/>
        </w:rPr>
      </w:pPr>
      <w:r w:rsidRPr="00EE3B86">
        <w:t>S.</w:t>
      </w:r>
      <w:r w:rsidR="00896769" w:rsidRPr="00EE3B86">
        <w:t>E.M.C.C. File Number: 0</w:t>
      </w:r>
      <w:r w:rsidR="00E052B6" w:rsidRPr="00EE3B86">
        <w:t>2</w:t>
      </w:r>
      <w:r w:rsidR="00896769" w:rsidRPr="00EE3B86">
        <w:t>-</w:t>
      </w:r>
      <w:r w:rsidR="00E91273" w:rsidRPr="00EE3B86">
        <w:t>14</w:t>
      </w:r>
      <w:r w:rsidR="00896769" w:rsidRPr="00EE3B86">
        <w:t>-</w:t>
      </w:r>
      <w:r w:rsidR="00915A04" w:rsidRPr="00EE3B86">
        <w:t>202</w:t>
      </w:r>
      <w:r w:rsidR="00E91273" w:rsidRPr="00EE3B86">
        <w:t>6</w:t>
      </w:r>
    </w:p>
    <w:tbl>
      <w:tblPr>
        <w:tblW w:w="13230" w:type="dxa"/>
        <w:tblInd w:w="-72" w:type="dxa"/>
        <w:tblLayout w:type="fixed"/>
        <w:tblLook w:val="0000" w:firstRow="0" w:lastRow="0" w:firstColumn="0" w:lastColumn="0" w:noHBand="0" w:noVBand="0"/>
      </w:tblPr>
      <w:tblGrid>
        <w:gridCol w:w="8729"/>
        <w:gridCol w:w="4501"/>
      </w:tblGrid>
      <w:tr w:rsidR="00663B7A" w:rsidRPr="00EE3B86" w14:paraId="2BFF4952" w14:textId="77777777" w:rsidTr="00EF7E0B">
        <w:trPr>
          <w:cantSplit/>
          <w:trHeight w:val="1065"/>
        </w:trPr>
        <w:tc>
          <w:tcPr>
            <w:tcW w:w="8729" w:type="dxa"/>
            <w:vMerge w:val="restart"/>
            <w:tcBorders>
              <w:top w:val="single" w:sz="6" w:space="0" w:color="auto"/>
              <w:left w:val="nil"/>
              <w:bottom w:val="nil"/>
              <w:right w:val="nil"/>
            </w:tcBorders>
          </w:tcPr>
          <w:p w14:paraId="67D4394B" w14:textId="77777777" w:rsidR="00663B7A" w:rsidRPr="00EE3B86" w:rsidRDefault="00663B7A">
            <w:pPr>
              <w:rPr>
                <w:noProof/>
              </w:rPr>
            </w:pPr>
          </w:p>
          <w:p w14:paraId="53A6E436" w14:textId="77777777" w:rsidR="00663B7A" w:rsidRPr="00EE3B86" w:rsidRDefault="00663B7A">
            <w:pPr>
              <w:rPr>
                <w:noProof/>
              </w:rPr>
            </w:pPr>
          </w:p>
        </w:tc>
        <w:tc>
          <w:tcPr>
            <w:tcW w:w="4501" w:type="dxa"/>
            <w:tcBorders>
              <w:top w:val="single" w:sz="6" w:space="0" w:color="auto"/>
              <w:left w:val="single" w:sz="6" w:space="0" w:color="auto"/>
              <w:bottom w:val="double" w:sz="4" w:space="0" w:color="auto"/>
              <w:right w:val="nil"/>
            </w:tcBorders>
          </w:tcPr>
          <w:p w14:paraId="448DD005" w14:textId="77777777" w:rsidR="00663B7A" w:rsidRPr="00EE3B86" w:rsidRDefault="00663B7A" w:rsidP="00031F01">
            <w:pPr>
              <w:jc w:val="center"/>
              <w:rPr>
                <w:noProof/>
              </w:rPr>
            </w:pPr>
          </w:p>
          <w:p w14:paraId="0F7238F2" w14:textId="77777777" w:rsidR="00663B7A" w:rsidRPr="00EE3B86" w:rsidRDefault="00663B7A" w:rsidP="00031F01">
            <w:pPr>
              <w:pStyle w:val="TitleBold"/>
              <w:rPr>
                <w:b w:val="0"/>
                <w:sz w:val="24"/>
              </w:rPr>
            </w:pPr>
            <w:r w:rsidRPr="00EE3B86">
              <w:rPr>
                <w:b w:val="0"/>
                <w:sz w:val="24"/>
              </w:rPr>
              <w:t>SUPREME ENVIRONMENTAL MOOT COURT OF CANADA</w:t>
            </w:r>
            <w:r w:rsidRPr="00EE3B86">
              <w:br/>
            </w:r>
          </w:p>
        </w:tc>
      </w:tr>
      <w:tr w:rsidR="00663B7A" w:rsidRPr="00EE3B86" w14:paraId="65A63C80" w14:textId="77777777" w:rsidTr="08DD450C">
        <w:trPr>
          <w:cantSplit/>
          <w:trHeight w:val="1221"/>
        </w:trPr>
        <w:tc>
          <w:tcPr>
            <w:tcW w:w="8729" w:type="dxa"/>
            <w:vMerge/>
          </w:tcPr>
          <w:p w14:paraId="7BACAB79" w14:textId="77777777" w:rsidR="00663B7A" w:rsidRPr="00EE3B86" w:rsidRDefault="00663B7A">
            <w:pPr>
              <w:rPr>
                <w:noProof/>
              </w:rPr>
            </w:pPr>
          </w:p>
        </w:tc>
        <w:tc>
          <w:tcPr>
            <w:tcW w:w="4501" w:type="dxa"/>
            <w:tcBorders>
              <w:top w:val="double" w:sz="4" w:space="0" w:color="auto"/>
              <w:left w:val="single" w:sz="6" w:space="0" w:color="auto"/>
              <w:bottom w:val="double" w:sz="4" w:space="0" w:color="auto"/>
              <w:right w:val="nil"/>
            </w:tcBorders>
          </w:tcPr>
          <w:p w14:paraId="2A3B353F" w14:textId="77777777" w:rsidR="00663B7A" w:rsidRPr="00EE3B86" w:rsidRDefault="00663B7A" w:rsidP="00031F01">
            <w:pPr>
              <w:jc w:val="center"/>
              <w:rPr>
                <w:b/>
                <w:bCs/>
                <w:noProof/>
              </w:rPr>
            </w:pPr>
          </w:p>
          <w:p w14:paraId="3C768821" w14:textId="77777777" w:rsidR="00663B7A" w:rsidRPr="00EE3B86" w:rsidRDefault="00663B7A" w:rsidP="00031F01">
            <w:pPr>
              <w:jc w:val="center"/>
              <w:rPr>
                <w:b/>
                <w:bCs/>
                <w:noProof/>
              </w:rPr>
            </w:pPr>
            <w:r w:rsidRPr="00EE3B86">
              <w:rPr>
                <w:b/>
                <w:bCs/>
                <w:noProof/>
              </w:rPr>
              <w:t xml:space="preserve">FACTUM OF THE </w:t>
            </w:r>
            <w:r w:rsidR="00EE2290" w:rsidRPr="00EE3B86">
              <w:rPr>
                <w:b/>
                <w:bCs/>
                <w:noProof/>
              </w:rPr>
              <w:t>RESPONDENT</w:t>
            </w:r>
          </w:p>
          <w:p w14:paraId="4E9465D9" w14:textId="1D376E30" w:rsidR="00C300C4" w:rsidRPr="00EE3B86" w:rsidRDefault="00E91273" w:rsidP="001655FD">
            <w:pPr>
              <w:jc w:val="center"/>
              <w:rPr>
                <w:b/>
                <w:bCs/>
                <w:noProof/>
              </w:rPr>
            </w:pPr>
            <w:r w:rsidRPr="00EE3B86">
              <w:rPr>
                <w:b/>
                <w:color w:val="000000"/>
              </w:rPr>
              <w:t>CONSOLIDATED HOMES</w:t>
            </w:r>
            <w:r w:rsidR="00E052B6" w:rsidRPr="00EE3B86">
              <w:rPr>
                <w:b/>
                <w:color w:val="000000"/>
              </w:rPr>
              <w:t xml:space="preserve"> LTD.</w:t>
            </w:r>
          </w:p>
          <w:p w14:paraId="08A2B92A" w14:textId="77777777" w:rsidR="00890B0B" w:rsidRPr="00EE3B86" w:rsidRDefault="00890B0B" w:rsidP="001655FD">
            <w:pPr>
              <w:jc w:val="center"/>
              <w:rPr>
                <w:b/>
                <w:bCs/>
                <w:noProof/>
              </w:rPr>
            </w:pPr>
          </w:p>
        </w:tc>
      </w:tr>
      <w:tr w:rsidR="00663B7A" w:rsidRPr="00EE3B86" w14:paraId="7951E9B4" w14:textId="77777777" w:rsidTr="08DD450C">
        <w:trPr>
          <w:trHeight w:val="4155"/>
        </w:trPr>
        <w:tc>
          <w:tcPr>
            <w:tcW w:w="8729" w:type="dxa"/>
            <w:vMerge/>
          </w:tcPr>
          <w:p w14:paraId="356BD5D7" w14:textId="77777777" w:rsidR="00663B7A" w:rsidRPr="00EE3B86" w:rsidRDefault="00663B7A">
            <w:pPr>
              <w:rPr>
                <w:noProof/>
              </w:rPr>
            </w:pPr>
          </w:p>
        </w:tc>
        <w:tc>
          <w:tcPr>
            <w:tcW w:w="4501" w:type="dxa"/>
            <w:tcBorders>
              <w:top w:val="double" w:sz="4" w:space="0" w:color="auto"/>
              <w:left w:val="single" w:sz="6" w:space="0" w:color="auto"/>
              <w:bottom w:val="nil"/>
              <w:right w:val="nil"/>
            </w:tcBorders>
          </w:tcPr>
          <w:p w14:paraId="04F75CB2" w14:textId="77777777" w:rsidR="00663B7A" w:rsidRPr="00EE3B86" w:rsidRDefault="00663B7A" w:rsidP="00031F01">
            <w:pPr>
              <w:pStyle w:val="BodyText"/>
              <w:jc w:val="center"/>
              <w:rPr>
                <w:noProof/>
              </w:rPr>
            </w:pPr>
          </w:p>
          <w:p w14:paraId="20ABC5FF" w14:textId="678F9219" w:rsidR="00663B7A" w:rsidRPr="00EE3B86" w:rsidRDefault="00663B7A" w:rsidP="00031F01">
            <w:pPr>
              <w:widowControl w:val="0"/>
              <w:ind w:left="96"/>
              <w:jc w:val="center"/>
              <w:rPr>
                <w:b/>
                <w:bCs/>
              </w:rPr>
            </w:pPr>
            <w:r w:rsidRPr="00EE3B86">
              <w:rPr>
                <w:b/>
                <w:bCs/>
              </w:rPr>
              <w:t>TEAM #</w:t>
            </w:r>
            <w:r w:rsidR="00AA6B31">
              <w:rPr>
                <w:b/>
                <w:bCs/>
              </w:rPr>
              <w:t>2026-12</w:t>
            </w:r>
          </w:p>
          <w:p w14:paraId="78D79D5A" w14:textId="77777777" w:rsidR="00287298" w:rsidRPr="00EE3B86" w:rsidRDefault="00287298" w:rsidP="00031F01">
            <w:pPr>
              <w:widowControl w:val="0"/>
              <w:ind w:left="96"/>
              <w:jc w:val="center"/>
              <w:rPr>
                <w:b/>
                <w:bCs/>
              </w:rPr>
            </w:pPr>
          </w:p>
          <w:p w14:paraId="684F74E5" w14:textId="0D1B8C2E" w:rsidR="00287298" w:rsidRPr="008F0B83" w:rsidRDefault="008F0B83" w:rsidP="00AA6B31">
            <w:pPr>
              <w:widowControl w:val="0"/>
              <w:ind w:left="96"/>
              <w:jc w:val="center"/>
            </w:pPr>
            <w:r w:rsidRPr="008F0B83">
              <w:t>Rory McGarvey</w:t>
            </w:r>
          </w:p>
          <w:p w14:paraId="6E8B696F" w14:textId="0ACA818D" w:rsidR="008F0B83" w:rsidRDefault="008F0B83" w:rsidP="00AA6B31">
            <w:pPr>
              <w:widowControl w:val="0"/>
              <w:ind w:left="96"/>
              <w:jc w:val="center"/>
            </w:pPr>
            <w:r w:rsidRPr="008F0B83">
              <w:t>Grace Gallant</w:t>
            </w:r>
          </w:p>
          <w:p w14:paraId="54F9C24A" w14:textId="77777777" w:rsidR="00DF5517" w:rsidRPr="008F0B83" w:rsidRDefault="00DF5517" w:rsidP="00AA6B31">
            <w:pPr>
              <w:widowControl w:val="0"/>
              <w:ind w:left="96"/>
              <w:jc w:val="center"/>
            </w:pPr>
          </w:p>
          <w:p w14:paraId="4B447398" w14:textId="77777777" w:rsidR="00287298" w:rsidRPr="00EE3B86" w:rsidRDefault="000B51BA" w:rsidP="00287298">
            <w:pPr>
              <w:widowControl w:val="0"/>
              <w:ind w:left="96"/>
              <w:jc w:val="center"/>
              <w:rPr>
                <w:bCs/>
              </w:rPr>
            </w:pPr>
            <w:r w:rsidRPr="00EE3B86">
              <w:rPr>
                <w:bCs/>
              </w:rPr>
              <w:t>Counsel</w:t>
            </w:r>
            <w:r w:rsidR="00287298" w:rsidRPr="00EE3B86">
              <w:rPr>
                <w:bCs/>
              </w:rPr>
              <w:t xml:space="preserve"> for the Respondent,</w:t>
            </w:r>
          </w:p>
          <w:p w14:paraId="32015CCD" w14:textId="302FA017" w:rsidR="00287298" w:rsidRPr="00EE3B86" w:rsidRDefault="00E91273" w:rsidP="00EF6D27">
            <w:pPr>
              <w:jc w:val="center"/>
              <w:rPr>
                <w:color w:val="000000"/>
              </w:rPr>
            </w:pPr>
            <w:r w:rsidRPr="00EE3B86">
              <w:t>Consolidated Homes</w:t>
            </w:r>
            <w:r w:rsidR="00594299" w:rsidRPr="00EE3B86">
              <w:t xml:space="preserve"> Ltd.</w:t>
            </w:r>
          </w:p>
        </w:tc>
      </w:tr>
    </w:tbl>
    <w:p w14:paraId="72867BEF" w14:textId="49128014" w:rsidR="00501E7F" w:rsidRDefault="00501E7F" w:rsidP="0073382C">
      <w:pPr>
        <w:pStyle w:val="DocsID"/>
      </w:pPr>
    </w:p>
    <w:p w14:paraId="40DB7E31" w14:textId="483C9D3B" w:rsidR="00643776" w:rsidRPr="00EE3B86" w:rsidRDefault="00643776" w:rsidP="00643776">
      <w:pPr>
        <w:pStyle w:val="DocsID"/>
        <w:spacing w:before="0" w:line="180" w:lineRule="exact"/>
      </w:pPr>
      <w:r>
        <w:rPr>
          <w:rFonts w:ascii="Arial" w:hAnsi="Arial" w:cs="Arial"/>
        </w:rPr>
        <w:fldChar w:fldCharType="begin"/>
      </w:r>
      <w:r>
        <w:rPr>
          <w:rFonts w:ascii="Arial" w:hAnsi="Arial" w:cs="Arial"/>
        </w:rPr>
        <w:instrText xml:space="preserve"> DOCVARIABLE ndGeneratedStamp \* MERGEFORMAT </w:instrText>
      </w:r>
      <w:r>
        <w:rPr>
          <w:rFonts w:ascii="Arial" w:hAnsi="Arial" w:cs="Arial"/>
        </w:rPr>
        <w:fldChar w:fldCharType="separate"/>
      </w:r>
      <w:r>
        <w:rPr>
          <w:rFonts w:ascii="Arial" w:hAnsi="Arial" w:cs="Arial"/>
        </w:rPr>
        <w:t>1401-9934-7483, v. 1</w:t>
      </w:r>
      <w:r>
        <w:rPr>
          <w:rFonts w:ascii="Arial" w:hAnsi="Arial" w:cs="Arial"/>
        </w:rPr>
        <w:fldChar w:fldCharType="end"/>
      </w:r>
    </w:p>
    <w:sectPr w:rsidR="00643776" w:rsidRPr="00EE3B86" w:rsidSect="000623D3">
      <w:headerReference w:type="default" r:id="rId22"/>
      <w:pgSz w:w="15840" w:h="12240" w:orient="landscape"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8DA1" w14:textId="77777777" w:rsidR="0008170E" w:rsidRDefault="0008170E" w:rsidP="00FC1F68">
      <w:r>
        <w:separator/>
      </w:r>
    </w:p>
  </w:endnote>
  <w:endnote w:type="continuationSeparator" w:id="0">
    <w:p w14:paraId="5572C9E2" w14:textId="77777777" w:rsidR="0008170E" w:rsidRDefault="0008170E" w:rsidP="00FC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8191" w14:textId="77777777" w:rsidR="00643776" w:rsidRDefault="00643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5F83" w14:textId="190D3796" w:rsidR="007C43C1" w:rsidRDefault="007C43C1" w:rsidP="007C43C1">
    <w:pPr>
      <w:pStyle w:val="Footer"/>
      <w:jc w:val="center"/>
      <w:rPr>
        <w:noProof/>
      </w:rPr>
    </w:pPr>
  </w:p>
  <w:sdt>
    <w:sdtPr>
      <w:alias w:val="LX-DOCUMENTID_80ff52a5-599d-4a28-b553-18f993aca2ab"/>
      <w:tag w:val="LX-DOCUMENTID"/>
      <w:id w:val="478121670"/>
      <w:placeholder>
        <w:docPart w:val="DefaultPlaceholder_-1854013440"/>
      </w:placeholder>
    </w:sdtPr>
    <w:sdtEndPr/>
    <w:sdtContent>
      <w:p w14:paraId="610FFDBD" w14:textId="3479DE57" w:rsidR="0073382C" w:rsidRDefault="0073382C" w:rsidP="0073382C">
        <w:pPr>
          <w:pStyle w:val="DocsID"/>
        </w:pPr>
        <w:r>
          <w:t>6698916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LX-DOCUMENTID_80377b17-5944-410f-90e1-020d502f58f3"/>
      <w:tag w:val="LX-DOCUMENTID"/>
      <w:id w:val="-821810320"/>
      <w:placeholder>
        <w:docPart w:val="DefaultPlaceholder_-1854013440"/>
      </w:placeholder>
    </w:sdtPr>
    <w:sdtEndPr/>
    <w:sdtContent>
      <w:p w14:paraId="1380A3A4" w14:textId="60BF2FEE" w:rsidR="0073382C" w:rsidRDefault="0073382C" w:rsidP="0073382C">
        <w:pPr>
          <w:pStyle w:val="DocsID"/>
        </w:pPr>
        <w:r>
          <w:t>6698916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AF83" w14:textId="77777777" w:rsidR="0008170E" w:rsidRDefault="0008170E" w:rsidP="00FC1F68">
      <w:r>
        <w:separator/>
      </w:r>
    </w:p>
  </w:footnote>
  <w:footnote w:type="continuationSeparator" w:id="0">
    <w:p w14:paraId="7027A4CF" w14:textId="77777777" w:rsidR="0008170E" w:rsidRDefault="0008170E" w:rsidP="00FC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8374338"/>
      <w:docPartObj>
        <w:docPartGallery w:val="Page Numbers (Top of Page)"/>
        <w:docPartUnique/>
      </w:docPartObj>
    </w:sdtPr>
    <w:sdtEndPr>
      <w:rPr>
        <w:rStyle w:val="PageNumber"/>
      </w:rPr>
    </w:sdtEndPr>
    <w:sdtContent>
      <w:p w14:paraId="544702D5" w14:textId="38667B45" w:rsidR="00986EB6" w:rsidRDefault="00986EB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0E6D73" w14:textId="77777777" w:rsidR="00986EB6" w:rsidRDefault="00986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D1317E3" w14:paraId="31638A2E" w14:textId="77777777" w:rsidTr="4D1317E3">
      <w:trPr>
        <w:trHeight w:val="300"/>
      </w:trPr>
      <w:tc>
        <w:tcPr>
          <w:tcW w:w="3120" w:type="dxa"/>
        </w:tcPr>
        <w:p w14:paraId="02A5A83C" w14:textId="6A14DCB3" w:rsidR="4D1317E3" w:rsidRDefault="4D1317E3" w:rsidP="4D1317E3">
          <w:pPr>
            <w:pStyle w:val="Header"/>
            <w:ind w:left="-115"/>
          </w:pPr>
        </w:p>
      </w:tc>
      <w:tc>
        <w:tcPr>
          <w:tcW w:w="3120" w:type="dxa"/>
        </w:tcPr>
        <w:p w14:paraId="63DDAA98" w14:textId="2365100B" w:rsidR="4D1317E3" w:rsidRDefault="4D1317E3" w:rsidP="4D1317E3">
          <w:pPr>
            <w:pStyle w:val="Header"/>
            <w:jc w:val="center"/>
          </w:pPr>
        </w:p>
      </w:tc>
      <w:tc>
        <w:tcPr>
          <w:tcW w:w="3120" w:type="dxa"/>
        </w:tcPr>
        <w:p w14:paraId="1F3051F8" w14:textId="53DCF816" w:rsidR="4D1317E3" w:rsidRDefault="4D1317E3" w:rsidP="4D1317E3">
          <w:pPr>
            <w:pStyle w:val="Header"/>
            <w:ind w:right="-115"/>
            <w:jc w:val="right"/>
          </w:pPr>
        </w:p>
      </w:tc>
    </w:tr>
  </w:tbl>
  <w:p w14:paraId="382A3B20" w14:textId="530FD11E" w:rsidR="002C343D" w:rsidRDefault="002C3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9F61" w14:textId="77777777" w:rsidR="00643776" w:rsidRDefault="006437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D1317E3" w14:paraId="0094DDD4" w14:textId="77777777" w:rsidTr="4D1317E3">
      <w:trPr>
        <w:trHeight w:val="300"/>
      </w:trPr>
      <w:tc>
        <w:tcPr>
          <w:tcW w:w="3120" w:type="dxa"/>
        </w:tcPr>
        <w:p w14:paraId="1F5EE54C" w14:textId="70B148DF" w:rsidR="4D1317E3" w:rsidRDefault="4D1317E3" w:rsidP="4D1317E3">
          <w:pPr>
            <w:pStyle w:val="Header"/>
            <w:ind w:left="-115"/>
          </w:pPr>
        </w:p>
      </w:tc>
      <w:tc>
        <w:tcPr>
          <w:tcW w:w="3120" w:type="dxa"/>
        </w:tcPr>
        <w:p w14:paraId="5EDD6492" w14:textId="770C5D9D" w:rsidR="4D1317E3" w:rsidRDefault="4D1317E3" w:rsidP="4D1317E3">
          <w:pPr>
            <w:pStyle w:val="Header"/>
            <w:jc w:val="center"/>
          </w:pPr>
        </w:p>
      </w:tc>
      <w:tc>
        <w:tcPr>
          <w:tcW w:w="3120" w:type="dxa"/>
        </w:tcPr>
        <w:p w14:paraId="68FC59D5" w14:textId="795A67C9" w:rsidR="4D1317E3" w:rsidRDefault="4D1317E3" w:rsidP="4D1317E3">
          <w:pPr>
            <w:pStyle w:val="Header"/>
            <w:ind w:right="-115"/>
            <w:jc w:val="right"/>
          </w:pPr>
        </w:p>
      </w:tc>
    </w:tr>
  </w:tbl>
  <w:p w14:paraId="08287B3B" w14:textId="57404066" w:rsidR="002C343D" w:rsidRDefault="002C34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D1317E3" w14:paraId="3EF489E9" w14:textId="77777777" w:rsidTr="4D1317E3">
      <w:trPr>
        <w:trHeight w:val="300"/>
      </w:trPr>
      <w:tc>
        <w:tcPr>
          <w:tcW w:w="3120" w:type="dxa"/>
        </w:tcPr>
        <w:p w14:paraId="414537C5" w14:textId="5AF15D4A" w:rsidR="4D1317E3" w:rsidRDefault="4D1317E3" w:rsidP="4D1317E3">
          <w:pPr>
            <w:pStyle w:val="Header"/>
            <w:ind w:left="-115"/>
          </w:pPr>
        </w:p>
      </w:tc>
      <w:tc>
        <w:tcPr>
          <w:tcW w:w="3120" w:type="dxa"/>
        </w:tcPr>
        <w:p w14:paraId="0619D14D" w14:textId="46F0AF75" w:rsidR="4D1317E3" w:rsidRDefault="4D1317E3" w:rsidP="4D1317E3">
          <w:pPr>
            <w:pStyle w:val="Header"/>
            <w:jc w:val="center"/>
          </w:pPr>
        </w:p>
      </w:tc>
      <w:tc>
        <w:tcPr>
          <w:tcW w:w="3120" w:type="dxa"/>
        </w:tcPr>
        <w:p w14:paraId="1597EC86" w14:textId="7D5AE8F2" w:rsidR="4D1317E3" w:rsidRDefault="4D1317E3" w:rsidP="4D1317E3">
          <w:pPr>
            <w:pStyle w:val="Header"/>
            <w:ind w:right="-115"/>
            <w:jc w:val="right"/>
          </w:pPr>
        </w:p>
      </w:tc>
    </w:tr>
  </w:tbl>
  <w:p w14:paraId="1D64F793" w14:textId="15523917" w:rsidR="002C343D" w:rsidRDefault="009C5519" w:rsidP="009C5519">
    <w:pPr>
      <w:pStyle w:val="Header"/>
      <w:jc w:val="center"/>
    </w:pPr>
    <w:r>
      <w:t>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974728"/>
      <w:docPartObj>
        <w:docPartGallery w:val="Page Numbers (Top of Page)"/>
        <w:docPartUnique/>
      </w:docPartObj>
    </w:sdtPr>
    <w:sdtEndPr>
      <w:rPr>
        <w:rStyle w:val="PageNumber"/>
      </w:rPr>
    </w:sdtEndPr>
    <w:sdtContent>
      <w:p w14:paraId="51F13249" w14:textId="22B8AF6E" w:rsidR="00986EB6" w:rsidRDefault="00986EB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W w:w="0" w:type="auto"/>
      <w:tblLook w:val="06A0" w:firstRow="1" w:lastRow="0" w:firstColumn="1" w:lastColumn="0" w:noHBand="1" w:noVBand="1"/>
    </w:tblPr>
    <w:tblGrid>
      <w:gridCol w:w="3120"/>
      <w:gridCol w:w="3120"/>
      <w:gridCol w:w="3120"/>
    </w:tblGrid>
    <w:tr w:rsidR="4D1317E3" w14:paraId="5C971242" w14:textId="77777777" w:rsidTr="4D1317E3">
      <w:trPr>
        <w:trHeight w:val="300"/>
      </w:trPr>
      <w:tc>
        <w:tcPr>
          <w:tcW w:w="3120" w:type="dxa"/>
        </w:tcPr>
        <w:p w14:paraId="48395617" w14:textId="26C5E065" w:rsidR="4D1317E3" w:rsidRDefault="4D1317E3" w:rsidP="4D1317E3">
          <w:pPr>
            <w:pStyle w:val="Header"/>
            <w:ind w:left="-115"/>
          </w:pPr>
        </w:p>
      </w:tc>
      <w:tc>
        <w:tcPr>
          <w:tcW w:w="3120" w:type="dxa"/>
        </w:tcPr>
        <w:p w14:paraId="2CC119E3" w14:textId="7E86BC53" w:rsidR="4D1317E3" w:rsidRDefault="4D1317E3" w:rsidP="4D1317E3">
          <w:pPr>
            <w:pStyle w:val="Header"/>
            <w:jc w:val="center"/>
          </w:pPr>
        </w:p>
      </w:tc>
      <w:tc>
        <w:tcPr>
          <w:tcW w:w="3120" w:type="dxa"/>
        </w:tcPr>
        <w:p w14:paraId="257D350D" w14:textId="07DD5900" w:rsidR="4D1317E3" w:rsidRDefault="4D1317E3" w:rsidP="4D1317E3">
          <w:pPr>
            <w:pStyle w:val="Header"/>
            <w:ind w:right="-115"/>
            <w:jc w:val="right"/>
          </w:pPr>
        </w:p>
      </w:tc>
    </w:tr>
  </w:tbl>
  <w:p w14:paraId="2595372E" w14:textId="7BA4E9D5" w:rsidR="002C343D" w:rsidRDefault="002C34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D1317E3" w14:paraId="43876DBB" w14:textId="77777777" w:rsidTr="4D1317E3">
      <w:trPr>
        <w:trHeight w:val="300"/>
      </w:trPr>
      <w:tc>
        <w:tcPr>
          <w:tcW w:w="4320" w:type="dxa"/>
        </w:tcPr>
        <w:p w14:paraId="45FD57C6" w14:textId="4DA70598" w:rsidR="4D1317E3" w:rsidRDefault="4D1317E3" w:rsidP="4D1317E3">
          <w:pPr>
            <w:pStyle w:val="Header"/>
            <w:ind w:left="-115"/>
          </w:pPr>
        </w:p>
      </w:tc>
      <w:tc>
        <w:tcPr>
          <w:tcW w:w="4320" w:type="dxa"/>
        </w:tcPr>
        <w:p w14:paraId="75FD58E0" w14:textId="01BD4679" w:rsidR="4D1317E3" w:rsidRDefault="4D1317E3" w:rsidP="4D1317E3">
          <w:pPr>
            <w:pStyle w:val="Header"/>
            <w:jc w:val="center"/>
          </w:pPr>
        </w:p>
      </w:tc>
      <w:tc>
        <w:tcPr>
          <w:tcW w:w="4320" w:type="dxa"/>
        </w:tcPr>
        <w:p w14:paraId="3A05BB37" w14:textId="66C715F9" w:rsidR="4D1317E3" w:rsidRDefault="4D1317E3" w:rsidP="4D1317E3">
          <w:pPr>
            <w:pStyle w:val="Header"/>
            <w:ind w:right="-115"/>
            <w:jc w:val="right"/>
          </w:pPr>
        </w:p>
      </w:tc>
    </w:tr>
  </w:tbl>
  <w:p w14:paraId="3166A985" w14:textId="67E36FDB" w:rsidR="002C343D" w:rsidRDefault="002C3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2613"/>
    <w:multiLevelType w:val="multilevel"/>
    <w:tmpl w:val="64022610"/>
    <w:lvl w:ilvl="0">
      <w:start w:val="1"/>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ascii="Times New Roman" w:hAnsi="Times New Roman" w:hint="default"/>
        <w:b/>
        <w:i w:val="0"/>
        <w:sz w:val="24"/>
      </w:rPr>
    </w:lvl>
    <w:lvl w:ilvl="2">
      <w:start w:val="1"/>
      <w:numFmt w:val="decimal"/>
      <w:lvlText w:val="%3."/>
      <w:lvlJc w:val="left"/>
      <w:pPr>
        <w:ind w:left="1440" w:firstLine="0"/>
      </w:pPr>
      <w:rPr>
        <w:rFonts w:ascii="Times New Roman" w:hAnsi="Times New Roman" w:hint="default"/>
        <w:b/>
        <w:i w:val="0"/>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2E9D1B5A"/>
    <w:multiLevelType w:val="multilevel"/>
    <w:tmpl w:val="F498F2C6"/>
    <w:lvl w:ilvl="0">
      <w:start w:val="1"/>
      <w:numFmt w:val="decimal"/>
      <w:lvlText w:val="%1"/>
      <w:lvlJc w:val="left"/>
      <w:pPr>
        <w:ind w:left="0" w:firstLine="0"/>
      </w:pPr>
      <w:rPr>
        <w:b w:val="0"/>
        <w:bCs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FB3D79"/>
    <w:multiLevelType w:val="multilevel"/>
    <w:tmpl w:val="F7AC10B6"/>
    <w:lvl w:ilvl="0">
      <w:start w:val="1"/>
      <w:numFmt w:val="decimal"/>
      <w:pStyle w:val="WSFourthLevelParaNum"/>
      <w:lvlText w:val="%1."/>
      <w:lvlJc w:val="left"/>
      <w:pPr>
        <w:tabs>
          <w:tab w:val="num" w:pos="2880"/>
        </w:tabs>
        <w:ind w:left="28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4A04EA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5E35B8D"/>
    <w:multiLevelType w:val="multilevel"/>
    <w:tmpl w:val="7D16436A"/>
    <w:lvl w:ilvl="0">
      <w:start w:val="1"/>
      <w:numFmt w:val="decimal"/>
      <w:pStyle w:val="WSParaNum"/>
      <w:lvlText w:val="%1"/>
      <w:lvlJc w:val="left"/>
      <w:pPr>
        <w:tabs>
          <w:tab w:val="num" w:pos="720"/>
        </w:tabs>
        <w:ind w:left="0" w:firstLine="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DEA3F27"/>
    <w:multiLevelType w:val="multilevel"/>
    <w:tmpl w:val="CE24B5E2"/>
    <w:lvl w:ilvl="0">
      <w:start w:val="1"/>
      <w:numFmt w:val="upperRoman"/>
      <w:pStyle w:val="Heading1"/>
      <w:suff w:val="nothing"/>
      <w:lvlText w:val="PART %1 -- "/>
      <w:lvlJc w:val="left"/>
      <w:pPr>
        <w:ind w:left="0" w:firstLine="0"/>
      </w:pPr>
      <w:rPr>
        <w:rFonts w:ascii="Times New Roman" w:hAnsi="Times New Roman" w:hint="default"/>
        <w:b/>
        <w:i w:val="0"/>
        <w:sz w:val="24"/>
      </w:rPr>
    </w:lvl>
    <w:lvl w:ilvl="1">
      <w:start w:val="1"/>
      <w:numFmt w:val="upperLetter"/>
      <w:pStyle w:val="Heading2"/>
      <w:lvlText w:val="%2."/>
      <w:lvlJc w:val="left"/>
      <w:pPr>
        <w:ind w:left="720" w:hanging="720"/>
      </w:pPr>
      <w:rPr>
        <w:rFonts w:ascii="Times New Roman" w:hAnsi="Times New Roman" w:hint="default"/>
        <w:b/>
        <w:i w:val="0"/>
        <w:sz w:val="24"/>
      </w:rPr>
    </w:lvl>
    <w:lvl w:ilvl="2">
      <w:start w:val="1"/>
      <w:numFmt w:val="lowerRoman"/>
      <w:pStyle w:val="Heading3"/>
      <w:lvlText w:val="(%3)"/>
      <w:lvlJc w:val="left"/>
      <w:pPr>
        <w:ind w:left="720" w:hanging="720"/>
      </w:pPr>
      <w:rPr>
        <w:rFonts w:ascii="Times New Roman" w:hAnsi="Times New Roman" w:hint="default"/>
        <w:b/>
        <w:bCs/>
        <w:i w:val="0"/>
        <w:sz w:val="24"/>
      </w:rPr>
    </w:lvl>
    <w:lvl w:ilvl="3">
      <w:start w:val="1"/>
      <w:numFmt w:val="lowerLetter"/>
      <w:pStyle w:val="Heading4"/>
      <w:lvlText w:val="(%4)"/>
      <w:lvlJc w:val="left"/>
      <w:pPr>
        <w:ind w:left="720" w:hanging="720"/>
      </w:pPr>
      <w:rPr>
        <w:rFonts w:ascii="Times New Roman" w:hAnsi="Times New Roman" w:hint="default"/>
        <w:b w:val="0"/>
        <w:i/>
        <w:sz w:val="24"/>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565144144">
    <w:abstractNumId w:val="1"/>
  </w:num>
  <w:num w:numId="2" w16cid:durableId="630987846">
    <w:abstractNumId w:val="5"/>
  </w:num>
  <w:num w:numId="3" w16cid:durableId="748692426">
    <w:abstractNumId w:val="3"/>
  </w:num>
  <w:num w:numId="4" w16cid:durableId="775254267">
    <w:abstractNumId w:val="2"/>
  </w:num>
  <w:num w:numId="5" w16cid:durableId="2099864798">
    <w:abstractNumId w:val="4"/>
  </w:num>
  <w:num w:numId="6" w16cid:durableId="210194528">
    <w:abstractNumId w:val="0"/>
  </w:num>
  <w:num w:numId="7" w16cid:durableId="1188055688">
    <w:abstractNumId w:val="4"/>
  </w:num>
  <w:num w:numId="8" w16cid:durableId="1912885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LOMBAR_P"/>
    <w:docVar w:name="IManageDocInfoCache(DatabaseName)" w:val="DOCSLIB"/>
    <w:docVar w:name="IManageDocInfoCache(DocumentDescription)" w:val="Working Copy WS Factum"/>
    <w:docVar w:name="IManageDocInfoCache(DocumentNumber)" w:val="6698916"/>
    <w:docVar w:name="IManageDocInfoCache(DocumentVersion)" w:val="1"/>
    <w:docVar w:name="IManageDocInfoCache(Matter)" w:val="15041"/>
    <w:docVar w:name="ndGeneratedStamp" w:val="1401-9934-7483, v. 1"/>
    <w:docVar w:name="ndGeneratedStampLocation" w:val="LastPage"/>
  </w:docVars>
  <w:rsids>
    <w:rsidRoot w:val="00982941"/>
    <w:rsid w:val="000000D0"/>
    <w:rsid w:val="0000022B"/>
    <w:rsid w:val="000005C3"/>
    <w:rsid w:val="000010DF"/>
    <w:rsid w:val="00001380"/>
    <w:rsid w:val="00001B31"/>
    <w:rsid w:val="00002164"/>
    <w:rsid w:val="0000283D"/>
    <w:rsid w:val="000028B9"/>
    <w:rsid w:val="00003705"/>
    <w:rsid w:val="00003958"/>
    <w:rsid w:val="00003A32"/>
    <w:rsid w:val="00003C6C"/>
    <w:rsid w:val="00003D7F"/>
    <w:rsid w:val="00003E21"/>
    <w:rsid w:val="00003F20"/>
    <w:rsid w:val="000045C2"/>
    <w:rsid w:val="00004F53"/>
    <w:rsid w:val="00005800"/>
    <w:rsid w:val="00005B51"/>
    <w:rsid w:val="0000703F"/>
    <w:rsid w:val="00007463"/>
    <w:rsid w:val="00007B59"/>
    <w:rsid w:val="0001098C"/>
    <w:rsid w:val="0001103C"/>
    <w:rsid w:val="0001130A"/>
    <w:rsid w:val="000119B1"/>
    <w:rsid w:val="00012057"/>
    <w:rsid w:val="00012525"/>
    <w:rsid w:val="00012842"/>
    <w:rsid w:val="00013259"/>
    <w:rsid w:val="00013755"/>
    <w:rsid w:val="00013C3B"/>
    <w:rsid w:val="00013CBE"/>
    <w:rsid w:val="00013CE3"/>
    <w:rsid w:val="0001430A"/>
    <w:rsid w:val="0001445C"/>
    <w:rsid w:val="00014496"/>
    <w:rsid w:val="00014BE8"/>
    <w:rsid w:val="00014D7D"/>
    <w:rsid w:val="000150C5"/>
    <w:rsid w:val="00015187"/>
    <w:rsid w:val="000154CB"/>
    <w:rsid w:val="000155E1"/>
    <w:rsid w:val="00016198"/>
    <w:rsid w:val="00016BA3"/>
    <w:rsid w:val="00016CAD"/>
    <w:rsid w:val="000172D5"/>
    <w:rsid w:val="000203C6"/>
    <w:rsid w:val="0002116A"/>
    <w:rsid w:val="0002146C"/>
    <w:rsid w:val="00021A76"/>
    <w:rsid w:val="00021B0F"/>
    <w:rsid w:val="00021B7B"/>
    <w:rsid w:val="00021ED3"/>
    <w:rsid w:val="00022843"/>
    <w:rsid w:val="00022F05"/>
    <w:rsid w:val="00023699"/>
    <w:rsid w:val="0002390B"/>
    <w:rsid w:val="000248D1"/>
    <w:rsid w:val="00024BF0"/>
    <w:rsid w:val="0002508C"/>
    <w:rsid w:val="00025361"/>
    <w:rsid w:val="00025D1C"/>
    <w:rsid w:val="00025E22"/>
    <w:rsid w:val="000278EB"/>
    <w:rsid w:val="00027950"/>
    <w:rsid w:val="0003046A"/>
    <w:rsid w:val="000305F0"/>
    <w:rsid w:val="000308F0"/>
    <w:rsid w:val="00030AE5"/>
    <w:rsid w:val="00031A2A"/>
    <w:rsid w:val="00031F01"/>
    <w:rsid w:val="000327AE"/>
    <w:rsid w:val="00032B48"/>
    <w:rsid w:val="00032EE9"/>
    <w:rsid w:val="00033582"/>
    <w:rsid w:val="00033AE7"/>
    <w:rsid w:val="00033C5D"/>
    <w:rsid w:val="00033DF1"/>
    <w:rsid w:val="00033F9E"/>
    <w:rsid w:val="00034726"/>
    <w:rsid w:val="00034911"/>
    <w:rsid w:val="000349F6"/>
    <w:rsid w:val="00034DA1"/>
    <w:rsid w:val="00034DCE"/>
    <w:rsid w:val="000355C7"/>
    <w:rsid w:val="00035F6B"/>
    <w:rsid w:val="000363BD"/>
    <w:rsid w:val="00036E14"/>
    <w:rsid w:val="00037536"/>
    <w:rsid w:val="0003757F"/>
    <w:rsid w:val="00037594"/>
    <w:rsid w:val="00037BFB"/>
    <w:rsid w:val="0004018B"/>
    <w:rsid w:val="00041217"/>
    <w:rsid w:val="0004163E"/>
    <w:rsid w:val="00041817"/>
    <w:rsid w:val="000421D2"/>
    <w:rsid w:val="000424AC"/>
    <w:rsid w:val="00042D61"/>
    <w:rsid w:val="0004357B"/>
    <w:rsid w:val="000435ED"/>
    <w:rsid w:val="00043943"/>
    <w:rsid w:val="000441F6"/>
    <w:rsid w:val="00044267"/>
    <w:rsid w:val="0004455E"/>
    <w:rsid w:val="00044E5F"/>
    <w:rsid w:val="00044F21"/>
    <w:rsid w:val="00045095"/>
    <w:rsid w:val="00045AB8"/>
    <w:rsid w:val="000461F6"/>
    <w:rsid w:val="00046504"/>
    <w:rsid w:val="00047037"/>
    <w:rsid w:val="000503F6"/>
    <w:rsid w:val="00050B16"/>
    <w:rsid w:val="00051EE4"/>
    <w:rsid w:val="000522C9"/>
    <w:rsid w:val="00052A74"/>
    <w:rsid w:val="00052CE1"/>
    <w:rsid w:val="00052F3C"/>
    <w:rsid w:val="000547D6"/>
    <w:rsid w:val="000548C6"/>
    <w:rsid w:val="000550EF"/>
    <w:rsid w:val="000556F7"/>
    <w:rsid w:val="00055D0E"/>
    <w:rsid w:val="00056055"/>
    <w:rsid w:val="00056279"/>
    <w:rsid w:val="00056CA0"/>
    <w:rsid w:val="00056E7E"/>
    <w:rsid w:val="00056EF6"/>
    <w:rsid w:val="00057C60"/>
    <w:rsid w:val="0006082E"/>
    <w:rsid w:val="000616AB"/>
    <w:rsid w:val="000623D3"/>
    <w:rsid w:val="00062946"/>
    <w:rsid w:val="00062ED8"/>
    <w:rsid w:val="00063161"/>
    <w:rsid w:val="00063EA1"/>
    <w:rsid w:val="000651A1"/>
    <w:rsid w:val="00065464"/>
    <w:rsid w:val="000655F1"/>
    <w:rsid w:val="0006617A"/>
    <w:rsid w:val="000672B0"/>
    <w:rsid w:val="000673DC"/>
    <w:rsid w:val="00067527"/>
    <w:rsid w:val="00067D11"/>
    <w:rsid w:val="00067F6D"/>
    <w:rsid w:val="000703AA"/>
    <w:rsid w:val="000704B1"/>
    <w:rsid w:val="00070767"/>
    <w:rsid w:val="0007098C"/>
    <w:rsid w:val="000714B5"/>
    <w:rsid w:val="00071568"/>
    <w:rsid w:val="000715D2"/>
    <w:rsid w:val="00071858"/>
    <w:rsid w:val="00071EB1"/>
    <w:rsid w:val="00072081"/>
    <w:rsid w:val="000724BC"/>
    <w:rsid w:val="0007254E"/>
    <w:rsid w:val="00073004"/>
    <w:rsid w:val="000731F1"/>
    <w:rsid w:val="00073242"/>
    <w:rsid w:val="00073C2E"/>
    <w:rsid w:val="0007434C"/>
    <w:rsid w:val="00074BEB"/>
    <w:rsid w:val="0007526F"/>
    <w:rsid w:val="0007553E"/>
    <w:rsid w:val="000755E3"/>
    <w:rsid w:val="000766F2"/>
    <w:rsid w:val="00077895"/>
    <w:rsid w:val="00077BA8"/>
    <w:rsid w:val="0008170E"/>
    <w:rsid w:val="00081714"/>
    <w:rsid w:val="00081E4B"/>
    <w:rsid w:val="00082C53"/>
    <w:rsid w:val="00082E0E"/>
    <w:rsid w:val="00083C4E"/>
    <w:rsid w:val="00084337"/>
    <w:rsid w:val="000845CE"/>
    <w:rsid w:val="00084F50"/>
    <w:rsid w:val="0008651E"/>
    <w:rsid w:val="00086608"/>
    <w:rsid w:val="00086852"/>
    <w:rsid w:val="00086D76"/>
    <w:rsid w:val="00086FDA"/>
    <w:rsid w:val="00087A30"/>
    <w:rsid w:val="00087E65"/>
    <w:rsid w:val="00090C52"/>
    <w:rsid w:val="00091DDE"/>
    <w:rsid w:val="0009212B"/>
    <w:rsid w:val="00092483"/>
    <w:rsid w:val="00092B51"/>
    <w:rsid w:val="00092F5B"/>
    <w:rsid w:val="00093CB4"/>
    <w:rsid w:val="00093DBF"/>
    <w:rsid w:val="00093E7B"/>
    <w:rsid w:val="00094363"/>
    <w:rsid w:val="000945A2"/>
    <w:rsid w:val="000948CD"/>
    <w:rsid w:val="00094B75"/>
    <w:rsid w:val="00095271"/>
    <w:rsid w:val="000959DE"/>
    <w:rsid w:val="00095AAD"/>
    <w:rsid w:val="00095BEE"/>
    <w:rsid w:val="00095F96"/>
    <w:rsid w:val="00096013"/>
    <w:rsid w:val="00096BFD"/>
    <w:rsid w:val="000972C0"/>
    <w:rsid w:val="0009757B"/>
    <w:rsid w:val="00097607"/>
    <w:rsid w:val="00097809"/>
    <w:rsid w:val="00097971"/>
    <w:rsid w:val="00097E18"/>
    <w:rsid w:val="000A06E6"/>
    <w:rsid w:val="000A0EAA"/>
    <w:rsid w:val="000A2189"/>
    <w:rsid w:val="000A22D1"/>
    <w:rsid w:val="000A2690"/>
    <w:rsid w:val="000A361C"/>
    <w:rsid w:val="000A38F0"/>
    <w:rsid w:val="000A3E84"/>
    <w:rsid w:val="000A4B00"/>
    <w:rsid w:val="000A4DB9"/>
    <w:rsid w:val="000A59BD"/>
    <w:rsid w:val="000A799D"/>
    <w:rsid w:val="000B0806"/>
    <w:rsid w:val="000B10D0"/>
    <w:rsid w:val="000B10E4"/>
    <w:rsid w:val="000B12B3"/>
    <w:rsid w:val="000B182A"/>
    <w:rsid w:val="000B1DBF"/>
    <w:rsid w:val="000B2795"/>
    <w:rsid w:val="000B2E00"/>
    <w:rsid w:val="000B355C"/>
    <w:rsid w:val="000B39BD"/>
    <w:rsid w:val="000B445E"/>
    <w:rsid w:val="000B4675"/>
    <w:rsid w:val="000B5185"/>
    <w:rsid w:val="000B5187"/>
    <w:rsid w:val="000B51BA"/>
    <w:rsid w:val="000B52C7"/>
    <w:rsid w:val="000B53CA"/>
    <w:rsid w:val="000B57C6"/>
    <w:rsid w:val="000B5AFE"/>
    <w:rsid w:val="000B5B03"/>
    <w:rsid w:val="000B60F8"/>
    <w:rsid w:val="000B75BD"/>
    <w:rsid w:val="000C0550"/>
    <w:rsid w:val="000C09EE"/>
    <w:rsid w:val="000C15A8"/>
    <w:rsid w:val="000C1B2D"/>
    <w:rsid w:val="000C1D94"/>
    <w:rsid w:val="000C2258"/>
    <w:rsid w:val="000C2AC3"/>
    <w:rsid w:val="000C2C31"/>
    <w:rsid w:val="000C3008"/>
    <w:rsid w:val="000C3322"/>
    <w:rsid w:val="000C41D1"/>
    <w:rsid w:val="000C589F"/>
    <w:rsid w:val="000C593D"/>
    <w:rsid w:val="000C5D78"/>
    <w:rsid w:val="000C5F83"/>
    <w:rsid w:val="000C62ED"/>
    <w:rsid w:val="000C64E7"/>
    <w:rsid w:val="000C6883"/>
    <w:rsid w:val="000C6BAB"/>
    <w:rsid w:val="000C6CAE"/>
    <w:rsid w:val="000D0111"/>
    <w:rsid w:val="000D13A6"/>
    <w:rsid w:val="000D1C4B"/>
    <w:rsid w:val="000D2584"/>
    <w:rsid w:val="000D2686"/>
    <w:rsid w:val="000D2DA7"/>
    <w:rsid w:val="000D3638"/>
    <w:rsid w:val="000D3666"/>
    <w:rsid w:val="000D3689"/>
    <w:rsid w:val="000D3724"/>
    <w:rsid w:val="000D4D2D"/>
    <w:rsid w:val="000D4DC6"/>
    <w:rsid w:val="000D59BE"/>
    <w:rsid w:val="000D63C4"/>
    <w:rsid w:val="000D65D4"/>
    <w:rsid w:val="000D71E0"/>
    <w:rsid w:val="000D7A97"/>
    <w:rsid w:val="000D7B1D"/>
    <w:rsid w:val="000E026B"/>
    <w:rsid w:val="000E041E"/>
    <w:rsid w:val="000E154E"/>
    <w:rsid w:val="000E18A9"/>
    <w:rsid w:val="000E1D54"/>
    <w:rsid w:val="000E234B"/>
    <w:rsid w:val="000E2CF6"/>
    <w:rsid w:val="000E305F"/>
    <w:rsid w:val="000E394D"/>
    <w:rsid w:val="000E4220"/>
    <w:rsid w:val="000E43C8"/>
    <w:rsid w:val="000E47D1"/>
    <w:rsid w:val="000E496A"/>
    <w:rsid w:val="000E537E"/>
    <w:rsid w:val="000E5727"/>
    <w:rsid w:val="000E5AFC"/>
    <w:rsid w:val="000E5C9B"/>
    <w:rsid w:val="000E6429"/>
    <w:rsid w:val="000E7F0D"/>
    <w:rsid w:val="000F036A"/>
    <w:rsid w:val="000F057C"/>
    <w:rsid w:val="000F0B32"/>
    <w:rsid w:val="000F0EF7"/>
    <w:rsid w:val="000F2ECD"/>
    <w:rsid w:val="000F35A0"/>
    <w:rsid w:val="000F3D09"/>
    <w:rsid w:val="000F3D9B"/>
    <w:rsid w:val="000F3F67"/>
    <w:rsid w:val="000F4149"/>
    <w:rsid w:val="000F4F93"/>
    <w:rsid w:val="000F52A1"/>
    <w:rsid w:val="000F5462"/>
    <w:rsid w:val="000F5835"/>
    <w:rsid w:val="000F5CC0"/>
    <w:rsid w:val="000F6751"/>
    <w:rsid w:val="000F6AC7"/>
    <w:rsid w:val="000F6D9A"/>
    <w:rsid w:val="000F6E71"/>
    <w:rsid w:val="000F7478"/>
    <w:rsid w:val="000F7698"/>
    <w:rsid w:val="000F7E0C"/>
    <w:rsid w:val="0010011B"/>
    <w:rsid w:val="00100329"/>
    <w:rsid w:val="00100B9A"/>
    <w:rsid w:val="00101076"/>
    <w:rsid w:val="00101DC9"/>
    <w:rsid w:val="001021D8"/>
    <w:rsid w:val="001024C9"/>
    <w:rsid w:val="00102D73"/>
    <w:rsid w:val="0010421E"/>
    <w:rsid w:val="001043A2"/>
    <w:rsid w:val="00105BF1"/>
    <w:rsid w:val="00105EAD"/>
    <w:rsid w:val="00106518"/>
    <w:rsid w:val="00106C08"/>
    <w:rsid w:val="00110835"/>
    <w:rsid w:val="0011163C"/>
    <w:rsid w:val="00111FC8"/>
    <w:rsid w:val="001121B9"/>
    <w:rsid w:val="001122F9"/>
    <w:rsid w:val="0011255F"/>
    <w:rsid w:val="00112626"/>
    <w:rsid w:val="00112C56"/>
    <w:rsid w:val="00113587"/>
    <w:rsid w:val="00113BE7"/>
    <w:rsid w:val="0011522B"/>
    <w:rsid w:val="00115807"/>
    <w:rsid w:val="001167A0"/>
    <w:rsid w:val="0011797A"/>
    <w:rsid w:val="0012058D"/>
    <w:rsid w:val="001205A0"/>
    <w:rsid w:val="00120B8A"/>
    <w:rsid w:val="001211E8"/>
    <w:rsid w:val="001216DD"/>
    <w:rsid w:val="0012178C"/>
    <w:rsid w:val="00121BAF"/>
    <w:rsid w:val="00123C5B"/>
    <w:rsid w:val="00123C76"/>
    <w:rsid w:val="001247C6"/>
    <w:rsid w:val="00124E6B"/>
    <w:rsid w:val="00125135"/>
    <w:rsid w:val="00125373"/>
    <w:rsid w:val="001254F0"/>
    <w:rsid w:val="0012626F"/>
    <w:rsid w:val="00126370"/>
    <w:rsid w:val="001268C8"/>
    <w:rsid w:val="00127E21"/>
    <w:rsid w:val="00130AAC"/>
    <w:rsid w:val="001319DB"/>
    <w:rsid w:val="00131C9B"/>
    <w:rsid w:val="00133934"/>
    <w:rsid w:val="00133D46"/>
    <w:rsid w:val="0013419D"/>
    <w:rsid w:val="001346B8"/>
    <w:rsid w:val="00135749"/>
    <w:rsid w:val="001359DC"/>
    <w:rsid w:val="00136508"/>
    <w:rsid w:val="00136891"/>
    <w:rsid w:val="00137344"/>
    <w:rsid w:val="001374C1"/>
    <w:rsid w:val="00140231"/>
    <w:rsid w:val="00140367"/>
    <w:rsid w:val="001412AD"/>
    <w:rsid w:val="001418BB"/>
    <w:rsid w:val="00141A8E"/>
    <w:rsid w:val="001423B2"/>
    <w:rsid w:val="001426D2"/>
    <w:rsid w:val="001431DD"/>
    <w:rsid w:val="001435A7"/>
    <w:rsid w:val="00143C6D"/>
    <w:rsid w:val="001441AD"/>
    <w:rsid w:val="00145E16"/>
    <w:rsid w:val="00145F23"/>
    <w:rsid w:val="0014613D"/>
    <w:rsid w:val="0014640C"/>
    <w:rsid w:val="001464CE"/>
    <w:rsid w:val="001465B5"/>
    <w:rsid w:val="00146C8D"/>
    <w:rsid w:val="00146F43"/>
    <w:rsid w:val="001475E4"/>
    <w:rsid w:val="00150BD1"/>
    <w:rsid w:val="00151526"/>
    <w:rsid w:val="00151536"/>
    <w:rsid w:val="0015179C"/>
    <w:rsid w:val="00151904"/>
    <w:rsid w:val="00152166"/>
    <w:rsid w:val="00152474"/>
    <w:rsid w:val="00152983"/>
    <w:rsid w:val="00152DAE"/>
    <w:rsid w:val="00152E37"/>
    <w:rsid w:val="001530F0"/>
    <w:rsid w:val="0015333D"/>
    <w:rsid w:val="0015363F"/>
    <w:rsid w:val="00153BF5"/>
    <w:rsid w:val="001543B6"/>
    <w:rsid w:val="00154759"/>
    <w:rsid w:val="00154D19"/>
    <w:rsid w:val="00155E9B"/>
    <w:rsid w:val="00156C75"/>
    <w:rsid w:val="00156FBA"/>
    <w:rsid w:val="00156FD7"/>
    <w:rsid w:val="00157551"/>
    <w:rsid w:val="00157D8E"/>
    <w:rsid w:val="001600EF"/>
    <w:rsid w:val="0016075F"/>
    <w:rsid w:val="001609B4"/>
    <w:rsid w:val="00160D01"/>
    <w:rsid w:val="00161505"/>
    <w:rsid w:val="00161838"/>
    <w:rsid w:val="001618B8"/>
    <w:rsid w:val="001618C9"/>
    <w:rsid w:val="0016231F"/>
    <w:rsid w:val="00162458"/>
    <w:rsid w:val="00163317"/>
    <w:rsid w:val="0016389A"/>
    <w:rsid w:val="00163FAF"/>
    <w:rsid w:val="00164084"/>
    <w:rsid w:val="00164F5D"/>
    <w:rsid w:val="001655FD"/>
    <w:rsid w:val="00165C5B"/>
    <w:rsid w:val="00165CAF"/>
    <w:rsid w:val="001660EC"/>
    <w:rsid w:val="001662DA"/>
    <w:rsid w:val="00166467"/>
    <w:rsid w:val="001669CD"/>
    <w:rsid w:val="00166F28"/>
    <w:rsid w:val="0016763C"/>
    <w:rsid w:val="00167833"/>
    <w:rsid w:val="001679F7"/>
    <w:rsid w:val="00167BDF"/>
    <w:rsid w:val="00167EEC"/>
    <w:rsid w:val="00170741"/>
    <w:rsid w:val="00171113"/>
    <w:rsid w:val="001720ED"/>
    <w:rsid w:val="00172264"/>
    <w:rsid w:val="00172E3B"/>
    <w:rsid w:val="001732BE"/>
    <w:rsid w:val="0017371C"/>
    <w:rsid w:val="00173BA3"/>
    <w:rsid w:val="00173D38"/>
    <w:rsid w:val="001743F7"/>
    <w:rsid w:val="00174F65"/>
    <w:rsid w:val="00175DBC"/>
    <w:rsid w:val="00175F97"/>
    <w:rsid w:val="0017638D"/>
    <w:rsid w:val="0017693D"/>
    <w:rsid w:val="0017732E"/>
    <w:rsid w:val="00177502"/>
    <w:rsid w:val="00177600"/>
    <w:rsid w:val="00180031"/>
    <w:rsid w:val="0018085A"/>
    <w:rsid w:val="001809E5"/>
    <w:rsid w:val="00180BA2"/>
    <w:rsid w:val="00180E14"/>
    <w:rsid w:val="00180F40"/>
    <w:rsid w:val="0018197E"/>
    <w:rsid w:val="001820CD"/>
    <w:rsid w:val="00182B23"/>
    <w:rsid w:val="00182B91"/>
    <w:rsid w:val="001839C9"/>
    <w:rsid w:val="00183FDE"/>
    <w:rsid w:val="00184665"/>
    <w:rsid w:val="00184A3D"/>
    <w:rsid w:val="0018551E"/>
    <w:rsid w:val="00185EE1"/>
    <w:rsid w:val="00186BF2"/>
    <w:rsid w:val="001873DC"/>
    <w:rsid w:val="0018754A"/>
    <w:rsid w:val="001878B3"/>
    <w:rsid w:val="00187C39"/>
    <w:rsid w:val="00190489"/>
    <w:rsid w:val="001909BD"/>
    <w:rsid w:val="00190DA7"/>
    <w:rsid w:val="00191E54"/>
    <w:rsid w:val="00192706"/>
    <w:rsid w:val="00192BB7"/>
    <w:rsid w:val="00192CFC"/>
    <w:rsid w:val="00193CD7"/>
    <w:rsid w:val="00194038"/>
    <w:rsid w:val="00194E42"/>
    <w:rsid w:val="00194EC3"/>
    <w:rsid w:val="00195E89"/>
    <w:rsid w:val="001974F2"/>
    <w:rsid w:val="001976C3"/>
    <w:rsid w:val="0019789D"/>
    <w:rsid w:val="001A0044"/>
    <w:rsid w:val="001A030E"/>
    <w:rsid w:val="001A0454"/>
    <w:rsid w:val="001A0F26"/>
    <w:rsid w:val="001A0F4C"/>
    <w:rsid w:val="001A11CB"/>
    <w:rsid w:val="001A170B"/>
    <w:rsid w:val="001A18F1"/>
    <w:rsid w:val="001A1948"/>
    <w:rsid w:val="001A2158"/>
    <w:rsid w:val="001A22C5"/>
    <w:rsid w:val="001A286C"/>
    <w:rsid w:val="001A29A0"/>
    <w:rsid w:val="001A32F0"/>
    <w:rsid w:val="001A3F6A"/>
    <w:rsid w:val="001A49E3"/>
    <w:rsid w:val="001A4D3F"/>
    <w:rsid w:val="001A509E"/>
    <w:rsid w:val="001A5269"/>
    <w:rsid w:val="001A66C1"/>
    <w:rsid w:val="001A7265"/>
    <w:rsid w:val="001B0A22"/>
    <w:rsid w:val="001B0A72"/>
    <w:rsid w:val="001B0C29"/>
    <w:rsid w:val="001B0DD1"/>
    <w:rsid w:val="001B2E6A"/>
    <w:rsid w:val="001B2EDF"/>
    <w:rsid w:val="001B3674"/>
    <w:rsid w:val="001B3962"/>
    <w:rsid w:val="001B3AB7"/>
    <w:rsid w:val="001B5AFD"/>
    <w:rsid w:val="001B5F4A"/>
    <w:rsid w:val="001B63E3"/>
    <w:rsid w:val="001B6B37"/>
    <w:rsid w:val="001B6CEE"/>
    <w:rsid w:val="001B7179"/>
    <w:rsid w:val="001B7192"/>
    <w:rsid w:val="001B72C7"/>
    <w:rsid w:val="001B7635"/>
    <w:rsid w:val="001B7778"/>
    <w:rsid w:val="001B77FA"/>
    <w:rsid w:val="001C0147"/>
    <w:rsid w:val="001C1BF0"/>
    <w:rsid w:val="001C2A88"/>
    <w:rsid w:val="001C32BC"/>
    <w:rsid w:val="001C3647"/>
    <w:rsid w:val="001C4288"/>
    <w:rsid w:val="001C4E2A"/>
    <w:rsid w:val="001C4FBD"/>
    <w:rsid w:val="001C5F38"/>
    <w:rsid w:val="001C6112"/>
    <w:rsid w:val="001C7A9E"/>
    <w:rsid w:val="001C7BFF"/>
    <w:rsid w:val="001D0D64"/>
    <w:rsid w:val="001D100B"/>
    <w:rsid w:val="001D18A8"/>
    <w:rsid w:val="001D23AC"/>
    <w:rsid w:val="001D27D4"/>
    <w:rsid w:val="001D3217"/>
    <w:rsid w:val="001D3958"/>
    <w:rsid w:val="001D4122"/>
    <w:rsid w:val="001D4948"/>
    <w:rsid w:val="001D4F04"/>
    <w:rsid w:val="001D5878"/>
    <w:rsid w:val="001D5F8E"/>
    <w:rsid w:val="001D60EF"/>
    <w:rsid w:val="001D717C"/>
    <w:rsid w:val="001D775B"/>
    <w:rsid w:val="001E07E4"/>
    <w:rsid w:val="001E0845"/>
    <w:rsid w:val="001E088A"/>
    <w:rsid w:val="001E09DC"/>
    <w:rsid w:val="001E0FC9"/>
    <w:rsid w:val="001E2343"/>
    <w:rsid w:val="001E2C95"/>
    <w:rsid w:val="001E3FED"/>
    <w:rsid w:val="001E468B"/>
    <w:rsid w:val="001E4ABB"/>
    <w:rsid w:val="001E579A"/>
    <w:rsid w:val="001E5DE6"/>
    <w:rsid w:val="001E763A"/>
    <w:rsid w:val="001F000E"/>
    <w:rsid w:val="001F06AE"/>
    <w:rsid w:val="001F0756"/>
    <w:rsid w:val="001F0A89"/>
    <w:rsid w:val="001F0C58"/>
    <w:rsid w:val="001F13A4"/>
    <w:rsid w:val="001F15AF"/>
    <w:rsid w:val="001F15CA"/>
    <w:rsid w:val="001F1F0A"/>
    <w:rsid w:val="001F2340"/>
    <w:rsid w:val="001F28DA"/>
    <w:rsid w:val="001F3033"/>
    <w:rsid w:val="001F36C0"/>
    <w:rsid w:val="001F5773"/>
    <w:rsid w:val="001F5C2A"/>
    <w:rsid w:val="001F5C31"/>
    <w:rsid w:val="001F5C5F"/>
    <w:rsid w:val="001F6239"/>
    <w:rsid w:val="001F7657"/>
    <w:rsid w:val="001F77D1"/>
    <w:rsid w:val="001F7C0E"/>
    <w:rsid w:val="001F7F2C"/>
    <w:rsid w:val="00200338"/>
    <w:rsid w:val="0020059D"/>
    <w:rsid w:val="00200E46"/>
    <w:rsid w:val="00200EC5"/>
    <w:rsid w:val="0020126D"/>
    <w:rsid w:val="00201760"/>
    <w:rsid w:val="00201CA3"/>
    <w:rsid w:val="0020217E"/>
    <w:rsid w:val="00202304"/>
    <w:rsid w:val="0020239C"/>
    <w:rsid w:val="00202C3D"/>
    <w:rsid w:val="0020301E"/>
    <w:rsid w:val="0020353F"/>
    <w:rsid w:val="00204EE7"/>
    <w:rsid w:val="002054A3"/>
    <w:rsid w:val="00205F6F"/>
    <w:rsid w:val="0020623A"/>
    <w:rsid w:val="00206D13"/>
    <w:rsid w:val="00206F01"/>
    <w:rsid w:val="00207197"/>
    <w:rsid w:val="00210D94"/>
    <w:rsid w:val="00211952"/>
    <w:rsid w:val="00211A31"/>
    <w:rsid w:val="00211B29"/>
    <w:rsid w:val="00211CEA"/>
    <w:rsid w:val="00212430"/>
    <w:rsid w:val="002124ED"/>
    <w:rsid w:val="002125E5"/>
    <w:rsid w:val="00212A42"/>
    <w:rsid w:val="00213D91"/>
    <w:rsid w:val="00214423"/>
    <w:rsid w:val="00215273"/>
    <w:rsid w:val="0021563C"/>
    <w:rsid w:val="00215879"/>
    <w:rsid w:val="00216A01"/>
    <w:rsid w:val="00216B70"/>
    <w:rsid w:val="00216C1F"/>
    <w:rsid w:val="00217092"/>
    <w:rsid w:val="00217A9C"/>
    <w:rsid w:val="00217BD5"/>
    <w:rsid w:val="00217FD8"/>
    <w:rsid w:val="00221E3F"/>
    <w:rsid w:val="002227D0"/>
    <w:rsid w:val="00222A26"/>
    <w:rsid w:val="002236D9"/>
    <w:rsid w:val="00223F10"/>
    <w:rsid w:val="0022465B"/>
    <w:rsid w:val="0022615A"/>
    <w:rsid w:val="00226DA1"/>
    <w:rsid w:val="00227040"/>
    <w:rsid w:val="00230517"/>
    <w:rsid w:val="00230942"/>
    <w:rsid w:val="0023099A"/>
    <w:rsid w:val="002313E5"/>
    <w:rsid w:val="002313F2"/>
    <w:rsid w:val="0023174D"/>
    <w:rsid w:val="00231B11"/>
    <w:rsid w:val="00234103"/>
    <w:rsid w:val="0023458A"/>
    <w:rsid w:val="0023461B"/>
    <w:rsid w:val="00234A28"/>
    <w:rsid w:val="00234E0F"/>
    <w:rsid w:val="00235C1E"/>
    <w:rsid w:val="00235D6B"/>
    <w:rsid w:val="00235F3C"/>
    <w:rsid w:val="0023650C"/>
    <w:rsid w:val="0023690B"/>
    <w:rsid w:val="002374CD"/>
    <w:rsid w:val="00237670"/>
    <w:rsid w:val="00237F57"/>
    <w:rsid w:val="0024031F"/>
    <w:rsid w:val="002408FD"/>
    <w:rsid w:val="00241810"/>
    <w:rsid w:val="0024187B"/>
    <w:rsid w:val="002422E1"/>
    <w:rsid w:val="00245289"/>
    <w:rsid w:val="00245568"/>
    <w:rsid w:val="00245C1A"/>
    <w:rsid w:val="00245F39"/>
    <w:rsid w:val="002468E4"/>
    <w:rsid w:val="00246AD0"/>
    <w:rsid w:val="00246C03"/>
    <w:rsid w:val="00246DF4"/>
    <w:rsid w:val="002470D4"/>
    <w:rsid w:val="00247645"/>
    <w:rsid w:val="0024780B"/>
    <w:rsid w:val="00247966"/>
    <w:rsid w:val="00247AB7"/>
    <w:rsid w:val="002500B7"/>
    <w:rsid w:val="00250607"/>
    <w:rsid w:val="0025085C"/>
    <w:rsid w:val="0025097C"/>
    <w:rsid w:val="00250B5A"/>
    <w:rsid w:val="00251360"/>
    <w:rsid w:val="00251708"/>
    <w:rsid w:val="00251841"/>
    <w:rsid w:val="0025195B"/>
    <w:rsid w:val="00252226"/>
    <w:rsid w:val="002522D7"/>
    <w:rsid w:val="00252415"/>
    <w:rsid w:val="00252812"/>
    <w:rsid w:val="00252882"/>
    <w:rsid w:val="00252AE5"/>
    <w:rsid w:val="00252E29"/>
    <w:rsid w:val="002530CC"/>
    <w:rsid w:val="0025373A"/>
    <w:rsid w:val="00253C83"/>
    <w:rsid w:val="002540B9"/>
    <w:rsid w:val="0025444B"/>
    <w:rsid w:val="002544B5"/>
    <w:rsid w:val="00254972"/>
    <w:rsid w:val="00254A53"/>
    <w:rsid w:val="00254D04"/>
    <w:rsid w:val="00254D67"/>
    <w:rsid w:val="0025504D"/>
    <w:rsid w:val="002556C8"/>
    <w:rsid w:val="00255984"/>
    <w:rsid w:val="00255B92"/>
    <w:rsid w:val="002568DC"/>
    <w:rsid w:val="00257ABD"/>
    <w:rsid w:val="00257B17"/>
    <w:rsid w:val="00257F6B"/>
    <w:rsid w:val="002603EB"/>
    <w:rsid w:val="00260F00"/>
    <w:rsid w:val="0026130A"/>
    <w:rsid w:val="00261622"/>
    <w:rsid w:val="002619D3"/>
    <w:rsid w:val="00261A38"/>
    <w:rsid w:val="00262094"/>
    <w:rsid w:val="002620F2"/>
    <w:rsid w:val="0026235D"/>
    <w:rsid w:val="002627D0"/>
    <w:rsid w:val="00263008"/>
    <w:rsid w:val="002639A1"/>
    <w:rsid w:val="002639A5"/>
    <w:rsid w:val="002643AC"/>
    <w:rsid w:val="00264C26"/>
    <w:rsid w:val="002652C4"/>
    <w:rsid w:val="00265436"/>
    <w:rsid w:val="00265A8F"/>
    <w:rsid w:val="00266917"/>
    <w:rsid w:val="00266B8E"/>
    <w:rsid w:val="00267190"/>
    <w:rsid w:val="00267481"/>
    <w:rsid w:val="00267599"/>
    <w:rsid w:val="002675C9"/>
    <w:rsid w:val="002706EC"/>
    <w:rsid w:val="00270AD5"/>
    <w:rsid w:val="00270BF4"/>
    <w:rsid w:val="00271325"/>
    <w:rsid w:val="00271388"/>
    <w:rsid w:val="0027155A"/>
    <w:rsid w:val="00271E08"/>
    <w:rsid w:val="00272865"/>
    <w:rsid w:val="002729D7"/>
    <w:rsid w:val="00272EC7"/>
    <w:rsid w:val="002738C5"/>
    <w:rsid w:val="00273A01"/>
    <w:rsid w:val="00273B1B"/>
    <w:rsid w:val="00273DB6"/>
    <w:rsid w:val="0027410E"/>
    <w:rsid w:val="00274462"/>
    <w:rsid w:val="00275543"/>
    <w:rsid w:val="0027571E"/>
    <w:rsid w:val="002770A5"/>
    <w:rsid w:val="00277900"/>
    <w:rsid w:val="00277F5D"/>
    <w:rsid w:val="00280400"/>
    <w:rsid w:val="00280632"/>
    <w:rsid w:val="00280A53"/>
    <w:rsid w:val="00280A71"/>
    <w:rsid w:val="00280E27"/>
    <w:rsid w:val="002813DC"/>
    <w:rsid w:val="0028144F"/>
    <w:rsid w:val="00282ABA"/>
    <w:rsid w:val="00283238"/>
    <w:rsid w:val="00283429"/>
    <w:rsid w:val="002835D8"/>
    <w:rsid w:val="0028382F"/>
    <w:rsid w:val="002838D7"/>
    <w:rsid w:val="00284291"/>
    <w:rsid w:val="0028632A"/>
    <w:rsid w:val="0028653D"/>
    <w:rsid w:val="002871F9"/>
    <w:rsid w:val="00287298"/>
    <w:rsid w:val="00287837"/>
    <w:rsid w:val="00290CCD"/>
    <w:rsid w:val="0029153A"/>
    <w:rsid w:val="00291653"/>
    <w:rsid w:val="00291D4A"/>
    <w:rsid w:val="00291F93"/>
    <w:rsid w:val="0029216F"/>
    <w:rsid w:val="00292170"/>
    <w:rsid w:val="002921B3"/>
    <w:rsid w:val="00292738"/>
    <w:rsid w:val="00292E20"/>
    <w:rsid w:val="00293366"/>
    <w:rsid w:val="00293485"/>
    <w:rsid w:val="002934B4"/>
    <w:rsid w:val="00293506"/>
    <w:rsid w:val="002936AD"/>
    <w:rsid w:val="00293C79"/>
    <w:rsid w:val="00294172"/>
    <w:rsid w:val="002942C7"/>
    <w:rsid w:val="00295895"/>
    <w:rsid w:val="002962CB"/>
    <w:rsid w:val="002965E0"/>
    <w:rsid w:val="00296A38"/>
    <w:rsid w:val="0029705E"/>
    <w:rsid w:val="00297270"/>
    <w:rsid w:val="00297B35"/>
    <w:rsid w:val="00297CC3"/>
    <w:rsid w:val="002A0077"/>
    <w:rsid w:val="002A0A40"/>
    <w:rsid w:val="002A0DD3"/>
    <w:rsid w:val="002A175E"/>
    <w:rsid w:val="002A1C43"/>
    <w:rsid w:val="002A1EAD"/>
    <w:rsid w:val="002A2F39"/>
    <w:rsid w:val="002A3038"/>
    <w:rsid w:val="002A307F"/>
    <w:rsid w:val="002A30B1"/>
    <w:rsid w:val="002A317B"/>
    <w:rsid w:val="002A34CD"/>
    <w:rsid w:val="002A34E2"/>
    <w:rsid w:val="002A3C85"/>
    <w:rsid w:val="002A478F"/>
    <w:rsid w:val="002A59CF"/>
    <w:rsid w:val="002A5ADF"/>
    <w:rsid w:val="002A6D94"/>
    <w:rsid w:val="002A6E8D"/>
    <w:rsid w:val="002A78AE"/>
    <w:rsid w:val="002A7A01"/>
    <w:rsid w:val="002A7AA3"/>
    <w:rsid w:val="002B01D3"/>
    <w:rsid w:val="002B026D"/>
    <w:rsid w:val="002B036F"/>
    <w:rsid w:val="002B0917"/>
    <w:rsid w:val="002B0AE6"/>
    <w:rsid w:val="002B1106"/>
    <w:rsid w:val="002B1490"/>
    <w:rsid w:val="002B194E"/>
    <w:rsid w:val="002B1F72"/>
    <w:rsid w:val="002B2C2C"/>
    <w:rsid w:val="002B2C94"/>
    <w:rsid w:val="002B3027"/>
    <w:rsid w:val="002B3366"/>
    <w:rsid w:val="002B33C5"/>
    <w:rsid w:val="002B3E44"/>
    <w:rsid w:val="002B4E4C"/>
    <w:rsid w:val="002B4E60"/>
    <w:rsid w:val="002B4F8D"/>
    <w:rsid w:val="002B534E"/>
    <w:rsid w:val="002B58F0"/>
    <w:rsid w:val="002B59C8"/>
    <w:rsid w:val="002B6A77"/>
    <w:rsid w:val="002B735D"/>
    <w:rsid w:val="002C017E"/>
    <w:rsid w:val="002C0B31"/>
    <w:rsid w:val="002C194F"/>
    <w:rsid w:val="002C19E1"/>
    <w:rsid w:val="002C2A63"/>
    <w:rsid w:val="002C343D"/>
    <w:rsid w:val="002C38A5"/>
    <w:rsid w:val="002C4583"/>
    <w:rsid w:val="002C4F6E"/>
    <w:rsid w:val="002C5416"/>
    <w:rsid w:val="002C5DFD"/>
    <w:rsid w:val="002C6271"/>
    <w:rsid w:val="002C69A9"/>
    <w:rsid w:val="002C6BB6"/>
    <w:rsid w:val="002C6DBA"/>
    <w:rsid w:val="002C7E85"/>
    <w:rsid w:val="002D05AD"/>
    <w:rsid w:val="002D06D1"/>
    <w:rsid w:val="002D0A80"/>
    <w:rsid w:val="002D0D0F"/>
    <w:rsid w:val="002D1255"/>
    <w:rsid w:val="002D15F4"/>
    <w:rsid w:val="002D19C0"/>
    <w:rsid w:val="002D2315"/>
    <w:rsid w:val="002D2520"/>
    <w:rsid w:val="002D2C8B"/>
    <w:rsid w:val="002D3375"/>
    <w:rsid w:val="002D413F"/>
    <w:rsid w:val="002D42C7"/>
    <w:rsid w:val="002D5A1D"/>
    <w:rsid w:val="002D6835"/>
    <w:rsid w:val="002D6A72"/>
    <w:rsid w:val="002D7254"/>
    <w:rsid w:val="002D7967"/>
    <w:rsid w:val="002E06FA"/>
    <w:rsid w:val="002E096A"/>
    <w:rsid w:val="002E13A1"/>
    <w:rsid w:val="002E1503"/>
    <w:rsid w:val="002E188D"/>
    <w:rsid w:val="002E25FB"/>
    <w:rsid w:val="002E2640"/>
    <w:rsid w:val="002E2645"/>
    <w:rsid w:val="002E298A"/>
    <w:rsid w:val="002E2D23"/>
    <w:rsid w:val="002E4483"/>
    <w:rsid w:val="002E5130"/>
    <w:rsid w:val="002E52CC"/>
    <w:rsid w:val="002E593B"/>
    <w:rsid w:val="002E5EEA"/>
    <w:rsid w:val="002E6806"/>
    <w:rsid w:val="002E6A87"/>
    <w:rsid w:val="002E6BBC"/>
    <w:rsid w:val="002E789E"/>
    <w:rsid w:val="002E7CD0"/>
    <w:rsid w:val="002E7FB9"/>
    <w:rsid w:val="002F0204"/>
    <w:rsid w:val="002F03FD"/>
    <w:rsid w:val="002F09D3"/>
    <w:rsid w:val="002F105E"/>
    <w:rsid w:val="002F1063"/>
    <w:rsid w:val="002F14F7"/>
    <w:rsid w:val="002F17DC"/>
    <w:rsid w:val="002F1A1C"/>
    <w:rsid w:val="002F2C9A"/>
    <w:rsid w:val="002F3DDD"/>
    <w:rsid w:val="002F471D"/>
    <w:rsid w:val="002F49E3"/>
    <w:rsid w:val="002F4C98"/>
    <w:rsid w:val="002F4CD2"/>
    <w:rsid w:val="002F4E80"/>
    <w:rsid w:val="002F51D9"/>
    <w:rsid w:val="002F6192"/>
    <w:rsid w:val="002F63C1"/>
    <w:rsid w:val="002F661A"/>
    <w:rsid w:val="002F6AA9"/>
    <w:rsid w:val="002F72D4"/>
    <w:rsid w:val="002F7F9F"/>
    <w:rsid w:val="00301190"/>
    <w:rsid w:val="00301DEC"/>
    <w:rsid w:val="00301EFC"/>
    <w:rsid w:val="00302119"/>
    <w:rsid w:val="0030248C"/>
    <w:rsid w:val="00302B64"/>
    <w:rsid w:val="00303860"/>
    <w:rsid w:val="0030397F"/>
    <w:rsid w:val="00304468"/>
    <w:rsid w:val="00305384"/>
    <w:rsid w:val="003058FD"/>
    <w:rsid w:val="00305C8B"/>
    <w:rsid w:val="00305D7A"/>
    <w:rsid w:val="003066D6"/>
    <w:rsid w:val="0030671D"/>
    <w:rsid w:val="00306925"/>
    <w:rsid w:val="00306AD2"/>
    <w:rsid w:val="00306D8A"/>
    <w:rsid w:val="00307254"/>
    <w:rsid w:val="0030732F"/>
    <w:rsid w:val="00307ED4"/>
    <w:rsid w:val="00307F3D"/>
    <w:rsid w:val="00310103"/>
    <w:rsid w:val="00310153"/>
    <w:rsid w:val="00310485"/>
    <w:rsid w:val="00310923"/>
    <w:rsid w:val="00310FDB"/>
    <w:rsid w:val="00311866"/>
    <w:rsid w:val="003124CA"/>
    <w:rsid w:val="00312727"/>
    <w:rsid w:val="00313031"/>
    <w:rsid w:val="00314740"/>
    <w:rsid w:val="00315707"/>
    <w:rsid w:val="00315C9F"/>
    <w:rsid w:val="00315E8E"/>
    <w:rsid w:val="003162C3"/>
    <w:rsid w:val="00316DCD"/>
    <w:rsid w:val="00316F6B"/>
    <w:rsid w:val="00317529"/>
    <w:rsid w:val="00320B22"/>
    <w:rsid w:val="00320B7A"/>
    <w:rsid w:val="0032128E"/>
    <w:rsid w:val="00321A29"/>
    <w:rsid w:val="00322376"/>
    <w:rsid w:val="00322D76"/>
    <w:rsid w:val="003243EC"/>
    <w:rsid w:val="003244D1"/>
    <w:rsid w:val="0032453E"/>
    <w:rsid w:val="003247FD"/>
    <w:rsid w:val="00324B9C"/>
    <w:rsid w:val="00324E94"/>
    <w:rsid w:val="003250F1"/>
    <w:rsid w:val="003258F9"/>
    <w:rsid w:val="003259CC"/>
    <w:rsid w:val="00325C8D"/>
    <w:rsid w:val="003260C4"/>
    <w:rsid w:val="00326600"/>
    <w:rsid w:val="00326D15"/>
    <w:rsid w:val="00327669"/>
    <w:rsid w:val="00327F09"/>
    <w:rsid w:val="0033056F"/>
    <w:rsid w:val="003305E2"/>
    <w:rsid w:val="0033079C"/>
    <w:rsid w:val="003307F7"/>
    <w:rsid w:val="0033090A"/>
    <w:rsid w:val="00331ED8"/>
    <w:rsid w:val="0033269B"/>
    <w:rsid w:val="00332B59"/>
    <w:rsid w:val="00332DC5"/>
    <w:rsid w:val="003330D0"/>
    <w:rsid w:val="0033315C"/>
    <w:rsid w:val="003331CA"/>
    <w:rsid w:val="003332C6"/>
    <w:rsid w:val="0033351E"/>
    <w:rsid w:val="003336D8"/>
    <w:rsid w:val="003345A0"/>
    <w:rsid w:val="00334662"/>
    <w:rsid w:val="00334F22"/>
    <w:rsid w:val="003356B5"/>
    <w:rsid w:val="00336286"/>
    <w:rsid w:val="003365D7"/>
    <w:rsid w:val="00340774"/>
    <w:rsid w:val="003411D7"/>
    <w:rsid w:val="003418EB"/>
    <w:rsid w:val="00341A74"/>
    <w:rsid w:val="00341B71"/>
    <w:rsid w:val="003429A3"/>
    <w:rsid w:val="00342D4D"/>
    <w:rsid w:val="00343780"/>
    <w:rsid w:val="00343FD5"/>
    <w:rsid w:val="00344E77"/>
    <w:rsid w:val="00344F7A"/>
    <w:rsid w:val="003456D0"/>
    <w:rsid w:val="00345ADC"/>
    <w:rsid w:val="00345D29"/>
    <w:rsid w:val="003460F9"/>
    <w:rsid w:val="00346123"/>
    <w:rsid w:val="00346932"/>
    <w:rsid w:val="0034772C"/>
    <w:rsid w:val="00350179"/>
    <w:rsid w:val="003503F4"/>
    <w:rsid w:val="003506C8"/>
    <w:rsid w:val="00350A6B"/>
    <w:rsid w:val="00350BD7"/>
    <w:rsid w:val="00350C15"/>
    <w:rsid w:val="00351351"/>
    <w:rsid w:val="0035137B"/>
    <w:rsid w:val="0035154E"/>
    <w:rsid w:val="003516B9"/>
    <w:rsid w:val="00351E2E"/>
    <w:rsid w:val="003522C1"/>
    <w:rsid w:val="00352305"/>
    <w:rsid w:val="00352CDB"/>
    <w:rsid w:val="003537CA"/>
    <w:rsid w:val="00353AE9"/>
    <w:rsid w:val="00354265"/>
    <w:rsid w:val="003543B1"/>
    <w:rsid w:val="00354D75"/>
    <w:rsid w:val="00356EEB"/>
    <w:rsid w:val="003570A2"/>
    <w:rsid w:val="0035728C"/>
    <w:rsid w:val="003572F6"/>
    <w:rsid w:val="00360552"/>
    <w:rsid w:val="003606E4"/>
    <w:rsid w:val="00361D1E"/>
    <w:rsid w:val="00362242"/>
    <w:rsid w:val="00363ECB"/>
    <w:rsid w:val="00363FAE"/>
    <w:rsid w:val="00364620"/>
    <w:rsid w:val="00364CDC"/>
    <w:rsid w:val="00364F59"/>
    <w:rsid w:val="00365196"/>
    <w:rsid w:val="003658F3"/>
    <w:rsid w:val="00365CD1"/>
    <w:rsid w:val="00365D5F"/>
    <w:rsid w:val="00365DF8"/>
    <w:rsid w:val="00365E0F"/>
    <w:rsid w:val="00365ED7"/>
    <w:rsid w:val="003660DA"/>
    <w:rsid w:val="003660FA"/>
    <w:rsid w:val="003661D9"/>
    <w:rsid w:val="00366333"/>
    <w:rsid w:val="00366B7D"/>
    <w:rsid w:val="00366CD6"/>
    <w:rsid w:val="00366CF1"/>
    <w:rsid w:val="0036786A"/>
    <w:rsid w:val="00370A6B"/>
    <w:rsid w:val="00370C0D"/>
    <w:rsid w:val="00370F96"/>
    <w:rsid w:val="003713B3"/>
    <w:rsid w:val="00371669"/>
    <w:rsid w:val="00371B7D"/>
    <w:rsid w:val="003747D6"/>
    <w:rsid w:val="00374B93"/>
    <w:rsid w:val="003752B6"/>
    <w:rsid w:val="00375B2A"/>
    <w:rsid w:val="00376581"/>
    <w:rsid w:val="00376617"/>
    <w:rsid w:val="00376B04"/>
    <w:rsid w:val="00376FC8"/>
    <w:rsid w:val="0037754A"/>
    <w:rsid w:val="00377DEB"/>
    <w:rsid w:val="00377EF1"/>
    <w:rsid w:val="00380409"/>
    <w:rsid w:val="00380E1B"/>
    <w:rsid w:val="00381B70"/>
    <w:rsid w:val="003820F0"/>
    <w:rsid w:val="003822BD"/>
    <w:rsid w:val="00382919"/>
    <w:rsid w:val="00382A04"/>
    <w:rsid w:val="00382A8E"/>
    <w:rsid w:val="00382B62"/>
    <w:rsid w:val="00383153"/>
    <w:rsid w:val="00383949"/>
    <w:rsid w:val="00384AA9"/>
    <w:rsid w:val="00385B5B"/>
    <w:rsid w:val="00385CD0"/>
    <w:rsid w:val="00385E5B"/>
    <w:rsid w:val="00385F3F"/>
    <w:rsid w:val="0038630D"/>
    <w:rsid w:val="00386A36"/>
    <w:rsid w:val="00386F7A"/>
    <w:rsid w:val="00386F8D"/>
    <w:rsid w:val="00387069"/>
    <w:rsid w:val="003873AE"/>
    <w:rsid w:val="00387A5A"/>
    <w:rsid w:val="00390173"/>
    <w:rsid w:val="003917EB"/>
    <w:rsid w:val="00391DFE"/>
    <w:rsid w:val="0039218C"/>
    <w:rsid w:val="00392C84"/>
    <w:rsid w:val="00394719"/>
    <w:rsid w:val="00394F11"/>
    <w:rsid w:val="00394F70"/>
    <w:rsid w:val="00395B39"/>
    <w:rsid w:val="00395D02"/>
    <w:rsid w:val="00395F39"/>
    <w:rsid w:val="0039616F"/>
    <w:rsid w:val="00396235"/>
    <w:rsid w:val="00396907"/>
    <w:rsid w:val="00396D88"/>
    <w:rsid w:val="00397A01"/>
    <w:rsid w:val="00397AE4"/>
    <w:rsid w:val="003A1794"/>
    <w:rsid w:val="003A242A"/>
    <w:rsid w:val="003A2D21"/>
    <w:rsid w:val="003A33FD"/>
    <w:rsid w:val="003A359A"/>
    <w:rsid w:val="003A384C"/>
    <w:rsid w:val="003A3C47"/>
    <w:rsid w:val="003A3E1E"/>
    <w:rsid w:val="003A4224"/>
    <w:rsid w:val="003A44BF"/>
    <w:rsid w:val="003A4625"/>
    <w:rsid w:val="003A5335"/>
    <w:rsid w:val="003A5D06"/>
    <w:rsid w:val="003A62BA"/>
    <w:rsid w:val="003A76A1"/>
    <w:rsid w:val="003B050B"/>
    <w:rsid w:val="003B0578"/>
    <w:rsid w:val="003B05B6"/>
    <w:rsid w:val="003B1353"/>
    <w:rsid w:val="003B16C5"/>
    <w:rsid w:val="003B1867"/>
    <w:rsid w:val="003B1B7B"/>
    <w:rsid w:val="003B2334"/>
    <w:rsid w:val="003B2649"/>
    <w:rsid w:val="003B2FB7"/>
    <w:rsid w:val="003B335A"/>
    <w:rsid w:val="003B33EA"/>
    <w:rsid w:val="003B36E8"/>
    <w:rsid w:val="003B37F0"/>
    <w:rsid w:val="003B3DBD"/>
    <w:rsid w:val="003B3E55"/>
    <w:rsid w:val="003B433A"/>
    <w:rsid w:val="003B46A9"/>
    <w:rsid w:val="003B473B"/>
    <w:rsid w:val="003B5135"/>
    <w:rsid w:val="003B5491"/>
    <w:rsid w:val="003B5F55"/>
    <w:rsid w:val="003B61F7"/>
    <w:rsid w:val="003B6308"/>
    <w:rsid w:val="003B6AA0"/>
    <w:rsid w:val="003B7388"/>
    <w:rsid w:val="003B7771"/>
    <w:rsid w:val="003B7D17"/>
    <w:rsid w:val="003C08BC"/>
    <w:rsid w:val="003C10B1"/>
    <w:rsid w:val="003C19E5"/>
    <w:rsid w:val="003C1E74"/>
    <w:rsid w:val="003C264B"/>
    <w:rsid w:val="003C27EE"/>
    <w:rsid w:val="003C29AF"/>
    <w:rsid w:val="003C2CB6"/>
    <w:rsid w:val="003C30E3"/>
    <w:rsid w:val="003C3BD3"/>
    <w:rsid w:val="003C4BB2"/>
    <w:rsid w:val="003C4C02"/>
    <w:rsid w:val="003C51D9"/>
    <w:rsid w:val="003C523B"/>
    <w:rsid w:val="003C5762"/>
    <w:rsid w:val="003C5EC3"/>
    <w:rsid w:val="003C6778"/>
    <w:rsid w:val="003C7289"/>
    <w:rsid w:val="003C7603"/>
    <w:rsid w:val="003C7868"/>
    <w:rsid w:val="003C7C56"/>
    <w:rsid w:val="003D0C69"/>
    <w:rsid w:val="003D1323"/>
    <w:rsid w:val="003D21CB"/>
    <w:rsid w:val="003D2456"/>
    <w:rsid w:val="003D3066"/>
    <w:rsid w:val="003D3117"/>
    <w:rsid w:val="003D37F5"/>
    <w:rsid w:val="003D38F5"/>
    <w:rsid w:val="003D3AB7"/>
    <w:rsid w:val="003D412D"/>
    <w:rsid w:val="003D468A"/>
    <w:rsid w:val="003D4CEF"/>
    <w:rsid w:val="003D657B"/>
    <w:rsid w:val="003D7A29"/>
    <w:rsid w:val="003D7ECC"/>
    <w:rsid w:val="003E0960"/>
    <w:rsid w:val="003E18AA"/>
    <w:rsid w:val="003E1962"/>
    <w:rsid w:val="003E1C52"/>
    <w:rsid w:val="003E1CAE"/>
    <w:rsid w:val="003E22F9"/>
    <w:rsid w:val="003E23A0"/>
    <w:rsid w:val="003E23D6"/>
    <w:rsid w:val="003E255F"/>
    <w:rsid w:val="003E3094"/>
    <w:rsid w:val="003E3161"/>
    <w:rsid w:val="003E35FA"/>
    <w:rsid w:val="003E389A"/>
    <w:rsid w:val="003E4033"/>
    <w:rsid w:val="003E40AE"/>
    <w:rsid w:val="003E456A"/>
    <w:rsid w:val="003E45CD"/>
    <w:rsid w:val="003E4B40"/>
    <w:rsid w:val="003E57D2"/>
    <w:rsid w:val="003E5A42"/>
    <w:rsid w:val="003E5D38"/>
    <w:rsid w:val="003E6347"/>
    <w:rsid w:val="003E693F"/>
    <w:rsid w:val="003E7065"/>
    <w:rsid w:val="003E7841"/>
    <w:rsid w:val="003F14A0"/>
    <w:rsid w:val="003F2031"/>
    <w:rsid w:val="003F230F"/>
    <w:rsid w:val="003F24CF"/>
    <w:rsid w:val="003F3281"/>
    <w:rsid w:val="003F32D3"/>
    <w:rsid w:val="003F3F7F"/>
    <w:rsid w:val="003F47BA"/>
    <w:rsid w:val="003F4C75"/>
    <w:rsid w:val="003F62BC"/>
    <w:rsid w:val="003F71D0"/>
    <w:rsid w:val="003F7531"/>
    <w:rsid w:val="003F785C"/>
    <w:rsid w:val="003F7870"/>
    <w:rsid w:val="00400302"/>
    <w:rsid w:val="004007E7"/>
    <w:rsid w:val="00400881"/>
    <w:rsid w:val="00400D91"/>
    <w:rsid w:val="00401FCC"/>
    <w:rsid w:val="004022C6"/>
    <w:rsid w:val="004025A1"/>
    <w:rsid w:val="00403341"/>
    <w:rsid w:val="004040F5"/>
    <w:rsid w:val="00404BA7"/>
    <w:rsid w:val="00404E5B"/>
    <w:rsid w:val="004050FC"/>
    <w:rsid w:val="00405959"/>
    <w:rsid w:val="0040601B"/>
    <w:rsid w:val="00406F1A"/>
    <w:rsid w:val="00406F22"/>
    <w:rsid w:val="00406FBD"/>
    <w:rsid w:val="004102BE"/>
    <w:rsid w:val="004107CB"/>
    <w:rsid w:val="00410B8C"/>
    <w:rsid w:val="00411A05"/>
    <w:rsid w:val="00411B65"/>
    <w:rsid w:val="00412767"/>
    <w:rsid w:val="004132B9"/>
    <w:rsid w:val="00414B65"/>
    <w:rsid w:val="00415344"/>
    <w:rsid w:val="004170CC"/>
    <w:rsid w:val="00417157"/>
    <w:rsid w:val="0041727B"/>
    <w:rsid w:val="00420297"/>
    <w:rsid w:val="00420571"/>
    <w:rsid w:val="00421A3B"/>
    <w:rsid w:val="004232FA"/>
    <w:rsid w:val="0042410F"/>
    <w:rsid w:val="004242B2"/>
    <w:rsid w:val="004250C3"/>
    <w:rsid w:val="00425931"/>
    <w:rsid w:val="00425BA3"/>
    <w:rsid w:val="00425F27"/>
    <w:rsid w:val="00426814"/>
    <w:rsid w:val="004270A4"/>
    <w:rsid w:val="004270CB"/>
    <w:rsid w:val="00427465"/>
    <w:rsid w:val="004274C8"/>
    <w:rsid w:val="004279DF"/>
    <w:rsid w:val="00431949"/>
    <w:rsid w:val="00431AC8"/>
    <w:rsid w:val="00431C1E"/>
    <w:rsid w:val="004326C4"/>
    <w:rsid w:val="00433628"/>
    <w:rsid w:val="0043396F"/>
    <w:rsid w:val="00433BFD"/>
    <w:rsid w:val="00433E5D"/>
    <w:rsid w:val="0043401F"/>
    <w:rsid w:val="004341D5"/>
    <w:rsid w:val="0043422E"/>
    <w:rsid w:val="00434780"/>
    <w:rsid w:val="00435101"/>
    <w:rsid w:val="00435835"/>
    <w:rsid w:val="00435B68"/>
    <w:rsid w:val="00435DAD"/>
    <w:rsid w:val="00435EC3"/>
    <w:rsid w:val="00436A46"/>
    <w:rsid w:val="00436C5D"/>
    <w:rsid w:val="00436E27"/>
    <w:rsid w:val="00437318"/>
    <w:rsid w:val="0043731B"/>
    <w:rsid w:val="00437675"/>
    <w:rsid w:val="004401A6"/>
    <w:rsid w:val="004402D3"/>
    <w:rsid w:val="00440628"/>
    <w:rsid w:val="00440684"/>
    <w:rsid w:val="00440965"/>
    <w:rsid w:val="0044118E"/>
    <w:rsid w:val="0044128A"/>
    <w:rsid w:val="00441D91"/>
    <w:rsid w:val="00441E73"/>
    <w:rsid w:val="004426ED"/>
    <w:rsid w:val="00442795"/>
    <w:rsid w:val="00442AFC"/>
    <w:rsid w:val="00442FBB"/>
    <w:rsid w:val="004438A1"/>
    <w:rsid w:val="00444697"/>
    <w:rsid w:val="00444CA6"/>
    <w:rsid w:val="00444F41"/>
    <w:rsid w:val="0044610D"/>
    <w:rsid w:val="004462E8"/>
    <w:rsid w:val="004463B9"/>
    <w:rsid w:val="00446417"/>
    <w:rsid w:val="0044704D"/>
    <w:rsid w:val="004476DB"/>
    <w:rsid w:val="004478D7"/>
    <w:rsid w:val="0045037F"/>
    <w:rsid w:val="00450B64"/>
    <w:rsid w:val="00451727"/>
    <w:rsid w:val="004517C5"/>
    <w:rsid w:val="00451AE7"/>
    <w:rsid w:val="004530C6"/>
    <w:rsid w:val="00453ABA"/>
    <w:rsid w:val="00453B3A"/>
    <w:rsid w:val="00453C8E"/>
    <w:rsid w:val="00453FC0"/>
    <w:rsid w:val="0045423B"/>
    <w:rsid w:val="00454490"/>
    <w:rsid w:val="00454621"/>
    <w:rsid w:val="00454886"/>
    <w:rsid w:val="00455CF5"/>
    <w:rsid w:val="00456006"/>
    <w:rsid w:val="0045645F"/>
    <w:rsid w:val="0045672A"/>
    <w:rsid w:val="004567FB"/>
    <w:rsid w:val="004569CC"/>
    <w:rsid w:val="00456C2B"/>
    <w:rsid w:val="00456F1E"/>
    <w:rsid w:val="0045777F"/>
    <w:rsid w:val="00460965"/>
    <w:rsid w:val="00460CA1"/>
    <w:rsid w:val="004617C0"/>
    <w:rsid w:val="00461AEE"/>
    <w:rsid w:val="004629C0"/>
    <w:rsid w:val="00462D30"/>
    <w:rsid w:val="00463AA2"/>
    <w:rsid w:val="00463CCF"/>
    <w:rsid w:val="004643A4"/>
    <w:rsid w:val="00464536"/>
    <w:rsid w:val="004646EA"/>
    <w:rsid w:val="00464753"/>
    <w:rsid w:val="00464AB2"/>
    <w:rsid w:val="00464B19"/>
    <w:rsid w:val="00465721"/>
    <w:rsid w:val="00465824"/>
    <w:rsid w:val="00465B38"/>
    <w:rsid w:val="00465EE6"/>
    <w:rsid w:val="00466786"/>
    <w:rsid w:val="00466B3F"/>
    <w:rsid w:val="00467445"/>
    <w:rsid w:val="004677D5"/>
    <w:rsid w:val="00467837"/>
    <w:rsid w:val="00467F53"/>
    <w:rsid w:val="004702F3"/>
    <w:rsid w:val="0047065C"/>
    <w:rsid w:val="0047074A"/>
    <w:rsid w:val="00470BCA"/>
    <w:rsid w:val="00471360"/>
    <w:rsid w:val="004718D5"/>
    <w:rsid w:val="00471DA0"/>
    <w:rsid w:val="00471F01"/>
    <w:rsid w:val="00472142"/>
    <w:rsid w:val="00472269"/>
    <w:rsid w:val="00472EAA"/>
    <w:rsid w:val="00474B80"/>
    <w:rsid w:val="00474BD5"/>
    <w:rsid w:val="00474FB2"/>
    <w:rsid w:val="004758F0"/>
    <w:rsid w:val="00475A1F"/>
    <w:rsid w:val="00475BCE"/>
    <w:rsid w:val="00476069"/>
    <w:rsid w:val="00477BD4"/>
    <w:rsid w:val="00477E86"/>
    <w:rsid w:val="0048115C"/>
    <w:rsid w:val="00481761"/>
    <w:rsid w:val="00482345"/>
    <w:rsid w:val="00483800"/>
    <w:rsid w:val="00483C84"/>
    <w:rsid w:val="004846F9"/>
    <w:rsid w:val="00484776"/>
    <w:rsid w:val="004851D1"/>
    <w:rsid w:val="00485487"/>
    <w:rsid w:val="004856F2"/>
    <w:rsid w:val="00485763"/>
    <w:rsid w:val="004858B8"/>
    <w:rsid w:val="0048596E"/>
    <w:rsid w:val="00485F36"/>
    <w:rsid w:val="00486AC0"/>
    <w:rsid w:val="0048765E"/>
    <w:rsid w:val="00487C12"/>
    <w:rsid w:val="00487C1C"/>
    <w:rsid w:val="00490163"/>
    <w:rsid w:val="004901B9"/>
    <w:rsid w:val="00490F0A"/>
    <w:rsid w:val="004918BE"/>
    <w:rsid w:val="00491973"/>
    <w:rsid w:val="00491A6D"/>
    <w:rsid w:val="00491BAE"/>
    <w:rsid w:val="00492180"/>
    <w:rsid w:val="00492692"/>
    <w:rsid w:val="00493899"/>
    <w:rsid w:val="00494819"/>
    <w:rsid w:val="00495244"/>
    <w:rsid w:val="00495E04"/>
    <w:rsid w:val="00496A7D"/>
    <w:rsid w:val="004978D5"/>
    <w:rsid w:val="00497A49"/>
    <w:rsid w:val="00497D2C"/>
    <w:rsid w:val="00497F18"/>
    <w:rsid w:val="004A03B1"/>
    <w:rsid w:val="004A0C2D"/>
    <w:rsid w:val="004A1AA0"/>
    <w:rsid w:val="004A1BDE"/>
    <w:rsid w:val="004A2301"/>
    <w:rsid w:val="004A2A32"/>
    <w:rsid w:val="004A3831"/>
    <w:rsid w:val="004A396A"/>
    <w:rsid w:val="004A3B91"/>
    <w:rsid w:val="004A443A"/>
    <w:rsid w:val="004A503C"/>
    <w:rsid w:val="004A59F9"/>
    <w:rsid w:val="004A6C2F"/>
    <w:rsid w:val="004A72AC"/>
    <w:rsid w:val="004A733D"/>
    <w:rsid w:val="004A77B5"/>
    <w:rsid w:val="004A7A81"/>
    <w:rsid w:val="004B0966"/>
    <w:rsid w:val="004B1010"/>
    <w:rsid w:val="004B125E"/>
    <w:rsid w:val="004B2E34"/>
    <w:rsid w:val="004B31BC"/>
    <w:rsid w:val="004B31EA"/>
    <w:rsid w:val="004B3711"/>
    <w:rsid w:val="004B376C"/>
    <w:rsid w:val="004B3E0F"/>
    <w:rsid w:val="004B3EDD"/>
    <w:rsid w:val="004B441A"/>
    <w:rsid w:val="004B743F"/>
    <w:rsid w:val="004B78DE"/>
    <w:rsid w:val="004B7E72"/>
    <w:rsid w:val="004C009E"/>
    <w:rsid w:val="004C0F9D"/>
    <w:rsid w:val="004C1170"/>
    <w:rsid w:val="004C1C90"/>
    <w:rsid w:val="004C26B8"/>
    <w:rsid w:val="004C2787"/>
    <w:rsid w:val="004C2957"/>
    <w:rsid w:val="004C2FA4"/>
    <w:rsid w:val="004C3308"/>
    <w:rsid w:val="004C349A"/>
    <w:rsid w:val="004C387B"/>
    <w:rsid w:val="004C4358"/>
    <w:rsid w:val="004C462C"/>
    <w:rsid w:val="004C4698"/>
    <w:rsid w:val="004C5160"/>
    <w:rsid w:val="004C5E2C"/>
    <w:rsid w:val="004C6BAD"/>
    <w:rsid w:val="004C740D"/>
    <w:rsid w:val="004C7504"/>
    <w:rsid w:val="004C7E27"/>
    <w:rsid w:val="004D0B4F"/>
    <w:rsid w:val="004D261F"/>
    <w:rsid w:val="004D2703"/>
    <w:rsid w:val="004D28F5"/>
    <w:rsid w:val="004D2A45"/>
    <w:rsid w:val="004D36EA"/>
    <w:rsid w:val="004D3A7A"/>
    <w:rsid w:val="004D3DF7"/>
    <w:rsid w:val="004D3F67"/>
    <w:rsid w:val="004D41C6"/>
    <w:rsid w:val="004D45C2"/>
    <w:rsid w:val="004D48CA"/>
    <w:rsid w:val="004D4EB0"/>
    <w:rsid w:val="004D57B7"/>
    <w:rsid w:val="004D5C1D"/>
    <w:rsid w:val="004D6017"/>
    <w:rsid w:val="004D613A"/>
    <w:rsid w:val="004D65EE"/>
    <w:rsid w:val="004D67D0"/>
    <w:rsid w:val="004D7954"/>
    <w:rsid w:val="004D7EBE"/>
    <w:rsid w:val="004E0155"/>
    <w:rsid w:val="004E02D2"/>
    <w:rsid w:val="004E0352"/>
    <w:rsid w:val="004E0811"/>
    <w:rsid w:val="004E0A4E"/>
    <w:rsid w:val="004E1512"/>
    <w:rsid w:val="004E204E"/>
    <w:rsid w:val="004E2192"/>
    <w:rsid w:val="004E2717"/>
    <w:rsid w:val="004E2849"/>
    <w:rsid w:val="004E2C11"/>
    <w:rsid w:val="004E43E7"/>
    <w:rsid w:val="004E453D"/>
    <w:rsid w:val="004E529A"/>
    <w:rsid w:val="004E53AE"/>
    <w:rsid w:val="004E5438"/>
    <w:rsid w:val="004E5631"/>
    <w:rsid w:val="004E5CCD"/>
    <w:rsid w:val="004E607B"/>
    <w:rsid w:val="004E6BBF"/>
    <w:rsid w:val="004E6EB4"/>
    <w:rsid w:val="004E6FB1"/>
    <w:rsid w:val="004E6FFA"/>
    <w:rsid w:val="004E7840"/>
    <w:rsid w:val="004E7E6A"/>
    <w:rsid w:val="004F00A8"/>
    <w:rsid w:val="004F03F0"/>
    <w:rsid w:val="004F06D8"/>
    <w:rsid w:val="004F0741"/>
    <w:rsid w:val="004F2785"/>
    <w:rsid w:val="004F2BC9"/>
    <w:rsid w:val="004F2C16"/>
    <w:rsid w:val="004F2FA0"/>
    <w:rsid w:val="004F4807"/>
    <w:rsid w:val="004F49A4"/>
    <w:rsid w:val="004F4B8A"/>
    <w:rsid w:val="004F4C4D"/>
    <w:rsid w:val="004F4E6F"/>
    <w:rsid w:val="004F5C90"/>
    <w:rsid w:val="004F6F16"/>
    <w:rsid w:val="004F75D8"/>
    <w:rsid w:val="004F77BD"/>
    <w:rsid w:val="004F7B7F"/>
    <w:rsid w:val="00500BED"/>
    <w:rsid w:val="00501D36"/>
    <w:rsid w:val="00501E7F"/>
    <w:rsid w:val="00502022"/>
    <w:rsid w:val="00502DFA"/>
    <w:rsid w:val="00503BF6"/>
    <w:rsid w:val="00504296"/>
    <w:rsid w:val="00504321"/>
    <w:rsid w:val="00504700"/>
    <w:rsid w:val="00504C1E"/>
    <w:rsid w:val="00505205"/>
    <w:rsid w:val="00505494"/>
    <w:rsid w:val="005058F7"/>
    <w:rsid w:val="00505F2B"/>
    <w:rsid w:val="0050613C"/>
    <w:rsid w:val="0050670F"/>
    <w:rsid w:val="00506A48"/>
    <w:rsid w:val="005076DB"/>
    <w:rsid w:val="005104A6"/>
    <w:rsid w:val="0051064E"/>
    <w:rsid w:val="00510753"/>
    <w:rsid w:val="0051164E"/>
    <w:rsid w:val="00511980"/>
    <w:rsid w:val="005121E3"/>
    <w:rsid w:val="005127C6"/>
    <w:rsid w:val="00512CB3"/>
    <w:rsid w:val="005137E0"/>
    <w:rsid w:val="0051394F"/>
    <w:rsid w:val="00513B3E"/>
    <w:rsid w:val="005140C4"/>
    <w:rsid w:val="0051583A"/>
    <w:rsid w:val="00515E72"/>
    <w:rsid w:val="00515F53"/>
    <w:rsid w:val="005169E7"/>
    <w:rsid w:val="0051799B"/>
    <w:rsid w:val="00517BF8"/>
    <w:rsid w:val="00517FC4"/>
    <w:rsid w:val="00520E52"/>
    <w:rsid w:val="00521FE0"/>
    <w:rsid w:val="00522108"/>
    <w:rsid w:val="00522A83"/>
    <w:rsid w:val="005231A4"/>
    <w:rsid w:val="005238EF"/>
    <w:rsid w:val="0052443F"/>
    <w:rsid w:val="0052484A"/>
    <w:rsid w:val="00524B30"/>
    <w:rsid w:val="00524C21"/>
    <w:rsid w:val="00524E88"/>
    <w:rsid w:val="00524ED1"/>
    <w:rsid w:val="005257CD"/>
    <w:rsid w:val="00525A86"/>
    <w:rsid w:val="00525C17"/>
    <w:rsid w:val="00525EBA"/>
    <w:rsid w:val="0052650D"/>
    <w:rsid w:val="00526B93"/>
    <w:rsid w:val="00526F1A"/>
    <w:rsid w:val="00530B0C"/>
    <w:rsid w:val="00530B2D"/>
    <w:rsid w:val="00530FAB"/>
    <w:rsid w:val="0053179A"/>
    <w:rsid w:val="00531816"/>
    <w:rsid w:val="005319B6"/>
    <w:rsid w:val="00531B14"/>
    <w:rsid w:val="00531C9A"/>
    <w:rsid w:val="005321FA"/>
    <w:rsid w:val="00532931"/>
    <w:rsid w:val="00532D83"/>
    <w:rsid w:val="00533554"/>
    <w:rsid w:val="00533810"/>
    <w:rsid w:val="00533861"/>
    <w:rsid w:val="0053434E"/>
    <w:rsid w:val="00534B1F"/>
    <w:rsid w:val="00535175"/>
    <w:rsid w:val="00535249"/>
    <w:rsid w:val="0053561A"/>
    <w:rsid w:val="00535871"/>
    <w:rsid w:val="00535ABC"/>
    <w:rsid w:val="00535C63"/>
    <w:rsid w:val="00535C8C"/>
    <w:rsid w:val="005369B6"/>
    <w:rsid w:val="005369E1"/>
    <w:rsid w:val="00536B6B"/>
    <w:rsid w:val="00536BCA"/>
    <w:rsid w:val="00537134"/>
    <w:rsid w:val="00537249"/>
    <w:rsid w:val="00537A16"/>
    <w:rsid w:val="00537DC7"/>
    <w:rsid w:val="00540459"/>
    <w:rsid w:val="00540770"/>
    <w:rsid w:val="00540BBC"/>
    <w:rsid w:val="00540DE4"/>
    <w:rsid w:val="00540F81"/>
    <w:rsid w:val="00541069"/>
    <w:rsid w:val="0054127A"/>
    <w:rsid w:val="00541577"/>
    <w:rsid w:val="005418EC"/>
    <w:rsid w:val="00542BC6"/>
    <w:rsid w:val="00542C28"/>
    <w:rsid w:val="00542CAC"/>
    <w:rsid w:val="00543507"/>
    <w:rsid w:val="00543FD2"/>
    <w:rsid w:val="00544A19"/>
    <w:rsid w:val="005463F1"/>
    <w:rsid w:val="005465DE"/>
    <w:rsid w:val="0054741A"/>
    <w:rsid w:val="00547E84"/>
    <w:rsid w:val="0055139F"/>
    <w:rsid w:val="005517DD"/>
    <w:rsid w:val="005521EA"/>
    <w:rsid w:val="00552531"/>
    <w:rsid w:val="005527C4"/>
    <w:rsid w:val="005527D2"/>
    <w:rsid w:val="005527E1"/>
    <w:rsid w:val="00552D8A"/>
    <w:rsid w:val="005530A6"/>
    <w:rsid w:val="005537BC"/>
    <w:rsid w:val="00554634"/>
    <w:rsid w:val="005547BC"/>
    <w:rsid w:val="005555CA"/>
    <w:rsid w:val="00555F8D"/>
    <w:rsid w:val="005570E3"/>
    <w:rsid w:val="00557348"/>
    <w:rsid w:val="00560C51"/>
    <w:rsid w:val="0056103C"/>
    <w:rsid w:val="005615D8"/>
    <w:rsid w:val="00561846"/>
    <w:rsid w:val="00561A85"/>
    <w:rsid w:val="00561D9C"/>
    <w:rsid w:val="00562127"/>
    <w:rsid w:val="0056216B"/>
    <w:rsid w:val="00562A81"/>
    <w:rsid w:val="00562B3E"/>
    <w:rsid w:val="00562B5B"/>
    <w:rsid w:val="00562C52"/>
    <w:rsid w:val="00562E10"/>
    <w:rsid w:val="00562E80"/>
    <w:rsid w:val="00562EAF"/>
    <w:rsid w:val="00562F81"/>
    <w:rsid w:val="00563294"/>
    <w:rsid w:val="00563CB7"/>
    <w:rsid w:val="0056429D"/>
    <w:rsid w:val="00564784"/>
    <w:rsid w:val="00565321"/>
    <w:rsid w:val="005667D0"/>
    <w:rsid w:val="005667DD"/>
    <w:rsid w:val="00566C32"/>
    <w:rsid w:val="00566DD9"/>
    <w:rsid w:val="005671EF"/>
    <w:rsid w:val="005672C1"/>
    <w:rsid w:val="00570301"/>
    <w:rsid w:val="0057081B"/>
    <w:rsid w:val="00570B7E"/>
    <w:rsid w:val="005710D3"/>
    <w:rsid w:val="00571205"/>
    <w:rsid w:val="00571541"/>
    <w:rsid w:val="00571AC6"/>
    <w:rsid w:val="00571C88"/>
    <w:rsid w:val="005724F7"/>
    <w:rsid w:val="005725AA"/>
    <w:rsid w:val="00573314"/>
    <w:rsid w:val="00574C08"/>
    <w:rsid w:val="00575527"/>
    <w:rsid w:val="00575B93"/>
    <w:rsid w:val="005760C3"/>
    <w:rsid w:val="00576587"/>
    <w:rsid w:val="005772E6"/>
    <w:rsid w:val="005774C9"/>
    <w:rsid w:val="005777BB"/>
    <w:rsid w:val="00580484"/>
    <w:rsid w:val="005809E2"/>
    <w:rsid w:val="00580A85"/>
    <w:rsid w:val="005820CB"/>
    <w:rsid w:val="0058252E"/>
    <w:rsid w:val="00582602"/>
    <w:rsid w:val="00582712"/>
    <w:rsid w:val="0058278C"/>
    <w:rsid w:val="0058377B"/>
    <w:rsid w:val="00583D66"/>
    <w:rsid w:val="005851F9"/>
    <w:rsid w:val="005854C4"/>
    <w:rsid w:val="00585B7C"/>
    <w:rsid w:val="00585B8E"/>
    <w:rsid w:val="00585F01"/>
    <w:rsid w:val="0058685A"/>
    <w:rsid w:val="00590066"/>
    <w:rsid w:val="005902D1"/>
    <w:rsid w:val="005902D3"/>
    <w:rsid w:val="00590567"/>
    <w:rsid w:val="00590F65"/>
    <w:rsid w:val="00591CA0"/>
    <w:rsid w:val="0059294D"/>
    <w:rsid w:val="0059299E"/>
    <w:rsid w:val="00592BC0"/>
    <w:rsid w:val="00592CCB"/>
    <w:rsid w:val="00592D40"/>
    <w:rsid w:val="00592F0C"/>
    <w:rsid w:val="00593215"/>
    <w:rsid w:val="00593688"/>
    <w:rsid w:val="00594299"/>
    <w:rsid w:val="00594726"/>
    <w:rsid w:val="00594803"/>
    <w:rsid w:val="00596608"/>
    <w:rsid w:val="00596A96"/>
    <w:rsid w:val="00596BD2"/>
    <w:rsid w:val="00596F7B"/>
    <w:rsid w:val="005970EE"/>
    <w:rsid w:val="0059735B"/>
    <w:rsid w:val="005A0181"/>
    <w:rsid w:val="005A031F"/>
    <w:rsid w:val="005A0F09"/>
    <w:rsid w:val="005A16E8"/>
    <w:rsid w:val="005A2137"/>
    <w:rsid w:val="005A2748"/>
    <w:rsid w:val="005A2A22"/>
    <w:rsid w:val="005A2AE8"/>
    <w:rsid w:val="005A2C94"/>
    <w:rsid w:val="005A2E3B"/>
    <w:rsid w:val="005A3508"/>
    <w:rsid w:val="005A382A"/>
    <w:rsid w:val="005A39C0"/>
    <w:rsid w:val="005A3E4C"/>
    <w:rsid w:val="005A40CF"/>
    <w:rsid w:val="005A417E"/>
    <w:rsid w:val="005A44F9"/>
    <w:rsid w:val="005A4CBD"/>
    <w:rsid w:val="005A5515"/>
    <w:rsid w:val="005A5A42"/>
    <w:rsid w:val="005A5BF8"/>
    <w:rsid w:val="005A5EFD"/>
    <w:rsid w:val="005A606F"/>
    <w:rsid w:val="005A6492"/>
    <w:rsid w:val="005A6FB9"/>
    <w:rsid w:val="005A703D"/>
    <w:rsid w:val="005A716A"/>
    <w:rsid w:val="005A765B"/>
    <w:rsid w:val="005A7DA6"/>
    <w:rsid w:val="005B00A3"/>
    <w:rsid w:val="005B01C3"/>
    <w:rsid w:val="005B064F"/>
    <w:rsid w:val="005B1F9E"/>
    <w:rsid w:val="005B23BC"/>
    <w:rsid w:val="005B2B41"/>
    <w:rsid w:val="005B2DDF"/>
    <w:rsid w:val="005B3A52"/>
    <w:rsid w:val="005B3AC3"/>
    <w:rsid w:val="005B3BD9"/>
    <w:rsid w:val="005B44A9"/>
    <w:rsid w:val="005B4934"/>
    <w:rsid w:val="005B5343"/>
    <w:rsid w:val="005B5891"/>
    <w:rsid w:val="005B5AB2"/>
    <w:rsid w:val="005B61BF"/>
    <w:rsid w:val="005B64C5"/>
    <w:rsid w:val="005C08A3"/>
    <w:rsid w:val="005C0D01"/>
    <w:rsid w:val="005C0EE4"/>
    <w:rsid w:val="005C0FE6"/>
    <w:rsid w:val="005C14DF"/>
    <w:rsid w:val="005C152E"/>
    <w:rsid w:val="005C1A46"/>
    <w:rsid w:val="005C1A51"/>
    <w:rsid w:val="005C2811"/>
    <w:rsid w:val="005C2AD4"/>
    <w:rsid w:val="005C2B71"/>
    <w:rsid w:val="005C332A"/>
    <w:rsid w:val="005C4D41"/>
    <w:rsid w:val="005C4ED9"/>
    <w:rsid w:val="005C5157"/>
    <w:rsid w:val="005C6205"/>
    <w:rsid w:val="005C67D3"/>
    <w:rsid w:val="005C687F"/>
    <w:rsid w:val="005C6AB9"/>
    <w:rsid w:val="005C700D"/>
    <w:rsid w:val="005C706F"/>
    <w:rsid w:val="005C77AD"/>
    <w:rsid w:val="005D1362"/>
    <w:rsid w:val="005D1EF5"/>
    <w:rsid w:val="005D2091"/>
    <w:rsid w:val="005D24A6"/>
    <w:rsid w:val="005D29DE"/>
    <w:rsid w:val="005D29E8"/>
    <w:rsid w:val="005D2F60"/>
    <w:rsid w:val="005D3468"/>
    <w:rsid w:val="005D352E"/>
    <w:rsid w:val="005D3537"/>
    <w:rsid w:val="005D35F6"/>
    <w:rsid w:val="005D4468"/>
    <w:rsid w:val="005D4B1B"/>
    <w:rsid w:val="005D5065"/>
    <w:rsid w:val="005D52FF"/>
    <w:rsid w:val="005D58CE"/>
    <w:rsid w:val="005D677E"/>
    <w:rsid w:val="005D6909"/>
    <w:rsid w:val="005D6AC8"/>
    <w:rsid w:val="005D73DB"/>
    <w:rsid w:val="005D73F9"/>
    <w:rsid w:val="005D7958"/>
    <w:rsid w:val="005D7A00"/>
    <w:rsid w:val="005D7E60"/>
    <w:rsid w:val="005E073B"/>
    <w:rsid w:val="005E174E"/>
    <w:rsid w:val="005E26B6"/>
    <w:rsid w:val="005E3A0C"/>
    <w:rsid w:val="005E3DBF"/>
    <w:rsid w:val="005E420D"/>
    <w:rsid w:val="005E4B2C"/>
    <w:rsid w:val="005E4D24"/>
    <w:rsid w:val="005E5BDD"/>
    <w:rsid w:val="005E682F"/>
    <w:rsid w:val="005E7535"/>
    <w:rsid w:val="005E7982"/>
    <w:rsid w:val="005E7D0A"/>
    <w:rsid w:val="005F080F"/>
    <w:rsid w:val="005F0DAB"/>
    <w:rsid w:val="005F177E"/>
    <w:rsid w:val="005F20C7"/>
    <w:rsid w:val="005F26EC"/>
    <w:rsid w:val="005F29AA"/>
    <w:rsid w:val="005F2CD6"/>
    <w:rsid w:val="005F3454"/>
    <w:rsid w:val="005F4189"/>
    <w:rsid w:val="005F42D6"/>
    <w:rsid w:val="005F4468"/>
    <w:rsid w:val="005F4955"/>
    <w:rsid w:val="005F5329"/>
    <w:rsid w:val="005F5B4E"/>
    <w:rsid w:val="005F6496"/>
    <w:rsid w:val="005F6562"/>
    <w:rsid w:val="005F6B8C"/>
    <w:rsid w:val="005F7347"/>
    <w:rsid w:val="00600B27"/>
    <w:rsid w:val="00600BFE"/>
    <w:rsid w:val="00600E25"/>
    <w:rsid w:val="006012D8"/>
    <w:rsid w:val="00601892"/>
    <w:rsid w:val="00601943"/>
    <w:rsid w:val="00601A21"/>
    <w:rsid w:val="00601AFA"/>
    <w:rsid w:val="0060314B"/>
    <w:rsid w:val="00603158"/>
    <w:rsid w:val="00603276"/>
    <w:rsid w:val="00603DDB"/>
    <w:rsid w:val="00604A65"/>
    <w:rsid w:val="00605BFF"/>
    <w:rsid w:val="00605F11"/>
    <w:rsid w:val="0060636C"/>
    <w:rsid w:val="006063F9"/>
    <w:rsid w:val="006066C2"/>
    <w:rsid w:val="00607C88"/>
    <w:rsid w:val="00607E87"/>
    <w:rsid w:val="0061034E"/>
    <w:rsid w:val="00611334"/>
    <w:rsid w:val="0061135A"/>
    <w:rsid w:val="00611B8B"/>
    <w:rsid w:val="00611C29"/>
    <w:rsid w:val="006124CE"/>
    <w:rsid w:val="006125EC"/>
    <w:rsid w:val="00612E35"/>
    <w:rsid w:val="0061497A"/>
    <w:rsid w:val="0061507B"/>
    <w:rsid w:val="006151F2"/>
    <w:rsid w:val="00615AD4"/>
    <w:rsid w:val="00615C25"/>
    <w:rsid w:val="006169AB"/>
    <w:rsid w:val="00616DCB"/>
    <w:rsid w:val="00617723"/>
    <w:rsid w:val="006179FB"/>
    <w:rsid w:val="006207B6"/>
    <w:rsid w:val="0062110D"/>
    <w:rsid w:val="00621452"/>
    <w:rsid w:val="00621C04"/>
    <w:rsid w:val="0062281E"/>
    <w:rsid w:val="00622BCC"/>
    <w:rsid w:val="00623036"/>
    <w:rsid w:val="00623078"/>
    <w:rsid w:val="006232AD"/>
    <w:rsid w:val="006236FE"/>
    <w:rsid w:val="00623916"/>
    <w:rsid w:val="006249B1"/>
    <w:rsid w:val="00624A0E"/>
    <w:rsid w:val="00625238"/>
    <w:rsid w:val="00625697"/>
    <w:rsid w:val="00625836"/>
    <w:rsid w:val="006258E8"/>
    <w:rsid w:val="006266D1"/>
    <w:rsid w:val="00626B0C"/>
    <w:rsid w:val="00626C3A"/>
    <w:rsid w:val="0062731D"/>
    <w:rsid w:val="00627728"/>
    <w:rsid w:val="0062785D"/>
    <w:rsid w:val="006279C5"/>
    <w:rsid w:val="00630121"/>
    <w:rsid w:val="006304A8"/>
    <w:rsid w:val="0063198C"/>
    <w:rsid w:val="00632373"/>
    <w:rsid w:val="006326E4"/>
    <w:rsid w:val="006327CC"/>
    <w:rsid w:val="00632F90"/>
    <w:rsid w:val="00633787"/>
    <w:rsid w:val="00633887"/>
    <w:rsid w:val="00633DE1"/>
    <w:rsid w:val="00634088"/>
    <w:rsid w:val="00634544"/>
    <w:rsid w:val="0063463A"/>
    <w:rsid w:val="00634644"/>
    <w:rsid w:val="00634AA4"/>
    <w:rsid w:val="00634F58"/>
    <w:rsid w:val="0063586A"/>
    <w:rsid w:val="00635C3F"/>
    <w:rsid w:val="00635D0F"/>
    <w:rsid w:val="006362CD"/>
    <w:rsid w:val="0063689F"/>
    <w:rsid w:val="00636BF3"/>
    <w:rsid w:val="00637272"/>
    <w:rsid w:val="00637E04"/>
    <w:rsid w:val="0064084A"/>
    <w:rsid w:val="00641216"/>
    <w:rsid w:val="006413A4"/>
    <w:rsid w:val="006417B9"/>
    <w:rsid w:val="00641B60"/>
    <w:rsid w:val="00641CC3"/>
    <w:rsid w:val="00641F04"/>
    <w:rsid w:val="00642DB0"/>
    <w:rsid w:val="006430B3"/>
    <w:rsid w:val="006430D1"/>
    <w:rsid w:val="0064312C"/>
    <w:rsid w:val="00643764"/>
    <w:rsid w:val="00643776"/>
    <w:rsid w:val="006442A7"/>
    <w:rsid w:val="0064469E"/>
    <w:rsid w:val="00645041"/>
    <w:rsid w:val="00645CE8"/>
    <w:rsid w:val="00646742"/>
    <w:rsid w:val="00646CF9"/>
    <w:rsid w:val="00646D42"/>
    <w:rsid w:val="0064731C"/>
    <w:rsid w:val="00647A31"/>
    <w:rsid w:val="00647D62"/>
    <w:rsid w:val="00647F22"/>
    <w:rsid w:val="00647FF6"/>
    <w:rsid w:val="006501A7"/>
    <w:rsid w:val="006504D9"/>
    <w:rsid w:val="006511FC"/>
    <w:rsid w:val="00651330"/>
    <w:rsid w:val="006524C1"/>
    <w:rsid w:val="00653BE5"/>
    <w:rsid w:val="00653C17"/>
    <w:rsid w:val="00654208"/>
    <w:rsid w:val="00654AB2"/>
    <w:rsid w:val="00655C88"/>
    <w:rsid w:val="00655CFF"/>
    <w:rsid w:val="0065653A"/>
    <w:rsid w:val="00656AF3"/>
    <w:rsid w:val="00656B9E"/>
    <w:rsid w:val="00656FCF"/>
    <w:rsid w:val="00657624"/>
    <w:rsid w:val="00657A71"/>
    <w:rsid w:val="00660554"/>
    <w:rsid w:val="00660DDA"/>
    <w:rsid w:val="006621F5"/>
    <w:rsid w:val="0066295C"/>
    <w:rsid w:val="00663854"/>
    <w:rsid w:val="00663B7A"/>
    <w:rsid w:val="006646E2"/>
    <w:rsid w:val="00664788"/>
    <w:rsid w:val="006656E9"/>
    <w:rsid w:val="0066574B"/>
    <w:rsid w:val="00665D50"/>
    <w:rsid w:val="0066692B"/>
    <w:rsid w:val="0066693F"/>
    <w:rsid w:val="00666F97"/>
    <w:rsid w:val="006673E6"/>
    <w:rsid w:val="0066756E"/>
    <w:rsid w:val="006675D8"/>
    <w:rsid w:val="00667639"/>
    <w:rsid w:val="00670199"/>
    <w:rsid w:val="00670559"/>
    <w:rsid w:val="006709EF"/>
    <w:rsid w:val="00670C7C"/>
    <w:rsid w:val="00670D47"/>
    <w:rsid w:val="006718A5"/>
    <w:rsid w:val="00671CE3"/>
    <w:rsid w:val="00671D45"/>
    <w:rsid w:val="0067206B"/>
    <w:rsid w:val="00672E3F"/>
    <w:rsid w:val="006732AD"/>
    <w:rsid w:val="00673995"/>
    <w:rsid w:val="006746B6"/>
    <w:rsid w:val="006748A0"/>
    <w:rsid w:val="0067567C"/>
    <w:rsid w:val="006761C9"/>
    <w:rsid w:val="00676A67"/>
    <w:rsid w:val="00676CA1"/>
    <w:rsid w:val="00677540"/>
    <w:rsid w:val="00677CBB"/>
    <w:rsid w:val="00677CDF"/>
    <w:rsid w:val="0068032D"/>
    <w:rsid w:val="00681687"/>
    <w:rsid w:val="00681924"/>
    <w:rsid w:val="00681AAC"/>
    <w:rsid w:val="00682AE8"/>
    <w:rsid w:val="006843D5"/>
    <w:rsid w:val="0068446D"/>
    <w:rsid w:val="006846E2"/>
    <w:rsid w:val="00684B61"/>
    <w:rsid w:val="00684C9D"/>
    <w:rsid w:val="006853BE"/>
    <w:rsid w:val="00685C31"/>
    <w:rsid w:val="00686AE6"/>
    <w:rsid w:val="006872D6"/>
    <w:rsid w:val="0068740B"/>
    <w:rsid w:val="00687CFB"/>
    <w:rsid w:val="00687E5F"/>
    <w:rsid w:val="0069080A"/>
    <w:rsid w:val="006908B1"/>
    <w:rsid w:val="00691ADF"/>
    <w:rsid w:val="00691FBE"/>
    <w:rsid w:val="00692456"/>
    <w:rsid w:val="0069310A"/>
    <w:rsid w:val="00693441"/>
    <w:rsid w:val="006935C6"/>
    <w:rsid w:val="00694093"/>
    <w:rsid w:val="006940C1"/>
    <w:rsid w:val="006941A9"/>
    <w:rsid w:val="00694497"/>
    <w:rsid w:val="00695165"/>
    <w:rsid w:val="00695C5B"/>
    <w:rsid w:val="00695CC4"/>
    <w:rsid w:val="00696987"/>
    <w:rsid w:val="00696D97"/>
    <w:rsid w:val="006A03E2"/>
    <w:rsid w:val="006A08C8"/>
    <w:rsid w:val="006A0FDA"/>
    <w:rsid w:val="006A11E0"/>
    <w:rsid w:val="006A130E"/>
    <w:rsid w:val="006A1754"/>
    <w:rsid w:val="006A1C8A"/>
    <w:rsid w:val="006A1F7F"/>
    <w:rsid w:val="006A2F61"/>
    <w:rsid w:val="006A2FC1"/>
    <w:rsid w:val="006A393F"/>
    <w:rsid w:val="006A3B75"/>
    <w:rsid w:val="006A458A"/>
    <w:rsid w:val="006A4709"/>
    <w:rsid w:val="006A4DCB"/>
    <w:rsid w:val="006A6992"/>
    <w:rsid w:val="006A6CB5"/>
    <w:rsid w:val="006A789E"/>
    <w:rsid w:val="006A78DF"/>
    <w:rsid w:val="006A7A4D"/>
    <w:rsid w:val="006AB270"/>
    <w:rsid w:val="006B048D"/>
    <w:rsid w:val="006B08C8"/>
    <w:rsid w:val="006B106A"/>
    <w:rsid w:val="006B18C7"/>
    <w:rsid w:val="006B1BFD"/>
    <w:rsid w:val="006B1F67"/>
    <w:rsid w:val="006B20DA"/>
    <w:rsid w:val="006B2192"/>
    <w:rsid w:val="006B36EF"/>
    <w:rsid w:val="006B3744"/>
    <w:rsid w:val="006B38E7"/>
    <w:rsid w:val="006B3990"/>
    <w:rsid w:val="006B3C3B"/>
    <w:rsid w:val="006B3D1F"/>
    <w:rsid w:val="006B4033"/>
    <w:rsid w:val="006B49A9"/>
    <w:rsid w:val="006B5116"/>
    <w:rsid w:val="006B5309"/>
    <w:rsid w:val="006B6D22"/>
    <w:rsid w:val="006B7865"/>
    <w:rsid w:val="006B7DBA"/>
    <w:rsid w:val="006C054A"/>
    <w:rsid w:val="006C0D9C"/>
    <w:rsid w:val="006C169E"/>
    <w:rsid w:val="006C2085"/>
    <w:rsid w:val="006C2629"/>
    <w:rsid w:val="006C2970"/>
    <w:rsid w:val="006C2A9C"/>
    <w:rsid w:val="006C2E40"/>
    <w:rsid w:val="006C3012"/>
    <w:rsid w:val="006C3E1D"/>
    <w:rsid w:val="006C40B8"/>
    <w:rsid w:val="006C4370"/>
    <w:rsid w:val="006C4D25"/>
    <w:rsid w:val="006C55BF"/>
    <w:rsid w:val="006C5912"/>
    <w:rsid w:val="006C5AA4"/>
    <w:rsid w:val="006C5D26"/>
    <w:rsid w:val="006C6610"/>
    <w:rsid w:val="006C6BCA"/>
    <w:rsid w:val="006C6F04"/>
    <w:rsid w:val="006C708D"/>
    <w:rsid w:val="006C7B98"/>
    <w:rsid w:val="006D0F90"/>
    <w:rsid w:val="006D0FB4"/>
    <w:rsid w:val="006D1004"/>
    <w:rsid w:val="006D1257"/>
    <w:rsid w:val="006D1371"/>
    <w:rsid w:val="006D159D"/>
    <w:rsid w:val="006D1B55"/>
    <w:rsid w:val="006D1EEE"/>
    <w:rsid w:val="006D292D"/>
    <w:rsid w:val="006D373D"/>
    <w:rsid w:val="006D3BBE"/>
    <w:rsid w:val="006D4159"/>
    <w:rsid w:val="006D45F3"/>
    <w:rsid w:val="006D4B81"/>
    <w:rsid w:val="006D4CFE"/>
    <w:rsid w:val="006D4E05"/>
    <w:rsid w:val="006D4E35"/>
    <w:rsid w:val="006D5B05"/>
    <w:rsid w:val="006D63EC"/>
    <w:rsid w:val="006D7168"/>
    <w:rsid w:val="006D72DA"/>
    <w:rsid w:val="006E035C"/>
    <w:rsid w:val="006E0489"/>
    <w:rsid w:val="006E066D"/>
    <w:rsid w:val="006E0FDE"/>
    <w:rsid w:val="006E1722"/>
    <w:rsid w:val="006E2087"/>
    <w:rsid w:val="006E24B0"/>
    <w:rsid w:val="006E2C8D"/>
    <w:rsid w:val="006E3119"/>
    <w:rsid w:val="006E414A"/>
    <w:rsid w:val="006E487E"/>
    <w:rsid w:val="006E5C6F"/>
    <w:rsid w:val="006E6AD8"/>
    <w:rsid w:val="006E7674"/>
    <w:rsid w:val="006E7D0B"/>
    <w:rsid w:val="006F0436"/>
    <w:rsid w:val="006F06A6"/>
    <w:rsid w:val="006F0DAD"/>
    <w:rsid w:val="006F18F9"/>
    <w:rsid w:val="006F1AE4"/>
    <w:rsid w:val="006F1B53"/>
    <w:rsid w:val="006F2370"/>
    <w:rsid w:val="006F2CEC"/>
    <w:rsid w:val="006F3097"/>
    <w:rsid w:val="006F36BA"/>
    <w:rsid w:val="006F383E"/>
    <w:rsid w:val="006F487D"/>
    <w:rsid w:val="006F4CA6"/>
    <w:rsid w:val="006F5441"/>
    <w:rsid w:val="006F58C7"/>
    <w:rsid w:val="006F5A58"/>
    <w:rsid w:val="006F639D"/>
    <w:rsid w:val="006F721B"/>
    <w:rsid w:val="0070012B"/>
    <w:rsid w:val="00700511"/>
    <w:rsid w:val="00700762"/>
    <w:rsid w:val="00700E3E"/>
    <w:rsid w:val="007011E8"/>
    <w:rsid w:val="00701EEE"/>
    <w:rsid w:val="007026CC"/>
    <w:rsid w:val="00702A4F"/>
    <w:rsid w:val="00703126"/>
    <w:rsid w:val="0070357D"/>
    <w:rsid w:val="007037F2"/>
    <w:rsid w:val="0070380C"/>
    <w:rsid w:val="00703E82"/>
    <w:rsid w:val="00704072"/>
    <w:rsid w:val="00704290"/>
    <w:rsid w:val="0070451A"/>
    <w:rsid w:val="00704A57"/>
    <w:rsid w:val="007052A3"/>
    <w:rsid w:val="007059E0"/>
    <w:rsid w:val="00705F00"/>
    <w:rsid w:val="00707053"/>
    <w:rsid w:val="0070724E"/>
    <w:rsid w:val="00707889"/>
    <w:rsid w:val="00707A01"/>
    <w:rsid w:val="00707FEC"/>
    <w:rsid w:val="0071115E"/>
    <w:rsid w:val="00711334"/>
    <w:rsid w:val="007114B3"/>
    <w:rsid w:val="00711A0F"/>
    <w:rsid w:val="00711EEA"/>
    <w:rsid w:val="007120CB"/>
    <w:rsid w:val="00712A5A"/>
    <w:rsid w:val="00713567"/>
    <w:rsid w:val="0071362A"/>
    <w:rsid w:val="0071381F"/>
    <w:rsid w:val="00713BE5"/>
    <w:rsid w:val="00713CDA"/>
    <w:rsid w:val="00714286"/>
    <w:rsid w:val="00714634"/>
    <w:rsid w:val="0071476C"/>
    <w:rsid w:val="007149A3"/>
    <w:rsid w:val="00714AA7"/>
    <w:rsid w:val="0071511A"/>
    <w:rsid w:val="007152A5"/>
    <w:rsid w:val="007153F5"/>
    <w:rsid w:val="007157E7"/>
    <w:rsid w:val="007159BD"/>
    <w:rsid w:val="00715D7D"/>
    <w:rsid w:val="007168D1"/>
    <w:rsid w:val="0071713A"/>
    <w:rsid w:val="00717637"/>
    <w:rsid w:val="00717796"/>
    <w:rsid w:val="00717AD0"/>
    <w:rsid w:val="00717B54"/>
    <w:rsid w:val="00717D77"/>
    <w:rsid w:val="00717F5C"/>
    <w:rsid w:val="007205D1"/>
    <w:rsid w:val="007207F5"/>
    <w:rsid w:val="00720BF3"/>
    <w:rsid w:val="007215B7"/>
    <w:rsid w:val="00721AA9"/>
    <w:rsid w:val="007221C2"/>
    <w:rsid w:val="00722C76"/>
    <w:rsid w:val="00722D24"/>
    <w:rsid w:val="00722DF9"/>
    <w:rsid w:val="00723AA1"/>
    <w:rsid w:val="00723F8A"/>
    <w:rsid w:val="0072421A"/>
    <w:rsid w:val="007247D7"/>
    <w:rsid w:val="0072489C"/>
    <w:rsid w:val="0072543B"/>
    <w:rsid w:val="007255F8"/>
    <w:rsid w:val="00725771"/>
    <w:rsid w:val="007265A6"/>
    <w:rsid w:val="00726746"/>
    <w:rsid w:val="007269E9"/>
    <w:rsid w:val="00727209"/>
    <w:rsid w:val="007273EE"/>
    <w:rsid w:val="00727614"/>
    <w:rsid w:val="00727C17"/>
    <w:rsid w:val="00727CA1"/>
    <w:rsid w:val="00727F3D"/>
    <w:rsid w:val="007300E9"/>
    <w:rsid w:val="007305AC"/>
    <w:rsid w:val="00730FE1"/>
    <w:rsid w:val="0073172D"/>
    <w:rsid w:val="007326F7"/>
    <w:rsid w:val="00732878"/>
    <w:rsid w:val="00732EC9"/>
    <w:rsid w:val="007335FB"/>
    <w:rsid w:val="0073382C"/>
    <w:rsid w:val="00734BC3"/>
    <w:rsid w:val="007356B6"/>
    <w:rsid w:val="00735B2D"/>
    <w:rsid w:val="00735CEC"/>
    <w:rsid w:val="007360A8"/>
    <w:rsid w:val="00736305"/>
    <w:rsid w:val="007366BA"/>
    <w:rsid w:val="00736F26"/>
    <w:rsid w:val="00737430"/>
    <w:rsid w:val="007377C0"/>
    <w:rsid w:val="00737835"/>
    <w:rsid w:val="00740A76"/>
    <w:rsid w:val="007422F4"/>
    <w:rsid w:val="00742A99"/>
    <w:rsid w:val="00742DAB"/>
    <w:rsid w:val="0074365A"/>
    <w:rsid w:val="007436E0"/>
    <w:rsid w:val="007442CD"/>
    <w:rsid w:val="0074479C"/>
    <w:rsid w:val="00744E50"/>
    <w:rsid w:val="007456E8"/>
    <w:rsid w:val="007458FD"/>
    <w:rsid w:val="00745C37"/>
    <w:rsid w:val="00745C5A"/>
    <w:rsid w:val="00745D28"/>
    <w:rsid w:val="00746934"/>
    <w:rsid w:val="00747225"/>
    <w:rsid w:val="007504CF"/>
    <w:rsid w:val="0075058E"/>
    <w:rsid w:val="007510D9"/>
    <w:rsid w:val="007511A5"/>
    <w:rsid w:val="007517BB"/>
    <w:rsid w:val="007517DB"/>
    <w:rsid w:val="00751940"/>
    <w:rsid w:val="00751AFE"/>
    <w:rsid w:val="00751B8E"/>
    <w:rsid w:val="00751D80"/>
    <w:rsid w:val="007522E4"/>
    <w:rsid w:val="007525EB"/>
    <w:rsid w:val="00752D51"/>
    <w:rsid w:val="00752DDC"/>
    <w:rsid w:val="0075339D"/>
    <w:rsid w:val="00753748"/>
    <w:rsid w:val="00753E4C"/>
    <w:rsid w:val="007540A4"/>
    <w:rsid w:val="007541A0"/>
    <w:rsid w:val="0075441C"/>
    <w:rsid w:val="00754BC6"/>
    <w:rsid w:val="00754D7E"/>
    <w:rsid w:val="00755466"/>
    <w:rsid w:val="00755579"/>
    <w:rsid w:val="00756D40"/>
    <w:rsid w:val="00757395"/>
    <w:rsid w:val="00757491"/>
    <w:rsid w:val="007577FD"/>
    <w:rsid w:val="00757A3E"/>
    <w:rsid w:val="00757A92"/>
    <w:rsid w:val="00757C7E"/>
    <w:rsid w:val="00757D47"/>
    <w:rsid w:val="00757FAC"/>
    <w:rsid w:val="00760809"/>
    <w:rsid w:val="00760E09"/>
    <w:rsid w:val="00761C2E"/>
    <w:rsid w:val="00761E09"/>
    <w:rsid w:val="0076202C"/>
    <w:rsid w:val="007627D4"/>
    <w:rsid w:val="00762934"/>
    <w:rsid w:val="00762D11"/>
    <w:rsid w:val="00763373"/>
    <w:rsid w:val="00763585"/>
    <w:rsid w:val="0076379C"/>
    <w:rsid w:val="00763DB5"/>
    <w:rsid w:val="007649FF"/>
    <w:rsid w:val="00764BC0"/>
    <w:rsid w:val="00765191"/>
    <w:rsid w:val="00765D23"/>
    <w:rsid w:val="0076645B"/>
    <w:rsid w:val="00766FFD"/>
    <w:rsid w:val="00770169"/>
    <w:rsid w:val="00771411"/>
    <w:rsid w:val="007718B5"/>
    <w:rsid w:val="0077377E"/>
    <w:rsid w:val="007741AA"/>
    <w:rsid w:val="007744E6"/>
    <w:rsid w:val="00774938"/>
    <w:rsid w:val="00775A5F"/>
    <w:rsid w:val="00775FB6"/>
    <w:rsid w:val="00776323"/>
    <w:rsid w:val="007763B7"/>
    <w:rsid w:val="00776D47"/>
    <w:rsid w:val="00776F71"/>
    <w:rsid w:val="00777222"/>
    <w:rsid w:val="00777A5B"/>
    <w:rsid w:val="007800AC"/>
    <w:rsid w:val="007801DB"/>
    <w:rsid w:val="00780747"/>
    <w:rsid w:val="00780910"/>
    <w:rsid w:val="00781C1B"/>
    <w:rsid w:val="00781D0C"/>
    <w:rsid w:val="00782114"/>
    <w:rsid w:val="00782593"/>
    <w:rsid w:val="00782C45"/>
    <w:rsid w:val="0078474B"/>
    <w:rsid w:val="00785251"/>
    <w:rsid w:val="007854AC"/>
    <w:rsid w:val="007858E3"/>
    <w:rsid w:val="00785C11"/>
    <w:rsid w:val="00785D90"/>
    <w:rsid w:val="00785EEC"/>
    <w:rsid w:val="00786202"/>
    <w:rsid w:val="00786CDB"/>
    <w:rsid w:val="00787A51"/>
    <w:rsid w:val="00787BAF"/>
    <w:rsid w:val="00787D3C"/>
    <w:rsid w:val="0079067B"/>
    <w:rsid w:val="007908E3"/>
    <w:rsid w:val="0079125E"/>
    <w:rsid w:val="00791300"/>
    <w:rsid w:val="00791753"/>
    <w:rsid w:val="00793640"/>
    <w:rsid w:val="00793EC8"/>
    <w:rsid w:val="00793F18"/>
    <w:rsid w:val="00793FBC"/>
    <w:rsid w:val="007942A5"/>
    <w:rsid w:val="00794370"/>
    <w:rsid w:val="00794EDE"/>
    <w:rsid w:val="0079538E"/>
    <w:rsid w:val="007958B4"/>
    <w:rsid w:val="00795D02"/>
    <w:rsid w:val="00795FB5"/>
    <w:rsid w:val="00796F29"/>
    <w:rsid w:val="007975AB"/>
    <w:rsid w:val="00797F2C"/>
    <w:rsid w:val="007A10C1"/>
    <w:rsid w:val="007A1798"/>
    <w:rsid w:val="007A1B88"/>
    <w:rsid w:val="007A1C31"/>
    <w:rsid w:val="007A29CA"/>
    <w:rsid w:val="007A33FD"/>
    <w:rsid w:val="007A359A"/>
    <w:rsid w:val="007A49EC"/>
    <w:rsid w:val="007A4BE7"/>
    <w:rsid w:val="007A4C1D"/>
    <w:rsid w:val="007A5D5B"/>
    <w:rsid w:val="007A5FDD"/>
    <w:rsid w:val="007A75B0"/>
    <w:rsid w:val="007B0804"/>
    <w:rsid w:val="007B0D5B"/>
    <w:rsid w:val="007B1396"/>
    <w:rsid w:val="007B1416"/>
    <w:rsid w:val="007B1428"/>
    <w:rsid w:val="007B19CB"/>
    <w:rsid w:val="007B20A2"/>
    <w:rsid w:val="007B2DDB"/>
    <w:rsid w:val="007B36D4"/>
    <w:rsid w:val="007B4C39"/>
    <w:rsid w:val="007B4FA7"/>
    <w:rsid w:val="007B564D"/>
    <w:rsid w:val="007B59D0"/>
    <w:rsid w:val="007B5C06"/>
    <w:rsid w:val="007B60D0"/>
    <w:rsid w:val="007B61FA"/>
    <w:rsid w:val="007B6296"/>
    <w:rsid w:val="007B650B"/>
    <w:rsid w:val="007B77B6"/>
    <w:rsid w:val="007B7A17"/>
    <w:rsid w:val="007B7EFD"/>
    <w:rsid w:val="007C01A1"/>
    <w:rsid w:val="007C01F5"/>
    <w:rsid w:val="007C04B2"/>
    <w:rsid w:val="007C0575"/>
    <w:rsid w:val="007C0974"/>
    <w:rsid w:val="007C12AF"/>
    <w:rsid w:val="007C130F"/>
    <w:rsid w:val="007C1696"/>
    <w:rsid w:val="007C17FC"/>
    <w:rsid w:val="007C2314"/>
    <w:rsid w:val="007C3016"/>
    <w:rsid w:val="007C37BF"/>
    <w:rsid w:val="007C38EF"/>
    <w:rsid w:val="007C3DEB"/>
    <w:rsid w:val="007C43C1"/>
    <w:rsid w:val="007C472A"/>
    <w:rsid w:val="007C4BB2"/>
    <w:rsid w:val="007C5944"/>
    <w:rsid w:val="007C5CA6"/>
    <w:rsid w:val="007C5E59"/>
    <w:rsid w:val="007C62A4"/>
    <w:rsid w:val="007C7032"/>
    <w:rsid w:val="007C77FE"/>
    <w:rsid w:val="007C7A0D"/>
    <w:rsid w:val="007D0BE0"/>
    <w:rsid w:val="007D0F88"/>
    <w:rsid w:val="007D1CA4"/>
    <w:rsid w:val="007D1D52"/>
    <w:rsid w:val="007D2020"/>
    <w:rsid w:val="007D3B30"/>
    <w:rsid w:val="007D3C3B"/>
    <w:rsid w:val="007D484C"/>
    <w:rsid w:val="007D4E81"/>
    <w:rsid w:val="007D4F64"/>
    <w:rsid w:val="007D52F0"/>
    <w:rsid w:val="007D5B03"/>
    <w:rsid w:val="007D603D"/>
    <w:rsid w:val="007D7226"/>
    <w:rsid w:val="007D72F2"/>
    <w:rsid w:val="007D7905"/>
    <w:rsid w:val="007E08CA"/>
    <w:rsid w:val="007E2732"/>
    <w:rsid w:val="007E2A34"/>
    <w:rsid w:val="007E327A"/>
    <w:rsid w:val="007E3908"/>
    <w:rsid w:val="007E3D09"/>
    <w:rsid w:val="007E4BD5"/>
    <w:rsid w:val="007E4C81"/>
    <w:rsid w:val="007E4D30"/>
    <w:rsid w:val="007E51AF"/>
    <w:rsid w:val="007E52A2"/>
    <w:rsid w:val="007E61DF"/>
    <w:rsid w:val="007E71DB"/>
    <w:rsid w:val="007E7503"/>
    <w:rsid w:val="007E7698"/>
    <w:rsid w:val="007E7A41"/>
    <w:rsid w:val="007F00E9"/>
    <w:rsid w:val="007F1404"/>
    <w:rsid w:val="007F169A"/>
    <w:rsid w:val="007F1EA1"/>
    <w:rsid w:val="007F27D3"/>
    <w:rsid w:val="007F2F0D"/>
    <w:rsid w:val="007F3028"/>
    <w:rsid w:val="007F4046"/>
    <w:rsid w:val="007F40E0"/>
    <w:rsid w:val="007F4810"/>
    <w:rsid w:val="007F5068"/>
    <w:rsid w:val="007F559C"/>
    <w:rsid w:val="007F5A10"/>
    <w:rsid w:val="007F6447"/>
    <w:rsid w:val="007F687D"/>
    <w:rsid w:val="007F69CB"/>
    <w:rsid w:val="007F69FE"/>
    <w:rsid w:val="007F6D41"/>
    <w:rsid w:val="007F7176"/>
    <w:rsid w:val="007F72C8"/>
    <w:rsid w:val="007F7ABB"/>
    <w:rsid w:val="007F7D6E"/>
    <w:rsid w:val="007F7EE9"/>
    <w:rsid w:val="0080087A"/>
    <w:rsid w:val="0080167B"/>
    <w:rsid w:val="00801AE8"/>
    <w:rsid w:val="00801AFE"/>
    <w:rsid w:val="00801D61"/>
    <w:rsid w:val="008021F4"/>
    <w:rsid w:val="00802356"/>
    <w:rsid w:val="0080279B"/>
    <w:rsid w:val="00802AE9"/>
    <w:rsid w:val="00802BE0"/>
    <w:rsid w:val="00803105"/>
    <w:rsid w:val="00803389"/>
    <w:rsid w:val="00803711"/>
    <w:rsid w:val="00803D8D"/>
    <w:rsid w:val="00804478"/>
    <w:rsid w:val="00804BBC"/>
    <w:rsid w:val="008050B3"/>
    <w:rsid w:val="00805217"/>
    <w:rsid w:val="0080554A"/>
    <w:rsid w:val="00805959"/>
    <w:rsid w:val="00805C1D"/>
    <w:rsid w:val="0080620B"/>
    <w:rsid w:val="008062A9"/>
    <w:rsid w:val="008064F9"/>
    <w:rsid w:val="00806AE9"/>
    <w:rsid w:val="008071D7"/>
    <w:rsid w:val="0080726A"/>
    <w:rsid w:val="00807753"/>
    <w:rsid w:val="0081012B"/>
    <w:rsid w:val="00810B94"/>
    <w:rsid w:val="00811133"/>
    <w:rsid w:val="00811173"/>
    <w:rsid w:val="00811195"/>
    <w:rsid w:val="008113CC"/>
    <w:rsid w:val="0081193E"/>
    <w:rsid w:val="00811B4C"/>
    <w:rsid w:val="00812A9C"/>
    <w:rsid w:val="0081348F"/>
    <w:rsid w:val="00814BC2"/>
    <w:rsid w:val="00814C74"/>
    <w:rsid w:val="00814F68"/>
    <w:rsid w:val="008151A4"/>
    <w:rsid w:val="00815C93"/>
    <w:rsid w:val="00815C97"/>
    <w:rsid w:val="00817160"/>
    <w:rsid w:val="00817628"/>
    <w:rsid w:val="0081775C"/>
    <w:rsid w:val="00817DB6"/>
    <w:rsid w:val="00820AD2"/>
    <w:rsid w:val="008211E0"/>
    <w:rsid w:val="0082170B"/>
    <w:rsid w:val="008238DD"/>
    <w:rsid w:val="008238FB"/>
    <w:rsid w:val="00823B67"/>
    <w:rsid w:val="0082406F"/>
    <w:rsid w:val="008244CF"/>
    <w:rsid w:val="008258C4"/>
    <w:rsid w:val="00825BFD"/>
    <w:rsid w:val="008260E2"/>
    <w:rsid w:val="008276A3"/>
    <w:rsid w:val="00830200"/>
    <w:rsid w:val="008309ED"/>
    <w:rsid w:val="0083101F"/>
    <w:rsid w:val="0083198C"/>
    <w:rsid w:val="00831DD7"/>
    <w:rsid w:val="008329FA"/>
    <w:rsid w:val="00833053"/>
    <w:rsid w:val="008331FD"/>
    <w:rsid w:val="00833305"/>
    <w:rsid w:val="008339DC"/>
    <w:rsid w:val="00833A42"/>
    <w:rsid w:val="008343F8"/>
    <w:rsid w:val="008358DE"/>
    <w:rsid w:val="00835DFC"/>
    <w:rsid w:val="00835E7A"/>
    <w:rsid w:val="0083708A"/>
    <w:rsid w:val="00837297"/>
    <w:rsid w:val="00837980"/>
    <w:rsid w:val="00837FE6"/>
    <w:rsid w:val="008403F9"/>
    <w:rsid w:val="008404D5"/>
    <w:rsid w:val="00841119"/>
    <w:rsid w:val="00842BB6"/>
    <w:rsid w:val="00842C3F"/>
    <w:rsid w:val="00842E1F"/>
    <w:rsid w:val="00843078"/>
    <w:rsid w:val="00844144"/>
    <w:rsid w:val="008452FC"/>
    <w:rsid w:val="00846188"/>
    <w:rsid w:val="008462D0"/>
    <w:rsid w:val="00846659"/>
    <w:rsid w:val="008470DA"/>
    <w:rsid w:val="00847515"/>
    <w:rsid w:val="008475E2"/>
    <w:rsid w:val="00847764"/>
    <w:rsid w:val="00847C80"/>
    <w:rsid w:val="008507BA"/>
    <w:rsid w:val="00850977"/>
    <w:rsid w:val="00851B7F"/>
    <w:rsid w:val="00851BDD"/>
    <w:rsid w:val="00853556"/>
    <w:rsid w:val="008539D3"/>
    <w:rsid w:val="0085450F"/>
    <w:rsid w:val="0085479B"/>
    <w:rsid w:val="008556A9"/>
    <w:rsid w:val="00856AE4"/>
    <w:rsid w:val="00856E5F"/>
    <w:rsid w:val="00860241"/>
    <w:rsid w:val="00860E6C"/>
    <w:rsid w:val="00861278"/>
    <w:rsid w:val="0086136E"/>
    <w:rsid w:val="00861A9B"/>
    <w:rsid w:val="00861A9D"/>
    <w:rsid w:val="008620AD"/>
    <w:rsid w:val="00862809"/>
    <w:rsid w:val="008638FB"/>
    <w:rsid w:val="00864552"/>
    <w:rsid w:val="0086480F"/>
    <w:rsid w:val="00864889"/>
    <w:rsid w:val="00864D85"/>
    <w:rsid w:val="00864E4C"/>
    <w:rsid w:val="008651A1"/>
    <w:rsid w:val="008652C4"/>
    <w:rsid w:val="0086566F"/>
    <w:rsid w:val="00865A90"/>
    <w:rsid w:val="00865D33"/>
    <w:rsid w:val="008667EE"/>
    <w:rsid w:val="00866C89"/>
    <w:rsid w:val="00866CA0"/>
    <w:rsid w:val="00866F26"/>
    <w:rsid w:val="00867E7A"/>
    <w:rsid w:val="00870275"/>
    <w:rsid w:val="00871ECE"/>
    <w:rsid w:val="008724C0"/>
    <w:rsid w:val="0087279C"/>
    <w:rsid w:val="00872B13"/>
    <w:rsid w:val="008733AF"/>
    <w:rsid w:val="00875074"/>
    <w:rsid w:val="00875A5C"/>
    <w:rsid w:val="008771F8"/>
    <w:rsid w:val="00877E70"/>
    <w:rsid w:val="0088014E"/>
    <w:rsid w:val="00880D8E"/>
    <w:rsid w:val="00880F6B"/>
    <w:rsid w:val="00882659"/>
    <w:rsid w:val="00882975"/>
    <w:rsid w:val="00883063"/>
    <w:rsid w:val="0088385A"/>
    <w:rsid w:val="00883B04"/>
    <w:rsid w:val="00884485"/>
    <w:rsid w:val="008849DC"/>
    <w:rsid w:val="00884FFF"/>
    <w:rsid w:val="008850EF"/>
    <w:rsid w:val="00885AC7"/>
    <w:rsid w:val="00885BBC"/>
    <w:rsid w:val="008875A1"/>
    <w:rsid w:val="0088762C"/>
    <w:rsid w:val="008877BE"/>
    <w:rsid w:val="0089042C"/>
    <w:rsid w:val="0089068F"/>
    <w:rsid w:val="00890B0B"/>
    <w:rsid w:val="00890D19"/>
    <w:rsid w:val="00891665"/>
    <w:rsid w:val="008921D6"/>
    <w:rsid w:val="00892781"/>
    <w:rsid w:val="00894597"/>
    <w:rsid w:val="0089635C"/>
    <w:rsid w:val="00896769"/>
    <w:rsid w:val="0089687F"/>
    <w:rsid w:val="00896E9A"/>
    <w:rsid w:val="00897864"/>
    <w:rsid w:val="00897C03"/>
    <w:rsid w:val="008A028E"/>
    <w:rsid w:val="008A0854"/>
    <w:rsid w:val="008A1D94"/>
    <w:rsid w:val="008A27B8"/>
    <w:rsid w:val="008A3525"/>
    <w:rsid w:val="008A440A"/>
    <w:rsid w:val="008A4F8F"/>
    <w:rsid w:val="008A4FC6"/>
    <w:rsid w:val="008A5931"/>
    <w:rsid w:val="008A5B93"/>
    <w:rsid w:val="008A5CF5"/>
    <w:rsid w:val="008A5DB1"/>
    <w:rsid w:val="008A5E75"/>
    <w:rsid w:val="008A647D"/>
    <w:rsid w:val="008A64B9"/>
    <w:rsid w:val="008A6C34"/>
    <w:rsid w:val="008A7C24"/>
    <w:rsid w:val="008B0111"/>
    <w:rsid w:val="008B02BA"/>
    <w:rsid w:val="008B0345"/>
    <w:rsid w:val="008B0872"/>
    <w:rsid w:val="008B0E04"/>
    <w:rsid w:val="008B1CDD"/>
    <w:rsid w:val="008B2030"/>
    <w:rsid w:val="008B251F"/>
    <w:rsid w:val="008B2817"/>
    <w:rsid w:val="008B2C35"/>
    <w:rsid w:val="008B4C25"/>
    <w:rsid w:val="008B4CEC"/>
    <w:rsid w:val="008B5EBB"/>
    <w:rsid w:val="008B6066"/>
    <w:rsid w:val="008B64E8"/>
    <w:rsid w:val="008B653E"/>
    <w:rsid w:val="008B79EB"/>
    <w:rsid w:val="008B7BC1"/>
    <w:rsid w:val="008C00C1"/>
    <w:rsid w:val="008C064B"/>
    <w:rsid w:val="008C17F8"/>
    <w:rsid w:val="008C3502"/>
    <w:rsid w:val="008C3B35"/>
    <w:rsid w:val="008C3C99"/>
    <w:rsid w:val="008C42B5"/>
    <w:rsid w:val="008C4448"/>
    <w:rsid w:val="008C477A"/>
    <w:rsid w:val="008C4790"/>
    <w:rsid w:val="008C48AE"/>
    <w:rsid w:val="008C48D8"/>
    <w:rsid w:val="008C4B38"/>
    <w:rsid w:val="008C4FB4"/>
    <w:rsid w:val="008C5062"/>
    <w:rsid w:val="008C5355"/>
    <w:rsid w:val="008C62DD"/>
    <w:rsid w:val="008C63D1"/>
    <w:rsid w:val="008C6609"/>
    <w:rsid w:val="008C6C7D"/>
    <w:rsid w:val="008C7478"/>
    <w:rsid w:val="008D00F3"/>
    <w:rsid w:val="008D07CF"/>
    <w:rsid w:val="008D1277"/>
    <w:rsid w:val="008D1442"/>
    <w:rsid w:val="008D1819"/>
    <w:rsid w:val="008D195A"/>
    <w:rsid w:val="008D1B37"/>
    <w:rsid w:val="008D1F84"/>
    <w:rsid w:val="008D22C7"/>
    <w:rsid w:val="008D2351"/>
    <w:rsid w:val="008D2533"/>
    <w:rsid w:val="008D2F79"/>
    <w:rsid w:val="008D3B10"/>
    <w:rsid w:val="008D4576"/>
    <w:rsid w:val="008D461D"/>
    <w:rsid w:val="008D4CFD"/>
    <w:rsid w:val="008D4EF0"/>
    <w:rsid w:val="008D5ADE"/>
    <w:rsid w:val="008D5F19"/>
    <w:rsid w:val="008D6C06"/>
    <w:rsid w:val="008D6F3B"/>
    <w:rsid w:val="008D7192"/>
    <w:rsid w:val="008D79F6"/>
    <w:rsid w:val="008D7DBD"/>
    <w:rsid w:val="008E09FB"/>
    <w:rsid w:val="008E1233"/>
    <w:rsid w:val="008E123C"/>
    <w:rsid w:val="008E27A1"/>
    <w:rsid w:val="008E2917"/>
    <w:rsid w:val="008E2C08"/>
    <w:rsid w:val="008E2E6C"/>
    <w:rsid w:val="008E3823"/>
    <w:rsid w:val="008E3BDF"/>
    <w:rsid w:val="008E3D5B"/>
    <w:rsid w:val="008E3FF8"/>
    <w:rsid w:val="008E4C93"/>
    <w:rsid w:val="008E56B9"/>
    <w:rsid w:val="008E64F3"/>
    <w:rsid w:val="008E67F0"/>
    <w:rsid w:val="008E6DF9"/>
    <w:rsid w:val="008E701F"/>
    <w:rsid w:val="008E75DE"/>
    <w:rsid w:val="008E777B"/>
    <w:rsid w:val="008E7A21"/>
    <w:rsid w:val="008F0674"/>
    <w:rsid w:val="008F08A6"/>
    <w:rsid w:val="008F0B83"/>
    <w:rsid w:val="008F11B5"/>
    <w:rsid w:val="008F1272"/>
    <w:rsid w:val="008F2120"/>
    <w:rsid w:val="008F2224"/>
    <w:rsid w:val="008F233A"/>
    <w:rsid w:val="008F3774"/>
    <w:rsid w:val="008F3862"/>
    <w:rsid w:val="008F486A"/>
    <w:rsid w:val="008F5C99"/>
    <w:rsid w:val="008F6009"/>
    <w:rsid w:val="008F6098"/>
    <w:rsid w:val="008F6B2D"/>
    <w:rsid w:val="008F7F51"/>
    <w:rsid w:val="009002E7"/>
    <w:rsid w:val="00900E3E"/>
    <w:rsid w:val="00901687"/>
    <w:rsid w:val="00901925"/>
    <w:rsid w:val="00902836"/>
    <w:rsid w:val="00904862"/>
    <w:rsid w:val="00904F5F"/>
    <w:rsid w:val="00905280"/>
    <w:rsid w:val="00905FC9"/>
    <w:rsid w:val="00906369"/>
    <w:rsid w:val="0090671B"/>
    <w:rsid w:val="0090693D"/>
    <w:rsid w:val="00906BD8"/>
    <w:rsid w:val="00907202"/>
    <w:rsid w:val="00907E45"/>
    <w:rsid w:val="0091024B"/>
    <w:rsid w:val="009103E8"/>
    <w:rsid w:val="00911271"/>
    <w:rsid w:val="00911828"/>
    <w:rsid w:val="00911A77"/>
    <w:rsid w:val="009126AA"/>
    <w:rsid w:val="0091289A"/>
    <w:rsid w:val="0091298E"/>
    <w:rsid w:val="00913081"/>
    <w:rsid w:val="009136A9"/>
    <w:rsid w:val="009136F7"/>
    <w:rsid w:val="00914953"/>
    <w:rsid w:val="00914DA1"/>
    <w:rsid w:val="009158A0"/>
    <w:rsid w:val="00915A04"/>
    <w:rsid w:val="00915B28"/>
    <w:rsid w:val="00916443"/>
    <w:rsid w:val="009164F4"/>
    <w:rsid w:val="009166CA"/>
    <w:rsid w:val="009167D4"/>
    <w:rsid w:val="009170BB"/>
    <w:rsid w:val="00917491"/>
    <w:rsid w:val="00920427"/>
    <w:rsid w:val="0092042E"/>
    <w:rsid w:val="00920592"/>
    <w:rsid w:val="009208D7"/>
    <w:rsid w:val="009209CB"/>
    <w:rsid w:val="00920A86"/>
    <w:rsid w:val="00920DD8"/>
    <w:rsid w:val="00921D89"/>
    <w:rsid w:val="00921FB8"/>
    <w:rsid w:val="00922539"/>
    <w:rsid w:val="00923185"/>
    <w:rsid w:val="009232EE"/>
    <w:rsid w:val="00923F3C"/>
    <w:rsid w:val="00923FCF"/>
    <w:rsid w:val="00924038"/>
    <w:rsid w:val="009248D4"/>
    <w:rsid w:val="00924D6A"/>
    <w:rsid w:val="00924E1C"/>
    <w:rsid w:val="00924F2D"/>
    <w:rsid w:val="00925562"/>
    <w:rsid w:val="00925AE3"/>
    <w:rsid w:val="00925BF9"/>
    <w:rsid w:val="00925D8B"/>
    <w:rsid w:val="0092608B"/>
    <w:rsid w:val="009263CE"/>
    <w:rsid w:val="00926855"/>
    <w:rsid w:val="00926862"/>
    <w:rsid w:val="00926A33"/>
    <w:rsid w:val="00926D46"/>
    <w:rsid w:val="009270BF"/>
    <w:rsid w:val="009279AC"/>
    <w:rsid w:val="00927B8D"/>
    <w:rsid w:val="009308A7"/>
    <w:rsid w:val="009323E3"/>
    <w:rsid w:val="00932AAC"/>
    <w:rsid w:val="00932D1E"/>
    <w:rsid w:val="009337AB"/>
    <w:rsid w:val="0093413A"/>
    <w:rsid w:val="0093440B"/>
    <w:rsid w:val="009345A2"/>
    <w:rsid w:val="0093524A"/>
    <w:rsid w:val="009354CB"/>
    <w:rsid w:val="00935524"/>
    <w:rsid w:val="00935C03"/>
    <w:rsid w:val="00936E94"/>
    <w:rsid w:val="009374EA"/>
    <w:rsid w:val="00937731"/>
    <w:rsid w:val="00940865"/>
    <w:rsid w:val="00940A6C"/>
    <w:rsid w:val="00940D79"/>
    <w:rsid w:val="009413D6"/>
    <w:rsid w:val="009415FE"/>
    <w:rsid w:val="00941C47"/>
    <w:rsid w:val="009432DA"/>
    <w:rsid w:val="009439CE"/>
    <w:rsid w:val="0094524A"/>
    <w:rsid w:val="00945484"/>
    <w:rsid w:val="00945931"/>
    <w:rsid w:val="00945BAB"/>
    <w:rsid w:val="00946504"/>
    <w:rsid w:val="009469FD"/>
    <w:rsid w:val="00947496"/>
    <w:rsid w:val="0094D0B3"/>
    <w:rsid w:val="0095019C"/>
    <w:rsid w:val="00950AC6"/>
    <w:rsid w:val="00951336"/>
    <w:rsid w:val="009514D8"/>
    <w:rsid w:val="0095278F"/>
    <w:rsid w:val="00952FB1"/>
    <w:rsid w:val="009537D1"/>
    <w:rsid w:val="00953868"/>
    <w:rsid w:val="00954B13"/>
    <w:rsid w:val="00954FD6"/>
    <w:rsid w:val="0095532B"/>
    <w:rsid w:val="00955C7B"/>
    <w:rsid w:val="00955CC6"/>
    <w:rsid w:val="00956266"/>
    <w:rsid w:val="00956A6D"/>
    <w:rsid w:val="00956D78"/>
    <w:rsid w:val="009573F9"/>
    <w:rsid w:val="00960932"/>
    <w:rsid w:val="00960A03"/>
    <w:rsid w:val="00960C7F"/>
    <w:rsid w:val="00960F56"/>
    <w:rsid w:val="00961348"/>
    <w:rsid w:val="00961721"/>
    <w:rsid w:val="009619B8"/>
    <w:rsid w:val="009628F6"/>
    <w:rsid w:val="009628FA"/>
    <w:rsid w:val="0096295D"/>
    <w:rsid w:val="00963927"/>
    <w:rsid w:val="00964012"/>
    <w:rsid w:val="009644C8"/>
    <w:rsid w:val="00964FE6"/>
    <w:rsid w:val="009655B0"/>
    <w:rsid w:val="00965A45"/>
    <w:rsid w:val="00965B56"/>
    <w:rsid w:val="00965BA8"/>
    <w:rsid w:val="009661BC"/>
    <w:rsid w:val="00966838"/>
    <w:rsid w:val="00967FD6"/>
    <w:rsid w:val="00970418"/>
    <w:rsid w:val="00970507"/>
    <w:rsid w:val="00970626"/>
    <w:rsid w:val="00970AAE"/>
    <w:rsid w:val="00970D16"/>
    <w:rsid w:val="009713C5"/>
    <w:rsid w:val="009718E1"/>
    <w:rsid w:val="00971F40"/>
    <w:rsid w:val="009720B9"/>
    <w:rsid w:val="00972E5C"/>
    <w:rsid w:val="009732F8"/>
    <w:rsid w:val="00973A34"/>
    <w:rsid w:val="00973A3E"/>
    <w:rsid w:val="00973F34"/>
    <w:rsid w:val="00974A0D"/>
    <w:rsid w:val="00974C51"/>
    <w:rsid w:val="0097653F"/>
    <w:rsid w:val="00976A04"/>
    <w:rsid w:val="00976C2E"/>
    <w:rsid w:val="00977CFB"/>
    <w:rsid w:val="00977D36"/>
    <w:rsid w:val="00980719"/>
    <w:rsid w:val="00980E69"/>
    <w:rsid w:val="00981191"/>
    <w:rsid w:val="0098126E"/>
    <w:rsid w:val="00981EF3"/>
    <w:rsid w:val="00981F19"/>
    <w:rsid w:val="0098292E"/>
    <w:rsid w:val="00982941"/>
    <w:rsid w:val="00983297"/>
    <w:rsid w:val="00983329"/>
    <w:rsid w:val="00983397"/>
    <w:rsid w:val="00983B80"/>
    <w:rsid w:val="00984265"/>
    <w:rsid w:val="00984B5D"/>
    <w:rsid w:val="00985406"/>
    <w:rsid w:val="00986045"/>
    <w:rsid w:val="009865B4"/>
    <w:rsid w:val="009869B7"/>
    <w:rsid w:val="00986EB6"/>
    <w:rsid w:val="00987606"/>
    <w:rsid w:val="009904BE"/>
    <w:rsid w:val="0099083E"/>
    <w:rsid w:val="00990942"/>
    <w:rsid w:val="0099105E"/>
    <w:rsid w:val="00991843"/>
    <w:rsid w:val="00992264"/>
    <w:rsid w:val="0099297F"/>
    <w:rsid w:val="00992AA9"/>
    <w:rsid w:val="00992C15"/>
    <w:rsid w:val="0099331E"/>
    <w:rsid w:val="00993706"/>
    <w:rsid w:val="00994721"/>
    <w:rsid w:val="00994802"/>
    <w:rsid w:val="00994A10"/>
    <w:rsid w:val="00994D15"/>
    <w:rsid w:val="00994F3E"/>
    <w:rsid w:val="00995C8C"/>
    <w:rsid w:val="009963A4"/>
    <w:rsid w:val="009965D8"/>
    <w:rsid w:val="009967F9"/>
    <w:rsid w:val="00996901"/>
    <w:rsid w:val="00996A2C"/>
    <w:rsid w:val="00996E22"/>
    <w:rsid w:val="009A0A6A"/>
    <w:rsid w:val="009A1618"/>
    <w:rsid w:val="009A1B65"/>
    <w:rsid w:val="009A3508"/>
    <w:rsid w:val="009A3ECB"/>
    <w:rsid w:val="009A4C7E"/>
    <w:rsid w:val="009A4DF2"/>
    <w:rsid w:val="009A4F44"/>
    <w:rsid w:val="009A5498"/>
    <w:rsid w:val="009A564F"/>
    <w:rsid w:val="009A5F24"/>
    <w:rsid w:val="009A683C"/>
    <w:rsid w:val="009A70AD"/>
    <w:rsid w:val="009A7222"/>
    <w:rsid w:val="009A73AC"/>
    <w:rsid w:val="009A76BD"/>
    <w:rsid w:val="009A7912"/>
    <w:rsid w:val="009A7FDE"/>
    <w:rsid w:val="009AA95E"/>
    <w:rsid w:val="009B0DE3"/>
    <w:rsid w:val="009B0E3C"/>
    <w:rsid w:val="009B0EB7"/>
    <w:rsid w:val="009B0F3B"/>
    <w:rsid w:val="009B2929"/>
    <w:rsid w:val="009B2D6D"/>
    <w:rsid w:val="009B38F5"/>
    <w:rsid w:val="009B3A11"/>
    <w:rsid w:val="009B3CB2"/>
    <w:rsid w:val="009B406D"/>
    <w:rsid w:val="009B464A"/>
    <w:rsid w:val="009B47BD"/>
    <w:rsid w:val="009B4CDD"/>
    <w:rsid w:val="009B4DB8"/>
    <w:rsid w:val="009B536D"/>
    <w:rsid w:val="009B559A"/>
    <w:rsid w:val="009B5E7B"/>
    <w:rsid w:val="009B6143"/>
    <w:rsid w:val="009B63A5"/>
    <w:rsid w:val="009B63DE"/>
    <w:rsid w:val="009B65E1"/>
    <w:rsid w:val="009B683F"/>
    <w:rsid w:val="009B6B20"/>
    <w:rsid w:val="009B73DC"/>
    <w:rsid w:val="009B7463"/>
    <w:rsid w:val="009B756D"/>
    <w:rsid w:val="009B7A91"/>
    <w:rsid w:val="009B7E5C"/>
    <w:rsid w:val="009B9A5D"/>
    <w:rsid w:val="009C0B3F"/>
    <w:rsid w:val="009C0E97"/>
    <w:rsid w:val="009C1519"/>
    <w:rsid w:val="009C26FD"/>
    <w:rsid w:val="009C2720"/>
    <w:rsid w:val="009C3240"/>
    <w:rsid w:val="009C3A55"/>
    <w:rsid w:val="009C4573"/>
    <w:rsid w:val="009C5414"/>
    <w:rsid w:val="009C5519"/>
    <w:rsid w:val="009C5D93"/>
    <w:rsid w:val="009C6D31"/>
    <w:rsid w:val="009C7850"/>
    <w:rsid w:val="009D0458"/>
    <w:rsid w:val="009D07F4"/>
    <w:rsid w:val="009D1B70"/>
    <w:rsid w:val="009D2191"/>
    <w:rsid w:val="009D2F81"/>
    <w:rsid w:val="009D30C1"/>
    <w:rsid w:val="009D32EB"/>
    <w:rsid w:val="009D3921"/>
    <w:rsid w:val="009D3B4B"/>
    <w:rsid w:val="009D4291"/>
    <w:rsid w:val="009D442F"/>
    <w:rsid w:val="009D44ED"/>
    <w:rsid w:val="009D4625"/>
    <w:rsid w:val="009D46B5"/>
    <w:rsid w:val="009D4956"/>
    <w:rsid w:val="009D53CE"/>
    <w:rsid w:val="009D54B7"/>
    <w:rsid w:val="009D5AEE"/>
    <w:rsid w:val="009D69CF"/>
    <w:rsid w:val="009D6E1D"/>
    <w:rsid w:val="009D7ACE"/>
    <w:rsid w:val="009D7BB7"/>
    <w:rsid w:val="009E0192"/>
    <w:rsid w:val="009E0C8B"/>
    <w:rsid w:val="009E0EC0"/>
    <w:rsid w:val="009E1054"/>
    <w:rsid w:val="009E1616"/>
    <w:rsid w:val="009E161F"/>
    <w:rsid w:val="009E1A2E"/>
    <w:rsid w:val="009E2292"/>
    <w:rsid w:val="009E285A"/>
    <w:rsid w:val="009E3142"/>
    <w:rsid w:val="009E4656"/>
    <w:rsid w:val="009E49EB"/>
    <w:rsid w:val="009E4EDA"/>
    <w:rsid w:val="009E4F76"/>
    <w:rsid w:val="009E5284"/>
    <w:rsid w:val="009E55BB"/>
    <w:rsid w:val="009E5BA7"/>
    <w:rsid w:val="009E5CEB"/>
    <w:rsid w:val="009E66AA"/>
    <w:rsid w:val="009E6BA0"/>
    <w:rsid w:val="009E6BE9"/>
    <w:rsid w:val="009E6FD2"/>
    <w:rsid w:val="009E70F7"/>
    <w:rsid w:val="009F024F"/>
    <w:rsid w:val="009F095F"/>
    <w:rsid w:val="009F0CD6"/>
    <w:rsid w:val="009F0CE1"/>
    <w:rsid w:val="009F0F74"/>
    <w:rsid w:val="009F114B"/>
    <w:rsid w:val="009F2483"/>
    <w:rsid w:val="009F28D6"/>
    <w:rsid w:val="009F2E46"/>
    <w:rsid w:val="009F315D"/>
    <w:rsid w:val="009F32D7"/>
    <w:rsid w:val="009F32E0"/>
    <w:rsid w:val="009F3BE5"/>
    <w:rsid w:val="009F4070"/>
    <w:rsid w:val="009F5FF0"/>
    <w:rsid w:val="009F688A"/>
    <w:rsid w:val="009F693C"/>
    <w:rsid w:val="009F6BCA"/>
    <w:rsid w:val="009F73EC"/>
    <w:rsid w:val="00A001CE"/>
    <w:rsid w:val="00A00540"/>
    <w:rsid w:val="00A00671"/>
    <w:rsid w:val="00A00915"/>
    <w:rsid w:val="00A014E6"/>
    <w:rsid w:val="00A01624"/>
    <w:rsid w:val="00A019C5"/>
    <w:rsid w:val="00A02393"/>
    <w:rsid w:val="00A02AF2"/>
    <w:rsid w:val="00A03B3B"/>
    <w:rsid w:val="00A04C38"/>
    <w:rsid w:val="00A0508E"/>
    <w:rsid w:val="00A05328"/>
    <w:rsid w:val="00A059B0"/>
    <w:rsid w:val="00A05D84"/>
    <w:rsid w:val="00A0658B"/>
    <w:rsid w:val="00A06A27"/>
    <w:rsid w:val="00A07723"/>
    <w:rsid w:val="00A07DEF"/>
    <w:rsid w:val="00A07F30"/>
    <w:rsid w:val="00A10DF8"/>
    <w:rsid w:val="00A10F4E"/>
    <w:rsid w:val="00A11100"/>
    <w:rsid w:val="00A11101"/>
    <w:rsid w:val="00A11D11"/>
    <w:rsid w:val="00A128BE"/>
    <w:rsid w:val="00A12FBF"/>
    <w:rsid w:val="00A132E2"/>
    <w:rsid w:val="00A134F2"/>
    <w:rsid w:val="00A1350D"/>
    <w:rsid w:val="00A1382E"/>
    <w:rsid w:val="00A13A01"/>
    <w:rsid w:val="00A13F9C"/>
    <w:rsid w:val="00A14215"/>
    <w:rsid w:val="00A14588"/>
    <w:rsid w:val="00A14B9A"/>
    <w:rsid w:val="00A14E3A"/>
    <w:rsid w:val="00A15479"/>
    <w:rsid w:val="00A156E3"/>
    <w:rsid w:val="00A1602E"/>
    <w:rsid w:val="00A16FDA"/>
    <w:rsid w:val="00A204B5"/>
    <w:rsid w:val="00A209B5"/>
    <w:rsid w:val="00A20D07"/>
    <w:rsid w:val="00A21022"/>
    <w:rsid w:val="00A211ED"/>
    <w:rsid w:val="00A211FF"/>
    <w:rsid w:val="00A21980"/>
    <w:rsid w:val="00A21AE5"/>
    <w:rsid w:val="00A21B3A"/>
    <w:rsid w:val="00A23DFE"/>
    <w:rsid w:val="00A24249"/>
    <w:rsid w:val="00A247E8"/>
    <w:rsid w:val="00A25225"/>
    <w:rsid w:val="00A252D2"/>
    <w:rsid w:val="00A2548E"/>
    <w:rsid w:val="00A264A9"/>
    <w:rsid w:val="00A2684C"/>
    <w:rsid w:val="00A270A6"/>
    <w:rsid w:val="00A30038"/>
    <w:rsid w:val="00A3038C"/>
    <w:rsid w:val="00A30A17"/>
    <w:rsid w:val="00A31922"/>
    <w:rsid w:val="00A31BA1"/>
    <w:rsid w:val="00A32705"/>
    <w:rsid w:val="00A3280A"/>
    <w:rsid w:val="00A32A23"/>
    <w:rsid w:val="00A33DBE"/>
    <w:rsid w:val="00A34674"/>
    <w:rsid w:val="00A346D9"/>
    <w:rsid w:val="00A34ABC"/>
    <w:rsid w:val="00A34E43"/>
    <w:rsid w:val="00A34F8F"/>
    <w:rsid w:val="00A351F1"/>
    <w:rsid w:val="00A352C4"/>
    <w:rsid w:val="00A361EE"/>
    <w:rsid w:val="00A363FF"/>
    <w:rsid w:val="00A365D0"/>
    <w:rsid w:val="00A3746B"/>
    <w:rsid w:val="00A40BC6"/>
    <w:rsid w:val="00A41757"/>
    <w:rsid w:val="00A41BA9"/>
    <w:rsid w:val="00A42006"/>
    <w:rsid w:val="00A426AE"/>
    <w:rsid w:val="00A43AE2"/>
    <w:rsid w:val="00A455A0"/>
    <w:rsid w:val="00A4586E"/>
    <w:rsid w:val="00A45CC0"/>
    <w:rsid w:val="00A45DEF"/>
    <w:rsid w:val="00A45E6A"/>
    <w:rsid w:val="00A46B9E"/>
    <w:rsid w:val="00A46C95"/>
    <w:rsid w:val="00A473C0"/>
    <w:rsid w:val="00A479D6"/>
    <w:rsid w:val="00A5001D"/>
    <w:rsid w:val="00A50678"/>
    <w:rsid w:val="00A50B15"/>
    <w:rsid w:val="00A50DB8"/>
    <w:rsid w:val="00A5120C"/>
    <w:rsid w:val="00A51575"/>
    <w:rsid w:val="00A52423"/>
    <w:rsid w:val="00A52A55"/>
    <w:rsid w:val="00A52B80"/>
    <w:rsid w:val="00A52D2F"/>
    <w:rsid w:val="00A53CE7"/>
    <w:rsid w:val="00A53EB1"/>
    <w:rsid w:val="00A54FDB"/>
    <w:rsid w:val="00A56498"/>
    <w:rsid w:val="00A567EC"/>
    <w:rsid w:val="00A56846"/>
    <w:rsid w:val="00A568B9"/>
    <w:rsid w:val="00A573A7"/>
    <w:rsid w:val="00A578EA"/>
    <w:rsid w:val="00A57BD7"/>
    <w:rsid w:val="00A60601"/>
    <w:rsid w:val="00A6081D"/>
    <w:rsid w:val="00A6082D"/>
    <w:rsid w:val="00A60F39"/>
    <w:rsid w:val="00A613B5"/>
    <w:rsid w:val="00A62BBC"/>
    <w:rsid w:val="00A640F8"/>
    <w:rsid w:val="00A644A1"/>
    <w:rsid w:val="00A64E49"/>
    <w:rsid w:val="00A651EE"/>
    <w:rsid w:val="00A65269"/>
    <w:rsid w:val="00A662E9"/>
    <w:rsid w:val="00A66487"/>
    <w:rsid w:val="00A6687B"/>
    <w:rsid w:val="00A668A2"/>
    <w:rsid w:val="00A668FF"/>
    <w:rsid w:val="00A704E7"/>
    <w:rsid w:val="00A71784"/>
    <w:rsid w:val="00A71E4A"/>
    <w:rsid w:val="00A720D8"/>
    <w:rsid w:val="00A721F4"/>
    <w:rsid w:val="00A730CA"/>
    <w:rsid w:val="00A73B48"/>
    <w:rsid w:val="00A741B3"/>
    <w:rsid w:val="00A744C0"/>
    <w:rsid w:val="00A74879"/>
    <w:rsid w:val="00A74BDB"/>
    <w:rsid w:val="00A75251"/>
    <w:rsid w:val="00A760BB"/>
    <w:rsid w:val="00A763B8"/>
    <w:rsid w:val="00A769D2"/>
    <w:rsid w:val="00A77058"/>
    <w:rsid w:val="00A77200"/>
    <w:rsid w:val="00A77710"/>
    <w:rsid w:val="00A77878"/>
    <w:rsid w:val="00A778F6"/>
    <w:rsid w:val="00A77D85"/>
    <w:rsid w:val="00A804BC"/>
    <w:rsid w:val="00A80868"/>
    <w:rsid w:val="00A80A5A"/>
    <w:rsid w:val="00A817B4"/>
    <w:rsid w:val="00A81B86"/>
    <w:rsid w:val="00A82073"/>
    <w:rsid w:val="00A82344"/>
    <w:rsid w:val="00A824C8"/>
    <w:rsid w:val="00A82685"/>
    <w:rsid w:val="00A827C1"/>
    <w:rsid w:val="00A82992"/>
    <w:rsid w:val="00A82B47"/>
    <w:rsid w:val="00A82BEB"/>
    <w:rsid w:val="00A82CC1"/>
    <w:rsid w:val="00A83E01"/>
    <w:rsid w:val="00A8415B"/>
    <w:rsid w:val="00A84265"/>
    <w:rsid w:val="00A852D4"/>
    <w:rsid w:val="00A85602"/>
    <w:rsid w:val="00A85BA9"/>
    <w:rsid w:val="00A865BC"/>
    <w:rsid w:val="00A86AD1"/>
    <w:rsid w:val="00A86AEA"/>
    <w:rsid w:val="00A86BAB"/>
    <w:rsid w:val="00A86EC2"/>
    <w:rsid w:val="00A8768C"/>
    <w:rsid w:val="00A87A5A"/>
    <w:rsid w:val="00A87EF2"/>
    <w:rsid w:val="00A90388"/>
    <w:rsid w:val="00A903AB"/>
    <w:rsid w:val="00A90BB4"/>
    <w:rsid w:val="00A91577"/>
    <w:rsid w:val="00A91918"/>
    <w:rsid w:val="00A919A4"/>
    <w:rsid w:val="00A9217E"/>
    <w:rsid w:val="00A92321"/>
    <w:rsid w:val="00A9271D"/>
    <w:rsid w:val="00A9294A"/>
    <w:rsid w:val="00A938E1"/>
    <w:rsid w:val="00A94302"/>
    <w:rsid w:val="00A949CA"/>
    <w:rsid w:val="00A94FEA"/>
    <w:rsid w:val="00A952B4"/>
    <w:rsid w:val="00A9566E"/>
    <w:rsid w:val="00A95F6E"/>
    <w:rsid w:val="00A96A77"/>
    <w:rsid w:val="00A96D08"/>
    <w:rsid w:val="00A9734C"/>
    <w:rsid w:val="00A977BA"/>
    <w:rsid w:val="00A97CB3"/>
    <w:rsid w:val="00AA0078"/>
    <w:rsid w:val="00AA046F"/>
    <w:rsid w:val="00AA0471"/>
    <w:rsid w:val="00AA091B"/>
    <w:rsid w:val="00AA1872"/>
    <w:rsid w:val="00AA1BD1"/>
    <w:rsid w:val="00AA1CFB"/>
    <w:rsid w:val="00AA1F99"/>
    <w:rsid w:val="00AA249F"/>
    <w:rsid w:val="00AA2570"/>
    <w:rsid w:val="00AA2A70"/>
    <w:rsid w:val="00AA51D5"/>
    <w:rsid w:val="00AA5624"/>
    <w:rsid w:val="00AA5FFE"/>
    <w:rsid w:val="00AA6733"/>
    <w:rsid w:val="00AA6A6E"/>
    <w:rsid w:val="00AA6B31"/>
    <w:rsid w:val="00AA6CB6"/>
    <w:rsid w:val="00AA6E50"/>
    <w:rsid w:val="00AA71D8"/>
    <w:rsid w:val="00AA73E8"/>
    <w:rsid w:val="00AA7857"/>
    <w:rsid w:val="00AA7D4F"/>
    <w:rsid w:val="00AB05EF"/>
    <w:rsid w:val="00AB0A5B"/>
    <w:rsid w:val="00AB0AB1"/>
    <w:rsid w:val="00AB2BB7"/>
    <w:rsid w:val="00AB2C52"/>
    <w:rsid w:val="00AB2FF9"/>
    <w:rsid w:val="00AB3920"/>
    <w:rsid w:val="00AB3C58"/>
    <w:rsid w:val="00AB4518"/>
    <w:rsid w:val="00AB494D"/>
    <w:rsid w:val="00AB4F9C"/>
    <w:rsid w:val="00AB62B8"/>
    <w:rsid w:val="00AB63BC"/>
    <w:rsid w:val="00AB69AB"/>
    <w:rsid w:val="00AB6DC9"/>
    <w:rsid w:val="00AB6E1B"/>
    <w:rsid w:val="00AB6E35"/>
    <w:rsid w:val="00AB7672"/>
    <w:rsid w:val="00AB7A13"/>
    <w:rsid w:val="00AB7A7E"/>
    <w:rsid w:val="00AC0544"/>
    <w:rsid w:val="00AC09C4"/>
    <w:rsid w:val="00AC0DFF"/>
    <w:rsid w:val="00AC152C"/>
    <w:rsid w:val="00AC15DB"/>
    <w:rsid w:val="00AC1E9C"/>
    <w:rsid w:val="00AC2084"/>
    <w:rsid w:val="00AC23BF"/>
    <w:rsid w:val="00AC2CA1"/>
    <w:rsid w:val="00AC2D42"/>
    <w:rsid w:val="00AC32D9"/>
    <w:rsid w:val="00AC3370"/>
    <w:rsid w:val="00AC361C"/>
    <w:rsid w:val="00AC4686"/>
    <w:rsid w:val="00AC48A2"/>
    <w:rsid w:val="00AC4CE5"/>
    <w:rsid w:val="00AC6E0B"/>
    <w:rsid w:val="00AC6FA1"/>
    <w:rsid w:val="00AC70E9"/>
    <w:rsid w:val="00AC7A8A"/>
    <w:rsid w:val="00AC7FFC"/>
    <w:rsid w:val="00AD0543"/>
    <w:rsid w:val="00AD06A1"/>
    <w:rsid w:val="00AD13BE"/>
    <w:rsid w:val="00AD16BB"/>
    <w:rsid w:val="00AD1BED"/>
    <w:rsid w:val="00AD1CC2"/>
    <w:rsid w:val="00AD21A4"/>
    <w:rsid w:val="00AD2C43"/>
    <w:rsid w:val="00AD3127"/>
    <w:rsid w:val="00AD3958"/>
    <w:rsid w:val="00AD3D66"/>
    <w:rsid w:val="00AD3E5A"/>
    <w:rsid w:val="00AD3E6D"/>
    <w:rsid w:val="00AD4008"/>
    <w:rsid w:val="00AD4865"/>
    <w:rsid w:val="00AD48FC"/>
    <w:rsid w:val="00AD53AD"/>
    <w:rsid w:val="00AD581C"/>
    <w:rsid w:val="00AD5B89"/>
    <w:rsid w:val="00AD5FFA"/>
    <w:rsid w:val="00AD63EF"/>
    <w:rsid w:val="00AD656A"/>
    <w:rsid w:val="00AD6997"/>
    <w:rsid w:val="00AD6A30"/>
    <w:rsid w:val="00AE0168"/>
    <w:rsid w:val="00AE0B19"/>
    <w:rsid w:val="00AE0CBA"/>
    <w:rsid w:val="00AE137A"/>
    <w:rsid w:val="00AE1480"/>
    <w:rsid w:val="00AE1B82"/>
    <w:rsid w:val="00AE1DD9"/>
    <w:rsid w:val="00AE231C"/>
    <w:rsid w:val="00AE318D"/>
    <w:rsid w:val="00AE36E3"/>
    <w:rsid w:val="00AE3F67"/>
    <w:rsid w:val="00AE5998"/>
    <w:rsid w:val="00AE6713"/>
    <w:rsid w:val="00AE67ED"/>
    <w:rsid w:val="00AE6C21"/>
    <w:rsid w:val="00AE7903"/>
    <w:rsid w:val="00AF033E"/>
    <w:rsid w:val="00AF182D"/>
    <w:rsid w:val="00AF238F"/>
    <w:rsid w:val="00AF25BC"/>
    <w:rsid w:val="00AF2AB2"/>
    <w:rsid w:val="00AF2C40"/>
    <w:rsid w:val="00AF318A"/>
    <w:rsid w:val="00AF328A"/>
    <w:rsid w:val="00AF328F"/>
    <w:rsid w:val="00AF35F0"/>
    <w:rsid w:val="00AF4287"/>
    <w:rsid w:val="00AF440C"/>
    <w:rsid w:val="00AF4794"/>
    <w:rsid w:val="00AF4B68"/>
    <w:rsid w:val="00AF4DD0"/>
    <w:rsid w:val="00AF5204"/>
    <w:rsid w:val="00AF5A17"/>
    <w:rsid w:val="00B00138"/>
    <w:rsid w:val="00B001F0"/>
    <w:rsid w:val="00B00A17"/>
    <w:rsid w:val="00B00AC1"/>
    <w:rsid w:val="00B00F5C"/>
    <w:rsid w:val="00B01024"/>
    <w:rsid w:val="00B0121D"/>
    <w:rsid w:val="00B01C87"/>
    <w:rsid w:val="00B027D8"/>
    <w:rsid w:val="00B02B09"/>
    <w:rsid w:val="00B02C01"/>
    <w:rsid w:val="00B047D0"/>
    <w:rsid w:val="00B052AD"/>
    <w:rsid w:val="00B064AF"/>
    <w:rsid w:val="00B066C7"/>
    <w:rsid w:val="00B068E3"/>
    <w:rsid w:val="00B072DC"/>
    <w:rsid w:val="00B077A7"/>
    <w:rsid w:val="00B07878"/>
    <w:rsid w:val="00B108AE"/>
    <w:rsid w:val="00B1121A"/>
    <w:rsid w:val="00B11EE5"/>
    <w:rsid w:val="00B1200C"/>
    <w:rsid w:val="00B12312"/>
    <w:rsid w:val="00B12C7E"/>
    <w:rsid w:val="00B13BAD"/>
    <w:rsid w:val="00B1400C"/>
    <w:rsid w:val="00B1427A"/>
    <w:rsid w:val="00B1499C"/>
    <w:rsid w:val="00B15805"/>
    <w:rsid w:val="00B15E1B"/>
    <w:rsid w:val="00B161A2"/>
    <w:rsid w:val="00B16210"/>
    <w:rsid w:val="00B16DC6"/>
    <w:rsid w:val="00B1708A"/>
    <w:rsid w:val="00B17679"/>
    <w:rsid w:val="00B176BC"/>
    <w:rsid w:val="00B2047D"/>
    <w:rsid w:val="00B20A8F"/>
    <w:rsid w:val="00B20EEC"/>
    <w:rsid w:val="00B2307B"/>
    <w:rsid w:val="00B23999"/>
    <w:rsid w:val="00B23D43"/>
    <w:rsid w:val="00B2402C"/>
    <w:rsid w:val="00B24BFD"/>
    <w:rsid w:val="00B24D79"/>
    <w:rsid w:val="00B25FD5"/>
    <w:rsid w:val="00B266F6"/>
    <w:rsid w:val="00B2677F"/>
    <w:rsid w:val="00B273AE"/>
    <w:rsid w:val="00B305E4"/>
    <w:rsid w:val="00B307A8"/>
    <w:rsid w:val="00B30B94"/>
    <w:rsid w:val="00B30F48"/>
    <w:rsid w:val="00B31103"/>
    <w:rsid w:val="00B31AFC"/>
    <w:rsid w:val="00B323A8"/>
    <w:rsid w:val="00B325D8"/>
    <w:rsid w:val="00B32C04"/>
    <w:rsid w:val="00B32E82"/>
    <w:rsid w:val="00B3343F"/>
    <w:rsid w:val="00B33D4A"/>
    <w:rsid w:val="00B33F52"/>
    <w:rsid w:val="00B34C94"/>
    <w:rsid w:val="00B34E66"/>
    <w:rsid w:val="00B34EDA"/>
    <w:rsid w:val="00B35271"/>
    <w:rsid w:val="00B35D6A"/>
    <w:rsid w:val="00B3623E"/>
    <w:rsid w:val="00B3648B"/>
    <w:rsid w:val="00B3649F"/>
    <w:rsid w:val="00B368AC"/>
    <w:rsid w:val="00B36F11"/>
    <w:rsid w:val="00B36FF4"/>
    <w:rsid w:val="00B40146"/>
    <w:rsid w:val="00B4066C"/>
    <w:rsid w:val="00B412CA"/>
    <w:rsid w:val="00B41B5C"/>
    <w:rsid w:val="00B41DDA"/>
    <w:rsid w:val="00B41F92"/>
    <w:rsid w:val="00B42199"/>
    <w:rsid w:val="00B423E2"/>
    <w:rsid w:val="00B42EF4"/>
    <w:rsid w:val="00B43248"/>
    <w:rsid w:val="00B45E99"/>
    <w:rsid w:val="00B462C2"/>
    <w:rsid w:val="00B47737"/>
    <w:rsid w:val="00B478EC"/>
    <w:rsid w:val="00B47B71"/>
    <w:rsid w:val="00B50292"/>
    <w:rsid w:val="00B50DD7"/>
    <w:rsid w:val="00B5120C"/>
    <w:rsid w:val="00B51853"/>
    <w:rsid w:val="00B51DEB"/>
    <w:rsid w:val="00B5235B"/>
    <w:rsid w:val="00B52A92"/>
    <w:rsid w:val="00B52E05"/>
    <w:rsid w:val="00B52E93"/>
    <w:rsid w:val="00B53500"/>
    <w:rsid w:val="00B547B6"/>
    <w:rsid w:val="00B54940"/>
    <w:rsid w:val="00B5497A"/>
    <w:rsid w:val="00B553FB"/>
    <w:rsid w:val="00B5653C"/>
    <w:rsid w:val="00B574D4"/>
    <w:rsid w:val="00B57BEA"/>
    <w:rsid w:val="00B609BC"/>
    <w:rsid w:val="00B60A5D"/>
    <w:rsid w:val="00B610ED"/>
    <w:rsid w:val="00B6139B"/>
    <w:rsid w:val="00B62872"/>
    <w:rsid w:val="00B629AD"/>
    <w:rsid w:val="00B63B31"/>
    <w:rsid w:val="00B63D91"/>
    <w:rsid w:val="00B653BD"/>
    <w:rsid w:val="00B65D17"/>
    <w:rsid w:val="00B66E93"/>
    <w:rsid w:val="00B67FDA"/>
    <w:rsid w:val="00B712CB"/>
    <w:rsid w:val="00B71743"/>
    <w:rsid w:val="00B71AF0"/>
    <w:rsid w:val="00B722F5"/>
    <w:rsid w:val="00B723E7"/>
    <w:rsid w:val="00B72782"/>
    <w:rsid w:val="00B73442"/>
    <w:rsid w:val="00B73489"/>
    <w:rsid w:val="00B7369A"/>
    <w:rsid w:val="00B73A79"/>
    <w:rsid w:val="00B73A89"/>
    <w:rsid w:val="00B73FD6"/>
    <w:rsid w:val="00B742B9"/>
    <w:rsid w:val="00B7458C"/>
    <w:rsid w:val="00B74D57"/>
    <w:rsid w:val="00B75260"/>
    <w:rsid w:val="00B7543C"/>
    <w:rsid w:val="00B75AC9"/>
    <w:rsid w:val="00B75C67"/>
    <w:rsid w:val="00B76BD7"/>
    <w:rsid w:val="00B76D7B"/>
    <w:rsid w:val="00B77144"/>
    <w:rsid w:val="00B77C90"/>
    <w:rsid w:val="00B77D54"/>
    <w:rsid w:val="00B80A03"/>
    <w:rsid w:val="00B80A1C"/>
    <w:rsid w:val="00B817AC"/>
    <w:rsid w:val="00B81A87"/>
    <w:rsid w:val="00B8213D"/>
    <w:rsid w:val="00B82498"/>
    <w:rsid w:val="00B82999"/>
    <w:rsid w:val="00B83096"/>
    <w:rsid w:val="00B8340F"/>
    <w:rsid w:val="00B8376F"/>
    <w:rsid w:val="00B839D1"/>
    <w:rsid w:val="00B83D0C"/>
    <w:rsid w:val="00B84121"/>
    <w:rsid w:val="00B844C9"/>
    <w:rsid w:val="00B8531C"/>
    <w:rsid w:val="00B85EB7"/>
    <w:rsid w:val="00B872F3"/>
    <w:rsid w:val="00B8732B"/>
    <w:rsid w:val="00B8777D"/>
    <w:rsid w:val="00B8797C"/>
    <w:rsid w:val="00B91A5E"/>
    <w:rsid w:val="00B920E5"/>
    <w:rsid w:val="00B921BB"/>
    <w:rsid w:val="00B92697"/>
    <w:rsid w:val="00B93A7E"/>
    <w:rsid w:val="00B93C29"/>
    <w:rsid w:val="00B93F2C"/>
    <w:rsid w:val="00B9402B"/>
    <w:rsid w:val="00B94092"/>
    <w:rsid w:val="00B94F16"/>
    <w:rsid w:val="00B954EA"/>
    <w:rsid w:val="00B959CF"/>
    <w:rsid w:val="00B95CEF"/>
    <w:rsid w:val="00B95EE9"/>
    <w:rsid w:val="00B96529"/>
    <w:rsid w:val="00B96B08"/>
    <w:rsid w:val="00B96D61"/>
    <w:rsid w:val="00B97143"/>
    <w:rsid w:val="00BA00F9"/>
    <w:rsid w:val="00BA0815"/>
    <w:rsid w:val="00BA0867"/>
    <w:rsid w:val="00BA088E"/>
    <w:rsid w:val="00BA114E"/>
    <w:rsid w:val="00BA14DD"/>
    <w:rsid w:val="00BA27EE"/>
    <w:rsid w:val="00BA2879"/>
    <w:rsid w:val="00BA2D57"/>
    <w:rsid w:val="00BA3095"/>
    <w:rsid w:val="00BA39C6"/>
    <w:rsid w:val="00BA3D5A"/>
    <w:rsid w:val="00BA47B1"/>
    <w:rsid w:val="00BA516F"/>
    <w:rsid w:val="00BA5F96"/>
    <w:rsid w:val="00BA6146"/>
    <w:rsid w:val="00BA64C8"/>
    <w:rsid w:val="00BA6AF8"/>
    <w:rsid w:val="00BA71CB"/>
    <w:rsid w:val="00BA74C4"/>
    <w:rsid w:val="00BB039C"/>
    <w:rsid w:val="00BB2180"/>
    <w:rsid w:val="00BB3BB8"/>
    <w:rsid w:val="00BB457E"/>
    <w:rsid w:val="00BB4A20"/>
    <w:rsid w:val="00BB4BF9"/>
    <w:rsid w:val="00BB67CE"/>
    <w:rsid w:val="00BB6D3B"/>
    <w:rsid w:val="00BB703B"/>
    <w:rsid w:val="00BB72E7"/>
    <w:rsid w:val="00BB78E3"/>
    <w:rsid w:val="00BC0289"/>
    <w:rsid w:val="00BC0F44"/>
    <w:rsid w:val="00BC1261"/>
    <w:rsid w:val="00BC1889"/>
    <w:rsid w:val="00BC2CCB"/>
    <w:rsid w:val="00BC2DC8"/>
    <w:rsid w:val="00BC3EAB"/>
    <w:rsid w:val="00BC4773"/>
    <w:rsid w:val="00BC4BD3"/>
    <w:rsid w:val="00BC504D"/>
    <w:rsid w:val="00BC5084"/>
    <w:rsid w:val="00BC50FE"/>
    <w:rsid w:val="00BC5676"/>
    <w:rsid w:val="00BC63B1"/>
    <w:rsid w:val="00BC6A6A"/>
    <w:rsid w:val="00BC7646"/>
    <w:rsid w:val="00BC7D49"/>
    <w:rsid w:val="00BD036E"/>
    <w:rsid w:val="00BD07C2"/>
    <w:rsid w:val="00BD1378"/>
    <w:rsid w:val="00BD2127"/>
    <w:rsid w:val="00BD2924"/>
    <w:rsid w:val="00BD2CAE"/>
    <w:rsid w:val="00BD2D48"/>
    <w:rsid w:val="00BD2E87"/>
    <w:rsid w:val="00BD31C1"/>
    <w:rsid w:val="00BD42D6"/>
    <w:rsid w:val="00BD4764"/>
    <w:rsid w:val="00BD4770"/>
    <w:rsid w:val="00BD566D"/>
    <w:rsid w:val="00BD5D3D"/>
    <w:rsid w:val="00BD5D51"/>
    <w:rsid w:val="00BD7297"/>
    <w:rsid w:val="00BD7DAE"/>
    <w:rsid w:val="00BD7E7F"/>
    <w:rsid w:val="00BD7EFE"/>
    <w:rsid w:val="00BE18F4"/>
    <w:rsid w:val="00BE1DDE"/>
    <w:rsid w:val="00BE207F"/>
    <w:rsid w:val="00BE2EAC"/>
    <w:rsid w:val="00BE38D9"/>
    <w:rsid w:val="00BE396F"/>
    <w:rsid w:val="00BE419F"/>
    <w:rsid w:val="00BE4BD0"/>
    <w:rsid w:val="00BE4FA3"/>
    <w:rsid w:val="00BE532F"/>
    <w:rsid w:val="00BE5F14"/>
    <w:rsid w:val="00BE639B"/>
    <w:rsid w:val="00BE7258"/>
    <w:rsid w:val="00BE744B"/>
    <w:rsid w:val="00BE7C8A"/>
    <w:rsid w:val="00BE7FDC"/>
    <w:rsid w:val="00BF001A"/>
    <w:rsid w:val="00BF0AFD"/>
    <w:rsid w:val="00BF1030"/>
    <w:rsid w:val="00BF1503"/>
    <w:rsid w:val="00BF1BDE"/>
    <w:rsid w:val="00BF2E9D"/>
    <w:rsid w:val="00BF2FB0"/>
    <w:rsid w:val="00BF475C"/>
    <w:rsid w:val="00BF4795"/>
    <w:rsid w:val="00BF4B5C"/>
    <w:rsid w:val="00BF5996"/>
    <w:rsid w:val="00BF5F1D"/>
    <w:rsid w:val="00BF6238"/>
    <w:rsid w:val="00BF66FF"/>
    <w:rsid w:val="00BF70B5"/>
    <w:rsid w:val="00BF717C"/>
    <w:rsid w:val="00BF7856"/>
    <w:rsid w:val="00C00252"/>
    <w:rsid w:val="00C003BD"/>
    <w:rsid w:val="00C00653"/>
    <w:rsid w:val="00C00DAC"/>
    <w:rsid w:val="00C01476"/>
    <w:rsid w:val="00C01823"/>
    <w:rsid w:val="00C01D5F"/>
    <w:rsid w:val="00C01F1A"/>
    <w:rsid w:val="00C0205A"/>
    <w:rsid w:val="00C0209F"/>
    <w:rsid w:val="00C022B7"/>
    <w:rsid w:val="00C0255C"/>
    <w:rsid w:val="00C028D8"/>
    <w:rsid w:val="00C02D3E"/>
    <w:rsid w:val="00C03192"/>
    <w:rsid w:val="00C035D8"/>
    <w:rsid w:val="00C036E0"/>
    <w:rsid w:val="00C0414B"/>
    <w:rsid w:val="00C042DD"/>
    <w:rsid w:val="00C04A64"/>
    <w:rsid w:val="00C04B0B"/>
    <w:rsid w:val="00C04DE0"/>
    <w:rsid w:val="00C04FDC"/>
    <w:rsid w:val="00C052BF"/>
    <w:rsid w:val="00C05643"/>
    <w:rsid w:val="00C05661"/>
    <w:rsid w:val="00C05E16"/>
    <w:rsid w:val="00C060F8"/>
    <w:rsid w:val="00C0680C"/>
    <w:rsid w:val="00C06C91"/>
    <w:rsid w:val="00C07757"/>
    <w:rsid w:val="00C07891"/>
    <w:rsid w:val="00C07A5D"/>
    <w:rsid w:val="00C07ADA"/>
    <w:rsid w:val="00C07AED"/>
    <w:rsid w:val="00C1002C"/>
    <w:rsid w:val="00C10161"/>
    <w:rsid w:val="00C10622"/>
    <w:rsid w:val="00C12213"/>
    <w:rsid w:val="00C12A64"/>
    <w:rsid w:val="00C13E16"/>
    <w:rsid w:val="00C13FE0"/>
    <w:rsid w:val="00C1445D"/>
    <w:rsid w:val="00C14567"/>
    <w:rsid w:val="00C1500B"/>
    <w:rsid w:val="00C16EC2"/>
    <w:rsid w:val="00C16FF4"/>
    <w:rsid w:val="00C1723D"/>
    <w:rsid w:val="00C17887"/>
    <w:rsid w:val="00C21507"/>
    <w:rsid w:val="00C21971"/>
    <w:rsid w:val="00C23AF0"/>
    <w:rsid w:val="00C2434F"/>
    <w:rsid w:val="00C24438"/>
    <w:rsid w:val="00C244AD"/>
    <w:rsid w:val="00C245A2"/>
    <w:rsid w:val="00C24F6A"/>
    <w:rsid w:val="00C252BD"/>
    <w:rsid w:val="00C257F2"/>
    <w:rsid w:val="00C25E89"/>
    <w:rsid w:val="00C25FCC"/>
    <w:rsid w:val="00C2612E"/>
    <w:rsid w:val="00C26D09"/>
    <w:rsid w:val="00C27398"/>
    <w:rsid w:val="00C277DA"/>
    <w:rsid w:val="00C27A06"/>
    <w:rsid w:val="00C300C4"/>
    <w:rsid w:val="00C30230"/>
    <w:rsid w:val="00C3048E"/>
    <w:rsid w:val="00C30CB3"/>
    <w:rsid w:val="00C3145A"/>
    <w:rsid w:val="00C317E8"/>
    <w:rsid w:val="00C3282E"/>
    <w:rsid w:val="00C32BF7"/>
    <w:rsid w:val="00C330DB"/>
    <w:rsid w:val="00C3326E"/>
    <w:rsid w:val="00C340B3"/>
    <w:rsid w:val="00C34754"/>
    <w:rsid w:val="00C35635"/>
    <w:rsid w:val="00C35BAD"/>
    <w:rsid w:val="00C35E6D"/>
    <w:rsid w:val="00C3684B"/>
    <w:rsid w:val="00C401B6"/>
    <w:rsid w:val="00C403F2"/>
    <w:rsid w:val="00C40427"/>
    <w:rsid w:val="00C40FB9"/>
    <w:rsid w:val="00C41BBB"/>
    <w:rsid w:val="00C41E9F"/>
    <w:rsid w:val="00C42126"/>
    <w:rsid w:val="00C42EB7"/>
    <w:rsid w:val="00C430E6"/>
    <w:rsid w:val="00C436E8"/>
    <w:rsid w:val="00C444E5"/>
    <w:rsid w:val="00C44953"/>
    <w:rsid w:val="00C44E23"/>
    <w:rsid w:val="00C44F1A"/>
    <w:rsid w:val="00C45051"/>
    <w:rsid w:val="00C45517"/>
    <w:rsid w:val="00C46AC3"/>
    <w:rsid w:val="00C479CF"/>
    <w:rsid w:val="00C50BA3"/>
    <w:rsid w:val="00C51C6D"/>
    <w:rsid w:val="00C51ED4"/>
    <w:rsid w:val="00C52521"/>
    <w:rsid w:val="00C5271D"/>
    <w:rsid w:val="00C528BF"/>
    <w:rsid w:val="00C52EAC"/>
    <w:rsid w:val="00C535F1"/>
    <w:rsid w:val="00C53C38"/>
    <w:rsid w:val="00C54062"/>
    <w:rsid w:val="00C55089"/>
    <w:rsid w:val="00C558B3"/>
    <w:rsid w:val="00C55A9C"/>
    <w:rsid w:val="00C55E7D"/>
    <w:rsid w:val="00C56531"/>
    <w:rsid w:val="00C57089"/>
    <w:rsid w:val="00C573D9"/>
    <w:rsid w:val="00C5746A"/>
    <w:rsid w:val="00C57DDB"/>
    <w:rsid w:val="00C60309"/>
    <w:rsid w:val="00C606E4"/>
    <w:rsid w:val="00C610F6"/>
    <w:rsid w:val="00C62242"/>
    <w:rsid w:val="00C62255"/>
    <w:rsid w:val="00C6236A"/>
    <w:rsid w:val="00C627D0"/>
    <w:rsid w:val="00C62DFD"/>
    <w:rsid w:val="00C63495"/>
    <w:rsid w:val="00C63A05"/>
    <w:rsid w:val="00C63A77"/>
    <w:rsid w:val="00C65254"/>
    <w:rsid w:val="00C6765E"/>
    <w:rsid w:val="00C67C24"/>
    <w:rsid w:val="00C7023F"/>
    <w:rsid w:val="00C710AE"/>
    <w:rsid w:val="00C713E6"/>
    <w:rsid w:val="00C71715"/>
    <w:rsid w:val="00C72054"/>
    <w:rsid w:val="00C72BE9"/>
    <w:rsid w:val="00C72F2F"/>
    <w:rsid w:val="00C74761"/>
    <w:rsid w:val="00C74C8A"/>
    <w:rsid w:val="00C756EE"/>
    <w:rsid w:val="00C75CEF"/>
    <w:rsid w:val="00C7658A"/>
    <w:rsid w:val="00C769C2"/>
    <w:rsid w:val="00C76C5D"/>
    <w:rsid w:val="00C76ECB"/>
    <w:rsid w:val="00C77AA3"/>
    <w:rsid w:val="00C80EA7"/>
    <w:rsid w:val="00C81389"/>
    <w:rsid w:val="00C8142F"/>
    <w:rsid w:val="00C81C26"/>
    <w:rsid w:val="00C82AC2"/>
    <w:rsid w:val="00C82B32"/>
    <w:rsid w:val="00C832BE"/>
    <w:rsid w:val="00C8362A"/>
    <w:rsid w:val="00C84BA9"/>
    <w:rsid w:val="00C84CCF"/>
    <w:rsid w:val="00C8552F"/>
    <w:rsid w:val="00C85A28"/>
    <w:rsid w:val="00C8616A"/>
    <w:rsid w:val="00C86570"/>
    <w:rsid w:val="00C86E12"/>
    <w:rsid w:val="00C87277"/>
    <w:rsid w:val="00C9038A"/>
    <w:rsid w:val="00C905C2"/>
    <w:rsid w:val="00C91B75"/>
    <w:rsid w:val="00C91BB9"/>
    <w:rsid w:val="00C91F4A"/>
    <w:rsid w:val="00C91F4F"/>
    <w:rsid w:val="00C922DA"/>
    <w:rsid w:val="00C922E3"/>
    <w:rsid w:val="00C925AB"/>
    <w:rsid w:val="00C92699"/>
    <w:rsid w:val="00C92B5A"/>
    <w:rsid w:val="00C93293"/>
    <w:rsid w:val="00C93B4B"/>
    <w:rsid w:val="00C93EB8"/>
    <w:rsid w:val="00C93EC4"/>
    <w:rsid w:val="00C9416E"/>
    <w:rsid w:val="00C94EFA"/>
    <w:rsid w:val="00C968CD"/>
    <w:rsid w:val="00C968D3"/>
    <w:rsid w:val="00C96AF8"/>
    <w:rsid w:val="00C97080"/>
    <w:rsid w:val="00C971C1"/>
    <w:rsid w:val="00C9761C"/>
    <w:rsid w:val="00CA09E2"/>
    <w:rsid w:val="00CA1157"/>
    <w:rsid w:val="00CA1159"/>
    <w:rsid w:val="00CA1427"/>
    <w:rsid w:val="00CA1773"/>
    <w:rsid w:val="00CA1FE5"/>
    <w:rsid w:val="00CA23C5"/>
    <w:rsid w:val="00CA332A"/>
    <w:rsid w:val="00CA336B"/>
    <w:rsid w:val="00CA3505"/>
    <w:rsid w:val="00CA43CD"/>
    <w:rsid w:val="00CA4D04"/>
    <w:rsid w:val="00CA58CF"/>
    <w:rsid w:val="00CA58E8"/>
    <w:rsid w:val="00CA64D5"/>
    <w:rsid w:val="00CA693C"/>
    <w:rsid w:val="00CA6FDE"/>
    <w:rsid w:val="00CB02BA"/>
    <w:rsid w:val="00CB093D"/>
    <w:rsid w:val="00CB0D0F"/>
    <w:rsid w:val="00CB102E"/>
    <w:rsid w:val="00CB1754"/>
    <w:rsid w:val="00CB1A03"/>
    <w:rsid w:val="00CB1B61"/>
    <w:rsid w:val="00CB1DB8"/>
    <w:rsid w:val="00CB22A1"/>
    <w:rsid w:val="00CB2CB3"/>
    <w:rsid w:val="00CB3177"/>
    <w:rsid w:val="00CB330D"/>
    <w:rsid w:val="00CB3520"/>
    <w:rsid w:val="00CB43DB"/>
    <w:rsid w:val="00CB4F32"/>
    <w:rsid w:val="00CB523B"/>
    <w:rsid w:val="00CB565D"/>
    <w:rsid w:val="00CC091C"/>
    <w:rsid w:val="00CC0B3A"/>
    <w:rsid w:val="00CC1215"/>
    <w:rsid w:val="00CC1BA0"/>
    <w:rsid w:val="00CC271B"/>
    <w:rsid w:val="00CC2A9C"/>
    <w:rsid w:val="00CC3F03"/>
    <w:rsid w:val="00CC4287"/>
    <w:rsid w:val="00CC437E"/>
    <w:rsid w:val="00CC46FB"/>
    <w:rsid w:val="00CC485B"/>
    <w:rsid w:val="00CC51FB"/>
    <w:rsid w:val="00CC55A0"/>
    <w:rsid w:val="00CC5FAF"/>
    <w:rsid w:val="00CC6078"/>
    <w:rsid w:val="00CC6B57"/>
    <w:rsid w:val="00CC6D51"/>
    <w:rsid w:val="00CC7351"/>
    <w:rsid w:val="00CC7957"/>
    <w:rsid w:val="00CC7F44"/>
    <w:rsid w:val="00CD0203"/>
    <w:rsid w:val="00CD02D7"/>
    <w:rsid w:val="00CD15CC"/>
    <w:rsid w:val="00CD1D19"/>
    <w:rsid w:val="00CD1EEC"/>
    <w:rsid w:val="00CD1FFE"/>
    <w:rsid w:val="00CD24F7"/>
    <w:rsid w:val="00CD2B5E"/>
    <w:rsid w:val="00CD4638"/>
    <w:rsid w:val="00CD4E07"/>
    <w:rsid w:val="00CD5387"/>
    <w:rsid w:val="00CD6460"/>
    <w:rsid w:val="00CD65A5"/>
    <w:rsid w:val="00CD66C3"/>
    <w:rsid w:val="00CD6A61"/>
    <w:rsid w:val="00CD6AEF"/>
    <w:rsid w:val="00CD6EB5"/>
    <w:rsid w:val="00CD6FDA"/>
    <w:rsid w:val="00CD7074"/>
    <w:rsid w:val="00CD72AB"/>
    <w:rsid w:val="00CD7784"/>
    <w:rsid w:val="00CD77CD"/>
    <w:rsid w:val="00CE065D"/>
    <w:rsid w:val="00CE149F"/>
    <w:rsid w:val="00CE14FE"/>
    <w:rsid w:val="00CE1AA9"/>
    <w:rsid w:val="00CE22D0"/>
    <w:rsid w:val="00CE248E"/>
    <w:rsid w:val="00CE2D24"/>
    <w:rsid w:val="00CE3628"/>
    <w:rsid w:val="00CE3A58"/>
    <w:rsid w:val="00CE4218"/>
    <w:rsid w:val="00CE4CE3"/>
    <w:rsid w:val="00CE4FAB"/>
    <w:rsid w:val="00CE63EF"/>
    <w:rsid w:val="00CE6428"/>
    <w:rsid w:val="00CE6DCA"/>
    <w:rsid w:val="00CE6DD6"/>
    <w:rsid w:val="00CE6F61"/>
    <w:rsid w:val="00CE7238"/>
    <w:rsid w:val="00CE75A0"/>
    <w:rsid w:val="00CE7E00"/>
    <w:rsid w:val="00CE7F9C"/>
    <w:rsid w:val="00CF0755"/>
    <w:rsid w:val="00CF0797"/>
    <w:rsid w:val="00CF0804"/>
    <w:rsid w:val="00CF0917"/>
    <w:rsid w:val="00CF0ABD"/>
    <w:rsid w:val="00CF10E4"/>
    <w:rsid w:val="00CF1CC4"/>
    <w:rsid w:val="00CF1D23"/>
    <w:rsid w:val="00CF1E44"/>
    <w:rsid w:val="00CF2B7E"/>
    <w:rsid w:val="00CF44C6"/>
    <w:rsid w:val="00CF4BD1"/>
    <w:rsid w:val="00CF4C01"/>
    <w:rsid w:val="00CF4CBE"/>
    <w:rsid w:val="00CF5503"/>
    <w:rsid w:val="00CF55EB"/>
    <w:rsid w:val="00CF7860"/>
    <w:rsid w:val="00CF7CAD"/>
    <w:rsid w:val="00D0024E"/>
    <w:rsid w:val="00D00D4D"/>
    <w:rsid w:val="00D00E65"/>
    <w:rsid w:val="00D0122A"/>
    <w:rsid w:val="00D01320"/>
    <w:rsid w:val="00D0187D"/>
    <w:rsid w:val="00D01E47"/>
    <w:rsid w:val="00D01F85"/>
    <w:rsid w:val="00D02715"/>
    <w:rsid w:val="00D02F95"/>
    <w:rsid w:val="00D03144"/>
    <w:rsid w:val="00D035B3"/>
    <w:rsid w:val="00D04A06"/>
    <w:rsid w:val="00D04A6A"/>
    <w:rsid w:val="00D065A1"/>
    <w:rsid w:val="00D065B7"/>
    <w:rsid w:val="00D06804"/>
    <w:rsid w:val="00D0722B"/>
    <w:rsid w:val="00D07C71"/>
    <w:rsid w:val="00D07CE8"/>
    <w:rsid w:val="00D1087D"/>
    <w:rsid w:val="00D116D6"/>
    <w:rsid w:val="00D11C4F"/>
    <w:rsid w:val="00D1207D"/>
    <w:rsid w:val="00D125D9"/>
    <w:rsid w:val="00D12899"/>
    <w:rsid w:val="00D130FC"/>
    <w:rsid w:val="00D13CA2"/>
    <w:rsid w:val="00D15585"/>
    <w:rsid w:val="00D156C3"/>
    <w:rsid w:val="00D15A6B"/>
    <w:rsid w:val="00D15BFF"/>
    <w:rsid w:val="00D15EEE"/>
    <w:rsid w:val="00D173F9"/>
    <w:rsid w:val="00D175AA"/>
    <w:rsid w:val="00D17B9B"/>
    <w:rsid w:val="00D17BDA"/>
    <w:rsid w:val="00D17EB0"/>
    <w:rsid w:val="00D202F6"/>
    <w:rsid w:val="00D205D1"/>
    <w:rsid w:val="00D20EE8"/>
    <w:rsid w:val="00D2138D"/>
    <w:rsid w:val="00D213E7"/>
    <w:rsid w:val="00D21812"/>
    <w:rsid w:val="00D222D0"/>
    <w:rsid w:val="00D229B6"/>
    <w:rsid w:val="00D22BE2"/>
    <w:rsid w:val="00D22D33"/>
    <w:rsid w:val="00D23CB6"/>
    <w:rsid w:val="00D23F19"/>
    <w:rsid w:val="00D242F3"/>
    <w:rsid w:val="00D2514D"/>
    <w:rsid w:val="00D2516A"/>
    <w:rsid w:val="00D25452"/>
    <w:rsid w:val="00D25877"/>
    <w:rsid w:val="00D25F42"/>
    <w:rsid w:val="00D26235"/>
    <w:rsid w:val="00D262DD"/>
    <w:rsid w:val="00D264FE"/>
    <w:rsid w:val="00D2688C"/>
    <w:rsid w:val="00D26AAF"/>
    <w:rsid w:val="00D27B8D"/>
    <w:rsid w:val="00D303C8"/>
    <w:rsid w:val="00D30953"/>
    <w:rsid w:val="00D30D1C"/>
    <w:rsid w:val="00D3176B"/>
    <w:rsid w:val="00D31FA4"/>
    <w:rsid w:val="00D32D72"/>
    <w:rsid w:val="00D32DDC"/>
    <w:rsid w:val="00D3365D"/>
    <w:rsid w:val="00D35D7E"/>
    <w:rsid w:val="00D364D7"/>
    <w:rsid w:val="00D364E8"/>
    <w:rsid w:val="00D365EB"/>
    <w:rsid w:val="00D369DB"/>
    <w:rsid w:val="00D3709C"/>
    <w:rsid w:val="00D372C4"/>
    <w:rsid w:val="00D407BF"/>
    <w:rsid w:val="00D4080B"/>
    <w:rsid w:val="00D409E9"/>
    <w:rsid w:val="00D41E43"/>
    <w:rsid w:val="00D43F95"/>
    <w:rsid w:val="00D44624"/>
    <w:rsid w:val="00D4486B"/>
    <w:rsid w:val="00D45069"/>
    <w:rsid w:val="00D45E59"/>
    <w:rsid w:val="00D469AF"/>
    <w:rsid w:val="00D46C69"/>
    <w:rsid w:val="00D46EF1"/>
    <w:rsid w:val="00D4705F"/>
    <w:rsid w:val="00D47076"/>
    <w:rsid w:val="00D47B46"/>
    <w:rsid w:val="00D47E5C"/>
    <w:rsid w:val="00D50047"/>
    <w:rsid w:val="00D509B8"/>
    <w:rsid w:val="00D51242"/>
    <w:rsid w:val="00D51F08"/>
    <w:rsid w:val="00D52122"/>
    <w:rsid w:val="00D529D0"/>
    <w:rsid w:val="00D5418D"/>
    <w:rsid w:val="00D5430F"/>
    <w:rsid w:val="00D54547"/>
    <w:rsid w:val="00D54894"/>
    <w:rsid w:val="00D551C3"/>
    <w:rsid w:val="00D55840"/>
    <w:rsid w:val="00D55F5F"/>
    <w:rsid w:val="00D5634A"/>
    <w:rsid w:val="00D56436"/>
    <w:rsid w:val="00D578FC"/>
    <w:rsid w:val="00D5794A"/>
    <w:rsid w:val="00D600BE"/>
    <w:rsid w:val="00D60200"/>
    <w:rsid w:val="00D606C8"/>
    <w:rsid w:val="00D609FE"/>
    <w:rsid w:val="00D6276F"/>
    <w:rsid w:val="00D62E2D"/>
    <w:rsid w:val="00D635A8"/>
    <w:rsid w:val="00D64217"/>
    <w:rsid w:val="00D648AC"/>
    <w:rsid w:val="00D65A1C"/>
    <w:rsid w:val="00D65D0B"/>
    <w:rsid w:val="00D6726D"/>
    <w:rsid w:val="00D678D8"/>
    <w:rsid w:val="00D701D2"/>
    <w:rsid w:val="00D706D6"/>
    <w:rsid w:val="00D721B7"/>
    <w:rsid w:val="00D7251B"/>
    <w:rsid w:val="00D725E9"/>
    <w:rsid w:val="00D72B88"/>
    <w:rsid w:val="00D74294"/>
    <w:rsid w:val="00D746C9"/>
    <w:rsid w:val="00D74788"/>
    <w:rsid w:val="00D74797"/>
    <w:rsid w:val="00D74EB9"/>
    <w:rsid w:val="00D752CD"/>
    <w:rsid w:val="00D758C1"/>
    <w:rsid w:val="00D7599C"/>
    <w:rsid w:val="00D76077"/>
    <w:rsid w:val="00D764A2"/>
    <w:rsid w:val="00D8047E"/>
    <w:rsid w:val="00D8087C"/>
    <w:rsid w:val="00D80F30"/>
    <w:rsid w:val="00D81070"/>
    <w:rsid w:val="00D82C7A"/>
    <w:rsid w:val="00D83107"/>
    <w:rsid w:val="00D83126"/>
    <w:rsid w:val="00D832FB"/>
    <w:rsid w:val="00D8432A"/>
    <w:rsid w:val="00D84552"/>
    <w:rsid w:val="00D84AFF"/>
    <w:rsid w:val="00D84B49"/>
    <w:rsid w:val="00D85497"/>
    <w:rsid w:val="00D86132"/>
    <w:rsid w:val="00D863D9"/>
    <w:rsid w:val="00D86455"/>
    <w:rsid w:val="00D86587"/>
    <w:rsid w:val="00D8669F"/>
    <w:rsid w:val="00D86A50"/>
    <w:rsid w:val="00D86BA7"/>
    <w:rsid w:val="00D87E92"/>
    <w:rsid w:val="00D90F17"/>
    <w:rsid w:val="00D91B70"/>
    <w:rsid w:val="00D921E9"/>
    <w:rsid w:val="00D92361"/>
    <w:rsid w:val="00D92557"/>
    <w:rsid w:val="00D927BF"/>
    <w:rsid w:val="00D935DC"/>
    <w:rsid w:val="00D93FD4"/>
    <w:rsid w:val="00D940BA"/>
    <w:rsid w:val="00D940C6"/>
    <w:rsid w:val="00D942D8"/>
    <w:rsid w:val="00D94626"/>
    <w:rsid w:val="00D95816"/>
    <w:rsid w:val="00D95D1D"/>
    <w:rsid w:val="00D96AFD"/>
    <w:rsid w:val="00D96E94"/>
    <w:rsid w:val="00D97126"/>
    <w:rsid w:val="00D9761F"/>
    <w:rsid w:val="00D97C2E"/>
    <w:rsid w:val="00D97E94"/>
    <w:rsid w:val="00DA1B7F"/>
    <w:rsid w:val="00DA1EB9"/>
    <w:rsid w:val="00DA255C"/>
    <w:rsid w:val="00DA2B18"/>
    <w:rsid w:val="00DA2D43"/>
    <w:rsid w:val="00DA327B"/>
    <w:rsid w:val="00DA32F0"/>
    <w:rsid w:val="00DA3FE9"/>
    <w:rsid w:val="00DA4272"/>
    <w:rsid w:val="00DA6045"/>
    <w:rsid w:val="00DA6EBE"/>
    <w:rsid w:val="00DA70B7"/>
    <w:rsid w:val="00DA73CD"/>
    <w:rsid w:val="00DA789B"/>
    <w:rsid w:val="00DB178D"/>
    <w:rsid w:val="00DB1D38"/>
    <w:rsid w:val="00DB1FE7"/>
    <w:rsid w:val="00DB21A8"/>
    <w:rsid w:val="00DB2513"/>
    <w:rsid w:val="00DB2949"/>
    <w:rsid w:val="00DB2DF4"/>
    <w:rsid w:val="00DB3CDF"/>
    <w:rsid w:val="00DB3F55"/>
    <w:rsid w:val="00DB429D"/>
    <w:rsid w:val="00DB47D4"/>
    <w:rsid w:val="00DB49C7"/>
    <w:rsid w:val="00DB4E13"/>
    <w:rsid w:val="00DB4F53"/>
    <w:rsid w:val="00DB541E"/>
    <w:rsid w:val="00DB5972"/>
    <w:rsid w:val="00DB72B0"/>
    <w:rsid w:val="00DB7EE4"/>
    <w:rsid w:val="00DC0330"/>
    <w:rsid w:val="00DC0431"/>
    <w:rsid w:val="00DC056E"/>
    <w:rsid w:val="00DC07BA"/>
    <w:rsid w:val="00DC0F4F"/>
    <w:rsid w:val="00DC1B38"/>
    <w:rsid w:val="00DC1F17"/>
    <w:rsid w:val="00DC217D"/>
    <w:rsid w:val="00DC2D3A"/>
    <w:rsid w:val="00DC2F39"/>
    <w:rsid w:val="00DC3710"/>
    <w:rsid w:val="00DC38AE"/>
    <w:rsid w:val="00DC3F25"/>
    <w:rsid w:val="00DC471C"/>
    <w:rsid w:val="00DC4B4F"/>
    <w:rsid w:val="00DC4BB6"/>
    <w:rsid w:val="00DC4D4B"/>
    <w:rsid w:val="00DC78FD"/>
    <w:rsid w:val="00DC7CF9"/>
    <w:rsid w:val="00DC7E4F"/>
    <w:rsid w:val="00DC7E6F"/>
    <w:rsid w:val="00DD003C"/>
    <w:rsid w:val="00DD1373"/>
    <w:rsid w:val="00DD1765"/>
    <w:rsid w:val="00DD251C"/>
    <w:rsid w:val="00DD329B"/>
    <w:rsid w:val="00DD387C"/>
    <w:rsid w:val="00DD3A7A"/>
    <w:rsid w:val="00DD3CF0"/>
    <w:rsid w:val="00DD3D9B"/>
    <w:rsid w:val="00DD428E"/>
    <w:rsid w:val="00DD46C4"/>
    <w:rsid w:val="00DD49C3"/>
    <w:rsid w:val="00DD4B08"/>
    <w:rsid w:val="00DD4B7D"/>
    <w:rsid w:val="00DD578E"/>
    <w:rsid w:val="00DD5DC6"/>
    <w:rsid w:val="00DD6013"/>
    <w:rsid w:val="00DD6309"/>
    <w:rsid w:val="00DD6D56"/>
    <w:rsid w:val="00DD6E8C"/>
    <w:rsid w:val="00DD723C"/>
    <w:rsid w:val="00DD7CC8"/>
    <w:rsid w:val="00DE0A0B"/>
    <w:rsid w:val="00DE10B5"/>
    <w:rsid w:val="00DE1549"/>
    <w:rsid w:val="00DE1BF9"/>
    <w:rsid w:val="00DE238A"/>
    <w:rsid w:val="00DE3BBD"/>
    <w:rsid w:val="00DE3E13"/>
    <w:rsid w:val="00DE437C"/>
    <w:rsid w:val="00DE4643"/>
    <w:rsid w:val="00DE492D"/>
    <w:rsid w:val="00DE4E69"/>
    <w:rsid w:val="00DE56D6"/>
    <w:rsid w:val="00DE6F46"/>
    <w:rsid w:val="00DE6F4D"/>
    <w:rsid w:val="00DE76E9"/>
    <w:rsid w:val="00DF023E"/>
    <w:rsid w:val="00DF023F"/>
    <w:rsid w:val="00DF09F3"/>
    <w:rsid w:val="00DF1043"/>
    <w:rsid w:val="00DF13B3"/>
    <w:rsid w:val="00DF19AB"/>
    <w:rsid w:val="00DF1CA0"/>
    <w:rsid w:val="00DF23A8"/>
    <w:rsid w:val="00DF28E8"/>
    <w:rsid w:val="00DF2CB3"/>
    <w:rsid w:val="00DF2E53"/>
    <w:rsid w:val="00DF39FC"/>
    <w:rsid w:val="00DF4169"/>
    <w:rsid w:val="00DF53C2"/>
    <w:rsid w:val="00DF5517"/>
    <w:rsid w:val="00DF5A72"/>
    <w:rsid w:val="00DF6D11"/>
    <w:rsid w:val="00DF6F53"/>
    <w:rsid w:val="00DF7499"/>
    <w:rsid w:val="00DF7F44"/>
    <w:rsid w:val="00E00383"/>
    <w:rsid w:val="00E00590"/>
    <w:rsid w:val="00E00D87"/>
    <w:rsid w:val="00E01633"/>
    <w:rsid w:val="00E01B2D"/>
    <w:rsid w:val="00E03195"/>
    <w:rsid w:val="00E036D3"/>
    <w:rsid w:val="00E03A2D"/>
    <w:rsid w:val="00E03C4D"/>
    <w:rsid w:val="00E03F6B"/>
    <w:rsid w:val="00E0442C"/>
    <w:rsid w:val="00E04805"/>
    <w:rsid w:val="00E04921"/>
    <w:rsid w:val="00E04948"/>
    <w:rsid w:val="00E0514B"/>
    <w:rsid w:val="00E05236"/>
    <w:rsid w:val="00E052B6"/>
    <w:rsid w:val="00E057C8"/>
    <w:rsid w:val="00E05B64"/>
    <w:rsid w:val="00E06833"/>
    <w:rsid w:val="00E07299"/>
    <w:rsid w:val="00E07892"/>
    <w:rsid w:val="00E07A9C"/>
    <w:rsid w:val="00E07B30"/>
    <w:rsid w:val="00E108DD"/>
    <w:rsid w:val="00E11019"/>
    <w:rsid w:val="00E11314"/>
    <w:rsid w:val="00E11333"/>
    <w:rsid w:val="00E11DF5"/>
    <w:rsid w:val="00E12753"/>
    <w:rsid w:val="00E12B8A"/>
    <w:rsid w:val="00E12D7D"/>
    <w:rsid w:val="00E1306F"/>
    <w:rsid w:val="00E1397C"/>
    <w:rsid w:val="00E1451B"/>
    <w:rsid w:val="00E16270"/>
    <w:rsid w:val="00E16773"/>
    <w:rsid w:val="00E16BE2"/>
    <w:rsid w:val="00E170F6"/>
    <w:rsid w:val="00E176E4"/>
    <w:rsid w:val="00E17C59"/>
    <w:rsid w:val="00E17E7B"/>
    <w:rsid w:val="00E17F4B"/>
    <w:rsid w:val="00E20077"/>
    <w:rsid w:val="00E203D8"/>
    <w:rsid w:val="00E2057C"/>
    <w:rsid w:val="00E20AD7"/>
    <w:rsid w:val="00E21A98"/>
    <w:rsid w:val="00E21BAD"/>
    <w:rsid w:val="00E21BFD"/>
    <w:rsid w:val="00E22965"/>
    <w:rsid w:val="00E23448"/>
    <w:rsid w:val="00E235BF"/>
    <w:rsid w:val="00E23611"/>
    <w:rsid w:val="00E23EF7"/>
    <w:rsid w:val="00E24860"/>
    <w:rsid w:val="00E248C6"/>
    <w:rsid w:val="00E2501D"/>
    <w:rsid w:val="00E25081"/>
    <w:rsid w:val="00E2552B"/>
    <w:rsid w:val="00E25C62"/>
    <w:rsid w:val="00E25CF1"/>
    <w:rsid w:val="00E2665E"/>
    <w:rsid w:val="00E27B9F"/>
    <w:rsid w:val="00E27DFE"/>
    <w:rsid w:val="00E314F5"/>
    <w:rsid w:val="00E32302"/>
    <w:rsid w:val="00E32DD8"/>
    <w:rsid w:val="00E3396C"/>
    <w:rsid w:val="00E34A17"/>
    <w:rsid w:val="00E34FEB"/>
    <w:rsid w:val="00E35B33"/>
    <w:rsid w:val="00E362AB"/>
    <w:rsid w:val="00E369BD"/>
    <w:rsid w:val="00E3772E"/>
    <w:rsid w:val="00E40054"/>
    <w:rsid w:val="00E40EE8"/>
    <w:rsid w:val="00E4150F"/>
    <w:rsid w:val="00E41F6E"/>
    <w:rsid w:val="00E42253"/>
    <w:rsid w:val="00E4228A"/>
    <w:rsid w:val="00E4248E"/>
    <w:rsid w:val="00E433EA"/>
    <w:rsid w:val="00E452D8"/>
    <w:rsid w:val="00E458D6"/>
    <w:rsid w:val="00E45929"/>
    <w:rsid w:val="00E45967"/>
    <w:rsid w:val="00E4636E"/>
    <w:rsid w:val="00E46B4E"/>
    <w:rsid w:val="00E47124"/>
    <w:rsid w:val="00E471A1"/>
    <w:rsid w:val="00E50205"/>
    <w:rsid w:val="00E50263"/>
    <w:rsid w:val="00E50925"/>
    <w:rsid w:val="00E51341"/>
    <w:rsid w:val="00E51436"/>
    <w:rsid w:val="00E51D45"/>
    <w:rsid w:val="00E52BD6"/>
    <w:rsid w:val="00E52E62"/>
    <w:rsid w:val="00E531E9"/>
    <w:rsid w:val="00E5327D"/>
    <w:rsid w:val="00E53909"/>
    <w:rsid w:val="00E53ADC"/>
    <w:rsid w:val="00E54127"/>
    <w:rsid w:val="00E54498"/>
    <w:rsid w:val="00E55015"/>
    <w:rsid w:val="00E551E1"/>
    <w:rsid w:val="00E55A4D"/>
    <w:rsid w:val="00E565D8"/>
    <w:rsid w:val="00E567A1"/>
    <w:rsid w:val="00E56D24"/>
    <w:rsid w:val="00E56D62"/>
    <w:rsid w:val="00E56FBC"/>
    <w:rsid w:val="00E57DDA"/>
    <w:rsid w:val="00E6071C"/>
    <w:rsid w:val="00E60AFC"/>
    <w:rsid w:val="00E60CA2"/>
    <w:rsid w:val="00E60F61"/>
    <w:rsid w:val="00E60F67"/>
    <w:rsid w:val="00E614FE"/>
    <w:rsid w:val="00E61514"/>
    <w:rsid w:val="00E622A5"/>
    <w:rsid w:val="00E62F95"/>
    <w:rsid w:val="00E63C55"/>
    <w:rsid w:val="00E63F49"/>
    <w:rsid w:val="00E64605"/>
    <w:rsid w:val="00E65781"/>
    <w:rsid w:val="00E65CA9"/>
    <w:rsid w:val="00E65E4E"/>
    <w:rsid w:val="00E665BB"/>
    <w:rsid w:val="00E66D24"/>
    <w:rsid w:val="00E66D4D"/>
    <w:rsid w:val="00E6760F"/>
    <w:rsid w:val="00E70CCB"/>
    <w:rsid w:val="00E717BF"/>
    <w:rsid w:val="00E719BE"/>
    <w:rsid w:val="00E72135"/>
    <w:rsid w:val="00E734DA"/>
    <w:rsid w:val="00E736F6"/>
    <w:rsid w:val="00E73A07"/>
    <w:rsid w:val="00E73D0F"/>
    <w:rsid w:val="00E73F8E"/>
    <w:rsid w:val="00E74201"/>
    <w:rsid w:val="00E74BAC"/>
    <w:rsid w:val="00E7514A"/>
    <w:rsid w:val="00E75969"/>
    <w:rsid w:val="00E75C47"/>
    <w:rsid w:val="00E7628F"/>
    <w:rsid w:val="00E762F6"/>
    <w:rsid w:val="00E76B0D"/>
    <w:rsid w:val="00E77004"/>
    <w:rsid w:val="00E772FA"/>
    <w:rsid w:val="00E8054B"/>
    <w:rsid w:val="00E80FC5"/>
    <w:rsid w:val="00E8130A"/>
    <w:rsid w:val="00E816AF"/>
    <w:rsid w:val="00E8182A"/>
    <w:rsid w:val="00E81BC5"/>
    <w:rsid w:val="00E8225A"/>
    <w:rsid w:val="00E824A6"/>
    <w:rsid w:val="00E82DB9"/>
    <w:rsid w:val="00E82E4F"/>
    <w:rsid w:val="00E832AF"/>
    <w:rsid w:val="00E834EF"/>
    <w:rsid w:val="00E83620"/>
    <w:rsid w:val="00E8397E"/>
    <w:rsid w:val="00E83AD5"/>
    <w:rsid w:val="00E845DA"/>
    <w:rsid w:val="00E856CA"/>
    <w:rsid w:val="00E8594F"/>
    <w:rsid w:val="00E874E9"/>
    <w:rsid w:val="00E8754D"/>
    <w:rsid w:val="00E87DE0"/>
    <w:rsid w:val="00E90167"/>
    <w:rsid w:val="00E903B4"/>
    <w:rsid w:val="00E907D8"/>
    <w:rsid w:val="00E9104E"/>
    <w:rsid w:val="00E91273"/>
    <w:rsid w:val="00E91530"/>
    <w:rsid w:val="00E91719"/>
    <w:rsid w:val="00E91E56"/>
    <w:rsid w:val="00E91EA5"/>
    <w:rsid w:val="00E9205F"/>
    <w:rsid w:val="00E92A20"/>
    <w:rsid w:val="00E92ADE"/>
    <w:rsid w:val="00E93F46"/>
    <w:rsid w:val="00E94971"/>
    <w:rsid w:val="00E95F96"/>
    <w:rsid w:val="00E96994"/>
    <w:rsid w:val="00E977BE"/>
    <w:rsid w:val="00E977DA"/>
    <w:rsid w:val="00EA0776"/>
    <w:rsid w:val="00EA07B8"/>
    <w:rsid w:val="00EA11E0"/>
    <w:rsid w:val="00EA15F0"/>
    <w:rsid w:val="00EA1C2E"/>
    <w:rsid w:val="00EA1C5C"/>
    <w:rsid w:val="00EA2020"/>
    <w:rsid w:val="00EA2054"/>
    <w:rsid w:val="00EA22CC"/>
    <w:rsid w:val="00EA3336"/>
    <w:rsid w:val="00EA3461"/>
    <w:rsid w:val="00EA4682"/>
    <w:rsid w:val="00EA4F1D"/>
    <w:rsid w:val="00EA57AA"/>
    <w:rsid w:val="00EA5DBD"/>
    <w:rsid w:val="00EA5EA4"/>
    <w:rsid w:val="00EA677C"/>
    <w:rsid w:val="00EA7290"/>
    <w:rsid w:val="00EA7307"/>
    <w:rsid w:val="00EA775F"/>
    <w:rsid w:val="00EA7F0E"/>
    <w:rsid w:val="00EB0263"/>
    <w:rsid w:val="00EB04DF"/>
    <w:rsid w:val="00EB0598"/>
    <w:rsid w:val="00EB05D4"/>
    <w:rsid w:val="00EB082A"/>
    <w:rsid w:val="00EB0A3B"/>
    <w:rsid w:val="00EB0E55"/>
    <w:rsid w:val="00EB0FDD"/>
    <w:rsid w:val="00EB1009"/>
    <w:rsid w:val="00EB10E0"/>
    <w:rsid w:val="00EB1485"/>
    <w:rsid w:val="00EB1F67"/>
    <w:rsid w:val="00EB28A1"/>
    <w:rsid w:val="00EB371A"/>
    <w:rsid w:val="00EB3EEA"/>
    <w:rsid w:val="00EB4201"/>
    <w:rsid w:val="00EB4898"/>
    <w:rsid w:val="00EB4DE3"/>
    <w:rsid w:val="00EB5843"/>
    <w:rsid w:val="00EB585C"/>
    <w:rsid w:val="00EB657E"/>
    <w:rsid w:val="00EB6999"/>
    <w:rsid w:val="00EB76D0"/>
    <w:rsid w:val="00EB77AD"/>
    <w:rsid w:val="00EB7933"/>
    <w:rsid w:val="00EB79E1"/>
    <w:rsid w:val="00EB7EAA"/>
    <w:rsid w:val="00EC0021"/>
    <w:rsid w:val="00EC0259"/>
    <w:rsid w:val="00EC0E0D"/>
    <w:rsid w:val="00EC19C3"/>
    <w:rsid w:val="00EC1DD5"/>
    <w:rsid w:val="00EC1E1D"/>
    <w:rsid w:val="00EC238E"/>
    <w:rsid w:val="00EC294D"/>
    <w:rsid w:val="00EC363D"/>
    <w:rsid w:val="00EC3870"/>
    <w:rsid w:val="00EC468B"/>
    <w:rsid w:val="00EC4D66"/>
    <w:rsid w:val="00EC5271"/>
    <w:rsid w:val="00EC55F8"/>
    <w:rsid w:val="00EC5EEC"/>
    <w:rsid w:val="00EC60D7"/>
    <w:rsid w:val="00EC68F0"/>
    <w:rsid w:val="00EC6AED"/>
    <w:rsid w:val="00EC6D66"/>
    <w:rsid w:val="00EC6DA7"/>
    <w:rsid w:val="00EC6FFD"/>
    <w:rsid w:val="00EC7029"/>
    <w:rsid w:val="00EC71F7"/>
    <w:rsid w:val="00EC732F"/>
    <w:rsid w:val="00EC7B29"/>
    <w:rsid w:val="00ED0036"/>
    <w:rsid w:val="00ED016D"/>
    <w:rsid w:val="00ED05B4"/>
    <w:rsid w:val="00ED0740"/>
    <w:rsid w:val="00ED0D21"/>
    <w:rsid w:val="00ED1369"/>
    <w:rsid w:val="00ED1429"/>
    <w:rsid w:val="00ED1589"/>
    <w:rsid w:val="00ED161B"/>
    <w:rsid w:val="00ED2246"/>
    <w:rsid w:val="00ED2495"/>
    <w:rsid w:val="00ED25CD"/>
    <w:rsid w:val="00ED2AB9"/>
    <w:rsid w:val="00ED3150"/>
    <w:rsid w:val="00ED3527"/>
    <w:rsid w:val="00ED377C"/>
    <w:rsid w:val="00ED3A5F"/>
    <w:rsid w:val="00ED403F"/>
    <w:rsid w:val="00ED41C8"/>
    <w:rsid w:val="00ED633A"/>
    <w:rsid w:val="00ED673A"/>
    <w:rsid w:val="00ED6FC8"/>
    <w:rsid w:val="00ED78C7"/>
    <w:rsid w:val="00ED7E3F"/>
    <w:rsid w:val="00ED7E8D"/>
    <w:rsid w:val="00EE0831"/>
    <w:rsid w:val="00EE0A13"/>
    <w:rsid w:val="00EE0DED"/>
    <w:rsid w:val="00EE2136"/>
    <w:rsid w:val="00EE225D"/>
    <w:rsid w:val="00EE2290"/>
    <w:rsid w:val="00EE365E"/>
    <w:rsid w:val="00EE3B86"/>
    <w:rsid w:val="00EE3BBF"/>
    <w:rsid w:val="00EE3C87"/>
    <w:rsid w:val="00EE4BA5"/>
    <w:rsid w:val="00EE52F1"/>
    <w:rsid w:val="00EE5A79"/>
    <w:rsid w:val="00EE6117"/>
    <w:rsid w:val="00EE63CE"/>
    <w:rsid w:val="00EE7955"/>
    <w:rsid w:val="00EF00A1"/>
    <w:rsid w:val="00EF00AC"/>
    <w:rsid w:val="00EF02E3"/>
    <w:rsid w:val="00EF0489"/>
    <w:rsid w:val="00EF0763"/>
    <w:rsid w:val="00EF0CCC"/>
    <w:rsid w:val="00EF1686"/>
    <w:rsid w:val="00EF313D"/>
    <w:rsid w:val="00EF38C0"/>
    <w:rsid w:val="00EF3B35"/>
    <w:rsid w:val="00EF46CC"/>
    <w:rsid w:val="00EF471F"/>
    <w:rsid w:val="00EF527B"/>
    <w:rsid w:val="00EF630F"/>
    <w:rsid w:val="00EF6348"/>
    <w:rsid w:val="00EF692A"/>
    <w:rsid w:val="00EF6D27"/>
    <w:rsid w:val="00EF759C"/>
    <w:rsid w:val="00EF7E0B"/>
    <w:rsid w:val="00F00F08"/>
    <w:rsid w:val="00F01271"/>
    <w:rsid w:val="00F045DC"/>
    <w:rsid w:val="00F0475B"/>
    <w:rsid w:val="00F047B7"/>
    <w:rsid w:val="00F0518B"/>
    <w:rsid w:val="00F05588"/>
    <w:rsid w:val="00F05C3A"/>
    <w:rsid w:val="00F05CFF"/>
    <w:rsid w:val="00F061C9"/>
    <w:rsid w:val="00F064D3"/>
    <w:rsid w:val="00F06A60"/>
    <w:rsid w:val="00F06A76"/>
    <w:rsid w:val="00F06B00"/>
    <w:rsid w:val="00F06D47"/>
    <w:rsid w:val="00F078A9"/>
    <w:rsid w:val="00F112FB"/>
    <w:rsid w:val="00F11324"/>
    <w:rsid w:val="00F12268"/>
    <w:rsid w:val="00F12661"/>
    <w:rsid w:val="00F126BD"/>
    <w:rsid w:val="00F13C14"/>
    <w:rsid w:val="00F15755"/>
    <w:rsid w:val="00F157D5"/>
    <w:rsid w:val="00F158AF"/>
    <w:rsid w:val="00F15EE5"/>
    <w:rsid w:val="00F1616C"/>
    <w:rsid w:val="00F162E1"/>
    <w:rsid w:val="00F164A7"/>
    <w:rsid w:val="00F16B60"/>
    <w:rsid w:val="00F1792E"/>
    <w:rsid w:val="00F200D5"/>
    <w:rsid w:val="00F201FE"/>
    <w:rsid w:val="00F203DF"/>
    <w:rsid w:val="00F20820"/>
    <w:rsid w:val="00F21763"/>
    <w:rsid w:val="00F22422"/>
    <w:rsid w:val="00F23472"/>
    <w:rsid w:val="00F23638"/>
    <w:rsid w:val="00F23640"/>
    <w:rsid w:val="00F24484"/>
    <w:rsid w:val="00F24830"/>
    <w:rsid w:val="00F24942"/>
    <w:rsid w:val="00F24EF4"/>
    <w:rsid w:val="00F24F41"/>
    <w:rsid w:val="00F2523F"/>
    <w:rsid w:val="00F252FC"/>
    <w:rsid w:val="00F25776"/>
    <w:rsid w:val="00F257F3"/>
    <w:rsid w:val="00F2592C"/>
    <w:rsid w:val="00F25A51"/>
    <w:rsid w:val="00F26241"/>
    <w:rsid w:val="00F2695F"/>
    <w:rsid w:val="00F26D28"/>
    <w:rsid w:val="00F26EAD"/>
    <w:rsid w:val="00F27588"/>
    <w:rsid w:val="00F2786B"/>
    <w:rsid w:val="00F27A5D"/>
    <w:rsid w:val="00F27E26"/>
    <w:rsid w:val="00F300E2"/>
    <w:rsid w:val="00F30285"/>
    <w:rsid w:val="00F30782"/>
    <w:rsid w:val="00F30DD3"/>
    <w:rsid w:val="00F313EB"/>
    <w:rsid w:val="00F31489"/>
    <w:rsid w:val="00F315E8"/>
    <w:rsid w:val="00F320E3"/>
    <w:rsid w:val="00F32320"/>
    <w:rsid w:val="00F32EB3"/>
    <w:rsid w:val="00F331C0"/>
    <w:rsid w:val="00F331DC"/>
    <w:rsid w:val="00F33A0F"/>
    <w:rsid w:val="00F34437"/>
    <w:rsid w:val="00F34733"/>
    <w:rsid w:val="00F351ED"/>
    <w:rsid w:val="00F358CE"/>
    <w:rsid w:val="00F361D7"/>
    <w:rsid w:val="00F36469"/>
    <w:rsid w:val="00F364F8"/>
    <w:rsid w:val="00F37C24"/>
    <w:rsid w:val="00F37DA3"/>
    <w:rsid w:val="00F4056C"/>
    <w:rsid w:val="00F410D1"/>
    <w:rsid w:val="00F41D71"/>
    <w:rsid w:val="00F4234F"/>
    <w:rsid w:val="00F423F8"/>
    <w:rsid w:val="00F429EA"/>
    <w:rsid w:val="00F42C5B"/>
    <w:rsid w:val="00F43954"/>
    <w:rsid w:val="00F439D1"/>
    <w:rsid w:val="00F4413B"/>
    <w:rsid w:val="00F45067"/>
    <w:rsid w:val="00F46C01"/>
    <w:rsid w:val="00F47193"/>
    <w:rsid w:val="00F47552"/>
    <w:rsid w:val="00F47B19"/>
    <w:rsid w:val="00F50059"/>
    <w:rsid w:val="00F50761"/>
    <w:rsid w:val="00F5098C"/>
    <w:rsid w:val="00F50F17"/>
    <w:rsid w:val="00F512D4"/>
    <w:rsid w:val="00F51B9F"/>
    <w:rsid w:val="00F51E4D"/>
    <w:rsid w:val="00F52040"/>
    <w:rsid w:val="00F523AC"/>
    <w:rsid w:val="00F523BA"/>
    <w:rsid w:val="00F52C53"/>
    <w:rsid w:val="00F52C72"/>
    <w:rsid w:val="00F533F8"/>
    <w:rsid w:val="00F53E6D"/>
    <w:rsid w:val="00F53FD5"/>
    <w:rsid w:val="00F54ADF"/>
    <w:rsid w:val="00F556A1"/>
    <w:rsid w:val="00F55826"/>
    <w:rsid w:val="00F55DAE"/>
    <w:rsid w:val="00F55EE4"/>
    <w:rsid w:val="00F56149"/>
    <w:rsid w:val="00F569D4"/>
    <w:rsid w:val="00F56CF9"/>
    <w:rsid w:val="00F56D61"/>
    <w:rsid w:val="00F57669"/>
    <w:rsid w:val="00F57790"/>
    <w:rsid w:val="00F6005F"/>
    <w:rsid w:val="00F60473"/>
    <w:rsid w:val="00F60F7D"/>
    <w:rsid w:val="00F641A9"/>
    <w:rsid w:val="00F64363"/>
    <w:rsid w:val="00F64D00"/>
    <w:rsid w:val="00F64DD7"/>
    <w:rsid w:val="00F6655A"/>
    <w:rsid w:val="00F66EAC"/>
    <w:rsid w:val="00F670A9"/>
    <w:rsid w:val="00F673D1"/>
    <w:rsid w:val="00F67CE5"/>
    <w:rsid w:val="00F70EA5"/>
    <w:rsid w:val="00F7113F"/>
    <w:rsid w:val="00F71270"/>
    <w:rsid w:val="00F71B45"/>
    <w:rsid w:val="00F71BA4"/>
    <w:rsid w:val="00F71C53"/>
    <w:rsid w:val="00F72732"/>
    <w:rsid w:val="00F72866"/>
    <w:rsid w:val="00F733E9"/>
    <w:rsid w:val="00F73694"/>
    <w:rsid w:val="00F73918"/>
    <w:rsid w:val="00F74545"/>
    <w:rsid w:val="00F74F9B"/>
    <w:rsid w:val="00F75147"/>
    <w:rsid w:val="00F75568"/>
    <w:rsid w:val="00F76ECE"/>
    <w:rsid w:val="00F7761F"/>
    <w:rsid w:val="00F77879"/>
    <w:rsid w:val="00F77E3E"/>
    <w:rsid w:val="00F80C03"/>
    <w:rsid w:val="00F811BB"/>
    <w:rsid w:val="00F819C4"/>
    <w:rsid w:val="00F81F24"/>
    <w:rsid w:val="00F82496"/>
    <w:rsid w:val="00F829E8"/>
    <w:rsid w:val="00F82B61"/>
    <w:rsid w:val="00F83C4B"/>
    <w:rsid w:val="00F83DF7"/>
    <w:rsid w:val="00F843D5"/>
    <w:rsid w:val="00F8448F"/>
    <w:rsid w:val="00F849C4"/>
    <w:rsid w:val="00F858E5"/>
    <w:rsid w:val="00F8599E"/>
    <w:rsid w:val="00F85E41"/>
    <w:rsid w:val="00F861F0"/>
    <w:rsid w:val="00F86CD6"/>
    <w:rsid w:val="00F870BD"/>
    <w:rsid w:val="00F87313"/>
    <w:rsid w:val="00F8792C"/>
    <w:rsid w:val="00F901E0"/>
    <w:rsid w:val="00F9022F"/>
    <w:rsid w:val="00F903BC"/>
    <w:rsid w:val="00F90F72"/>
    <w:rsid w:val="00F91084"/>
    <w:rsid w:val="00F91091"/>
    <w:rsid w:val="00F915C7"/>
    <w:rsid w:val="00F91E20"/>
    <w:rsid w:val="00F92201"/>
    <w:rsid w:val="00F9243A"/>
    <w:rsid w:val="00F9287B"/>
    <w:rsid w:val="00F92ADC"/>
    <w:rsid w:val="00F92B38"/>
    <w:rsid w:val="00F92DF8"/>
    <w:rsid w:val="00F932ED"/>
    <w:rsid w:val="00F934DF"/>
    <w:rsid w:val="00F937B2"/>
    <w:rsid w:val="00F93B30"/>
    <w:rsid w:val="00F94DD5"/>
    <w:rsid w:val="00F94EFB"/>
    <w:rsid w:val="00F95D6D"/>
    <w:rsid w:val="00FA015A"/>
    <w:rsid w:val="00FA0872"/>
    <w:rsid w:val="00FA1448"/>
    <w:rsid w:val="00FA1A6B"/>
    <w:rsid w:val="00FA1A8C"/>
    <w:rsid w:val="00FA1B3A"/>
    <w:rsid w:val="00FA1BC2"/>
    <w:rsid w:val="00FA27EF"/>
    <w:rsid w:val="00FA2D02"/>
    <w:rsid w:val="00FA2E63"/>
    <w:rsid w:val="00FA30D7"/>
    <w:rsid w:val="00FA396B"/>
    <w:rsid w:val="00FA39B5"/>
    <w:rsid w:val="00FA40E5"/>
    <w:rsid w:val="00FA47A7"/>
    <w:rsid w:val="00FA525D"/>
    <w:rsid w:val="00FA5618"/>
    <w:rsid w:val="00FA5984"/>
    <w:rsid w:val="00FA5D50"/>
    <w:rsid w:val="00FA6F69"/>
    <w:rsid w:val="00FA7039"/>
    <w:rsid w:val="00FA7884"/>
    <w:rsid w:val="00FA7899"/>
    <w:rsid w:val="00FA7E5A"/>
    <w:rsid w:val="00FB0196"/>
    <w:rsid w:val="00FB05A2"/>
    <w:rsid w:val="00FB17D8"/>
    <w:rsid w:val="00FB21BE"/>
    <w:rsid w:val="00FB2A2A"/>
    <w:rsid w:val="00FB3259"/>
    <w:rsid w:val="00FB34BB"/>
    <w:rsid w:val="00FB3852"/>
    <w:rsid w:val="00FB38FC"/>
    <w:rsid w:val="00FB5247"/>
    <w:rsid w:val="00FB5310"/>
    <w:rsid w:val="00FB6FB6"/>
    <w:rsid w:val="00FB77E1"/>
    <w:rsid w:val="00FC00EC"/>
    <w:rsid w:val="00FC0B9C"/>
    <w:rsid w:val="00FC0C28"/>
    <w:rsid w:val="00FC0EA4"/>
    <w:rsid w:val="00FC13A4"/>
    <w:rsid w:val="00FC17A6"/>
    <w:rsid w:val="00FC1B26"/>
    <w:rsid w:val="00FC1F68"/>
    <w:rsid w:val="00FC2167"/>
    <w:rsid w:val="00FC2646"/>
    <w:rsid w:val="00FC26E2"/>
    <w:rsid w:val="00FC29E2"/>
    <w:rsid w:val="00FC2BA4"/>
    <w:rsid w:val="00FC2CBF"/>
    <w:rsid w:val="00FC322F"/>
    <w:rsid w:val="00FC3589"/>
    <w:rsid w:val="00FC43CC"/>
    <w:rsid w:val="00FC4847"/>
    <w:rsid w:val="00FC4C63"/>
    <w:rsid w:val="00FC4C64"/>
    <w:rsid w:val="00FC5444"/>
    <w:rsid w:val="00FC56B8"/>
    <w:rsid w:val="00FC66CB"/>
    <w:rsid w:val="00FC68BC"/>
    <w:rsid w:val="00FC76DA"/>
    <w:rsid w:val="00FC79A7"/>
    <w:rsid w:val="00FC7CA1"/>
    <w:rsid w:val="00FD0F84"/>
    <w:rsid w:val="00FD0FB4"/>
    <w:rsid w:val="00FD141E"/>
    <w:rsid w:val="00FD1488"/>
    <w:rsid w:val="00FD1CFD"/>
    <w:rsid w:val="00FD1D6E"/>
    <w:rsid w:val="00FD26D8"/>
    <w:rsid w:val="00FD3744"/>
    <w:rsid w:val="00FD3883"/>
    <w:rsid w:val="00FD399C"/>
    <w:rsid w:val="00FD3DE1"/>
    <w:rsid w:val="00FD531E"/>
    <w:rsid w:val="00FD596D"/>
    <w:rsid w:val="00FD6B57"/>
    <w:rsid w:val="00FD7C01"/>
    <w:rsid w:val="00FE057F"/>
    <w:rsid w:val="00FE09E8"/>
    <w:rsid w:val="00FE14F0"/>
    <w:rsid w:val="00FE1A9C"/>
    <w:rsid w:val="00FE1C8E"/>
    <w:rsid w:val="00FE2209"/>
    <w:rsid w:val="00FE3392"/>
    <w:rsid w:val="00FE3811"/>
    <w:rsid w:val="00FE399D"/>
    <w:rsid w:val="00FE3C6B"/>
    <w:rsid w:val="00FE3FFC"/>
    <w:rsid w:val="00FE4A3C"/>
    <w:rsid w:val="00FE553F"/>
    <w:rsid w:val="00FE55A3"/>
    <w:rsid w:val="00FE55B5"/>
    <w:rsid w:val="00FE55CF"/>
    <w:rsid w:val="00FE5807"/>
    <w:rsid w:val="00FE5D2A"/>
    <w:rsid w:val="00FE6C13"/>
    <w:rsid w:val="00FE71FB"/>
    <w:rsid w:val="00FE72F2"/>
    <w:rsid w:val="00FE7452"/>
    <w:rsid w:val="00FE74F6"/>
    <w:rsid w:val="00FE7782"/>
    <w:rsid w:val="00FE7AA9"/>
    <w:rsid w:val="00FE7B9D"/>
    <w:rsid w:val="00FE7C58"/>
    <w:rsid w:val="00FF0230"/>
    <w:rsid w:val="00FF0948"/>
    <w:rsid w:val="00FF0B38"/>
    <w:rsid w:val="00FF13AE"/>
    <w:rsid w:val="00FF2065"/>
    <w:rsid w:val="00FF27A6"/>
    <w:rsid w:val="00FF2A4B"/>
    <w:rsid w:val="00FF2D52"/>
    <w:rsid w:val="00FF3A66"/>
    <w:rsid w:val="00FF3E5E"/>
    <w:rsid w:val="00FF42EF"/>
    <w:rsid w:val="00FF45A9"/>
    <w:rsid w:val="00FF46B6"/>
    <w:rsid w:val="00FF4ECB"/>
    <w:rsid w:val="00FF4FF5"/>
    <w:rsid w:val="00FF534F"/>
    <w:rsid w:val="00FF54DC"/>
    <w:rsid w:val="00FF5912"/>
    <w:rsid w:val="00FF5EEA"/>
    <w:rsid w:val="00FF66FD"/>
    <w:rsid w:val="00FF6957"/>
    <w:rsid w:val="00FF7162"/>
    <w:rsid w:val="00FF74B4"/>
    <w:rsid w:val="00FF7554"/>
    <w:rsid w:val="00FF78B0"/>
    <w:rsid w:val="01058B08"/>
    <w:rsid w:val="011E62D3"/>
    <w:rsid w:val="013D0427"/>
    <w:rsid w:val="014258DC"/>
    <w:rsid w:val="01472B82"/>
    <w:rsid w:val="0169CF49"/>
    <w:rsid w:val="017D905D"/>
    <w:rsid w:val="018D9E86"/>
    <w:rsid w:val="01C573E6"/>
    <w:rsid w:val="01E096DA"/>
    <w:rsid w:val="01EE83A5"/>
    <w:rsid w:val="01F10DEF"/>
    <w:rsid w:val="01F8D238"/>
    <w:rsid w:val="02205F21"/>
    <w:rsid w:val="026EBFA0"/>
    <w:rsid w:val="027AAD1B"/>
    <w:rsid w:val="02D108C8"/>
    <w:rsid w:val="02F4EB3D"/>
    <w:rsid w:val="0312E8E3"/>
    <w:rsid w:val="032B25B4"/>
    <w:rsid w:val="035A81EA"/>
    <w:rsid w:val="035B2C7C"/>
    <w:rsid w:val="03811FAE"/>
    <w:rsid w:val="0382C332"/>
    <w:rsid w:val="03BCE938"/>
    <w:rsid w:val="03BE8EE5"/>
    <w:rsid w:val="03C51261"/>
    <w:rsid w:val="03D009AA"/>
    <w:rsid w:val="03FFF2A3"/>
    <w:rsid w:val="040EDE9F"/>
    <w:rsid w:val="04319E7F"/>
    <w:rsid w:val="044025AC"/>
    <w:rsid w:val="044267EF"/>
    <w:rsid w:val="045C4DAC"/>
    <w:rsid w:val="045C504A"/>
    <w:rsid w:val="045EFC65"/>
    <w:rsid w:val="047D7FE1"/>
    <w:rsid w:val="048CDA1B"/>
    <w:rsid w:val="04B549E7"/>
    <w:rsid w:val="04B8A914"/>
    <w:rsid w:val="04CDE020"/>
    <w:rsid w:val="04CF8B70"/>
    <w:rsid w:val="04F09A18"/>
    <w:rsid w:val="050D7E4A"/>
    <w:rsid w:val="053D9DE2"/>
    <w:rsid w:val="053E548D"/>
    <w:rsid w:val="0585A231"/>
    <w:rsid w:val="05A4F7E1"/>
    <w:rsid w:val="05B7B68E"/>
    <w:rsid w:val="05EC6486"/>
    <w:rsid w:val="05F62C6B"/>
    <w:rsid w:val="060072FF"/>
    <w:rsid w:val="062E005F"/>
    <w:rsid w:val="0638AE98"/>
    <w:rsid w:val="064B4ECF"/>
    <w:rsid w:val="066D22FB"/>
    <w:rsid w:val="06980336"/>
    <w:rsid w:val="06984161"/>
    <w:rsid w:val="06D7E8E7"/>
    <w:rsid w:val="06DE14BA"/>
    <w:rsid w:val="06F55F3F"/>
    <w:rsid w:val="07368107"/>
    <w:rsid w:val="073DE94D"/>
    <w:rsid w:val="07448376"/>
    <w:rsid w:val="074F0920"/>
    <w:rsid w:val="0753C839"/>
    <w:rsid w:val="079655C2"/>
    <w:rsid w:val="07997AB2"/>
    <w:rsid w:val="07ADD28C"/>
    <w:rsid w:val="07D32C2B"/>
    <w:rsid w:val="07FA7EDD"/>
    <w:rsid w:val="07FF8F41"/>
    <w:rsid w:val="08024076"/>
    <w:rsid w:val="0808E337"/>
    <w:rsid w:val="0826934D"/>
    <w:rsid w:val="0868C330"/>
    <w:rsid w:val="08727F5B"/>
    <w:rsid w:val="08877E06"/>
    <w:rsid w:val="08A7E5C8"/>
    <w:rsid w:val="08BE34F8"/>
    <w:rsid w:val="08CFBE07"/>
    <w:rsid w:val="08DD450C"/>
    <w:rsid w:val="090E31F1"/>
    <w:rsid w:val="0916AF7C"/>
    <w:rsid w:val="0934117E"/>
    <w:rsid w:val="093B4EEC"/>
    <w:rsid w:val="095652B6"/>
    <w:rsid w:val="0957CBBF"/>
    <w:rsid w:val="096273B9"/>
    <w:rsid w:val="096A8978"/>
    <w:rsid w:val="0981DB28"/>
    <w:rsid w:val="0986F7DD"/>
    <w:rsid w:val="09A8273D"/>
    <w:rsid w:val="09B218EA"/>
    <w:rsid w:val="09CC55E6"/>
    <w:rsid w:val="09D23BC3"/>
    <w:rsid w:val="09D7C832"/>
    <w:rsid w:val="09D9B9C1"/>
    <w:rsid w:val="0A10232E"/>
    <w:rsid w:val="0A1DC26D"/>
    <w:rsid w:val="0A1FB0A3"/>
    <w:rsid w:val="0A248BBE"/>
    <w:rsid w:val="0A38A019"/>
    <w:rsid w:val="0A3BED93"/>
    <w:rsid w:val="0A45AE43"/>
    <w:rsid w:val="0A6D13F6"/>
    <w:rsid w:val="0A8061AF"/>
    <w:rsid w:val="0AA3BFC5"/>
    <w:rsid w:val="0AAB2C28"/>
    <w:rsid w:val="0AC7E462"/>
    <w:rsid w:val="0AD004FE"/>
    <w:rsid w:val="0AD55E7B"/>
    <w:rsid w:val="0ADBBCD8"/>
    <w:rsid w:val="0AE697E0"/>
    <w:rsid w:val="0B1CE97A"/>
    <w:rsid w:val="0B1EFBB7"/>
    <w:rsid w:val="0B241C5D"/>
    <w:rsid w:val="0B4E9031"/>
    <w:rsid w:val="0B5DB125"/>
    <w:rsid w:val="0B864BE2"/>
    <w:rsid w:val="0B8CC944"/>
    <w:rsid w:val="0BABC103"/>
    <w:rsid w:val="0BAD0CC0"/>
    <w:rsid w:val="0BB87A47"/>
    <w:rsid w:val="0BBC64D9"/>
    <w:rsid w:val="0BCABD6E"/>
    <w:rsid w:val="0BD6E18F"/>
    <w:rsid w:val="0BE3B6C4"/>
    <w:rsid w:val="0BE86C73"/>
    <w:rsid w:val="0BF3DE5F"/>
    <w:rsid w:val="0C0A053B"/>
    <w:rsid w:val="0C1DFDEE"/>
    <w:rsid w:val="0C3E2E6E"/>
    <w:rsid w:val="0C8C603D"/>
    <w:rsid w:val="0C9726EC"/>
    <w:rsid w:val="0CD4BD62"/>
    <w:rsid w:val="0D129227"/>
    <w:rsid w:val="0D12A4D3"/>
    <w:rsid w:val="0D12B574"/>
    <w:rsid w:val="0D4B8B3D"/>
    <w:rsid w:val="0D4C7F9F"/>
    <w:rsid w:val="0D720B13"/>
    <w:rsid w:val="0D8F9938"/>
    <w:rsid w:val="0D9C2873"/>
    <w:rsid w:val="0E12E577"/>
    <w:rsid w:val="0E17D090"/>
    <w:rsid w:val="0E342955"/>
    <w:rsid w:val="0E58FD68"/>
    <w:rsid w:val="0E63F6BA"/>
    <w:rsid w:val="0E6D469B"/>
    <w:rsid w:val="0E934F64"/>
    <w:rsid w:val="0E96CACD"/>
    <w:rsid w:val="0EC67679"/>
    <w:rsid w:val="0EF26FE1"/>
    <w:rsid w:val="0F06EF9C"/>
    <w:rsid w:val="0F178A30"/>
    <w:rsid w:val="0F18F5A2"/>
    <w:rsid w:val="0F20F45A"/>
    <w:rsid w:val="0F295194"/>
    <w:rsid w:val="0F2BA6A3"/>
    <w:rsid w:val="0F2BF6CB"/>
    <w:rsid w:val="0F2FFAD9"/>
    <w:rsid w:val="0F30900A"/>
    <w:rsid w:val="0F356893"/>
    <w:rsid w:val="0F395E5C"/>
    <w:rsid w:val="0F5F6F65"/>
    <w:rsid w:val="0F6C6154"/>
    <w:rsid w:val="0F730230"/>
    <w:rsid w:val="0F79E459"/>
    <w:rsid w:val="0F8A157C"/>
    <w:rsid w:val="0F8EE7B3"/>
    <w:rsid w:val="0FA15AE4"/>
    <w:rsid w:val="0FA738DA"/>
    <w:rsid w:val="0FDCB64B"/>
    <w:rsid w:val="0FED5899"/>
    <w:rsid w:val="0FF5FAEF"/>
    <w:rsid w:val="0FF7A24B"/>
    <w:rsid w:val="0FFE007B"/>
    <w:rsid w:val="104C56FC"/>
    <w:rsid w:val="1072430E"/>
    <w:rsid w:val="1073EA8D"/>
    <w:rsid w:val="10A067AA"/>
    <w:rsid w:val="10A1581D"/>
    <w:rsid w:val="10AF53BC"/>
    <w:rsid w:val="10BE16BC"/>
    <w:rsid w:val="10CD72E6"/>
    <w:rsid w:val="10E1F570"/>
    <w:rsid w:val="10EED33D"/>
    <w:rsid w:val="10F4949E"/>
    <w:rsid w:val="10F832E6"/>
    <w:rsid w:val="1108B836"/>
    <w:rsid w:val="110B47BA"/>
    <w:rsid w:val="115A6318"/>
    <w:rsid w:val="116240AA"/>
    <w:rsid w:val="117CD6FB"/>
    <w:rsid w:val="117D7738"/>
    <w:rsid w:val="11C83CAB"/>
    <w:rsid w:val="11DF7481"/>
    <w:rsid w:val="11F9B943"/>
    <w:rsid w:val="120C048C"/>
    <w:rsid w:val="125F8AEE"/>
    <w:rsid w:val="12632433"/>
    <w:rsid w:val="126969BA"/>
    <w:rsid w:val="129CFC98"/>
    <w:rsid w:val="12A24067"/>
    <w:rsid w:val="12F179E4"/>
    <w:rsid w:val="12FACDF6"/>
    <w:rsid w:val="1393426A"/>
    <w:rsid w:val="13A05175"/>
    <w:rsid w:val="13E952FF"/>
    <w:rsid w:val="13FB232B"/>
    <w:rsid w:val="140F9C25"/>
    <w:rsid w:val="142B334D"/>
    <w:rsid w:val="142D97E6"/>
    <w:rsid w:val="143708F4"/>
    <w:rsid w:val="143BE70C"/>
    <w:rsid w:val="1448234E"/>
    <w:rsid w:val="14500965"/>
    <w:rsid w:val="1459226A"/>
    <w:rsid w:val="147154BF"/>
    <w:rsid w:val="14B2E070"/>
    <w:rsid w:val="14B762AE"/>
    <w:rsid w:val="14DF3522"/>
    <w:rsid w:val="14E1E51A"/>
    <w:rsid w:val="150EB512"/>
    <w:rsid w:val="152546BD"/>
    <w:rsid w:val="153D46CF"/>
    <w:rsid w:val="153EF3E9"/>
    <w:rsid w:val="1540D0B2"/>
    <w:rsid w:val="15460BE1"/>
    <w:rsid w:val="155F9A4D"/>
    <w:rsid w:val="159CD8B9"/>
    <w:rsid w:val="15C5FBA3"/>
    <w:rsid w:val="15EA5CAB"/>
    <w:rsid w:val="15EEB3BA"/>
    <w:rsid w:val="15F070E3"/>
    <w:rsid w:val="16073F2D"/>
    <w:rsid w:val="162A011D"/>
    <w:rsid w:val="162E1E1B"/>
    <w:rsid w:val="16331081"/>
    <w:rsid w:val="163B1AAE"/>
    <w:rsid w:val="1641430C"/>
    <w:rsid w:val="164C09E0"/>
    <w:rsid w:val="164E490B"/>
    <w:rsid w:val="16617B3F"/>
    <w:rsid w:val="16662F02"/>
    <w:rsid w:val="1686748E"/>
    <w:rsid w:val="168BC6B3"/>
    <w:rsid w:val="169B78AF"/>
    <w:rsid w:val="16A002DB"/>
    <w:rsid w:val="16A127A6"/>
    <w:rsid w:val="16AE8FEF"/>
    <w:rsid w:val="16D5F204"/>
    <w:rsid w:val="170C058E"/>
    <w:rsid w:val="17353F4F"/>
    <w:rsid w:val="17409A40"/>
    <w:rsid w:val="174631C4"/>
    <w:rsid w:val="1761D5C6"/>
    <w:rsid w:val="179ACFA1"/>
    <w:rsid w:val="179EB550"/>
    <w:rsid w:val="17D91128"/>
    <w:rsid w:val="17F8BAE2"/>
    <w:rsid w:val="1801BA2A"/>
    <w:rsid w:val="180CC856"/>
    <w:rsid w:val="181F09DB"/>
    <w:rsid w:val="18325145"/>
    <w:rsid w:val="186F5B80"/>
    <w:rsid w:val="189486E8"/>
    <w:rsid w:val="1899DA7D"/>
    <w:rsid w:val="18BACD8E"/>
    <w:rsid w:val="18CEC31E"/>
    <w:rsid w:val="18DD8260"/>
    <w:rsid w:val="18F8EF3C"/>
    <w:rsid w:val="190A3D24"/>
    <w:rsid w:val="19253C33"/>
    <w:rsid w:val="1951EBE2"/>
    <w:rsid w:val="19610E53"/>
    <w:rsid w:val="196C945A"/>
    <w:rsid w:val="19BC02B9"/>
    <w:rsid w:val="19D13DB3"/>
    <w:rsid w:val="19D2E1A4"/>
    <w:rsid w:val="19D800EC"/>
    <w:rsid w:val="19EE71DC"/>
    <w:rsid w:val="1A1823E5"/>
    <w:rsid w:val="1A37EAD1"/>
    <w:rsid w:val="1A42AA9B"/>
    <w:rsid w:val="1A488CA9"/>
    <w:rsid w:val="1A540E9C"/>
    <w:rsid w:val="1A70C4E4"/>
    <w:rsid w:val="1A9721B2"/>
    <w:rsid w:val="1A99421D"/>
    <w:rsid w:val="1AA06DA5"/>
    <w:rsid w:val="1AAC733F"/>
    <w:rsid w:val="1AB1CF74"/>
    <w:rsid w:val="1AED62BB"/>
    <w:rsid w:val="1AFFF47B"/>
    <w:rsid w:val="1B2BEE93"/>
    <w:rsid w:val="1B34AF2F"/>
    <w:rsid w:val="1B4E8760"/>
    <w:rsid w:val="1B57CA85"/>
    <w:rsid w:val="1B580AE3"/>
    <w:rsid w:val="1B628D7E"/>
    <w:rsid w:val="1B81ECDE"/>
    <w:rsid w:val="1B8420FE"/>
    <w:rsid w:val="1B95F631"/>
    <w:rsid w:val="1BA5246C"/>
    <w:rsid w:val="1BD3424A"/>
    <w:rsid w:val="1BDAFBEB"/>
    <w:rsid w:val="1BDC4811"/>
    <w:rsid w:val="1BE11EE6"/>
    <w:rsid w:val="1BE2CEC5"/>
    <w:rsid w:val="1BEC0925"/>
    <w:rsid w:val="1BF2EA51"/>
    <w:rsid w:val="1BF31FA3"/>
    <w:rsid w:val="1BF40994"/>
    <w:rsid w:val="1C2C8481"/>
    <w:rsid w:val="1C399230"/>
    <w:rsid w:val="1C47254C"/>
    <w:rsid w:val="1C7C391E"/>
    <w:rsid w:val="1C7D139C"/>
    <w:rsid w:val="1CA51FE2"/>
    <w:rsid w:val="1CD282A5"/>
    <w:rsid w:val="1CDE1540"/>
    <w:rsid w:val="1CEC7C27"/>
    <w:rsid w:val="1CF7A07B"/>
    <w:rsid w:val="1D03174C"/>
    <w:rsid w:val="1D0B53E9"/>
    <w:rsid w:val="1D1C9138"/>
    <w:rsid w:val="1D38E2C5"/>
    <w:rsid w:val="1D40437A"/>
    <w:rsid w:val="1D71A4CC"/>
    <w:rsid w:val="1D73FDEE"/>
    <w:rsid w:val="1D7B7361"/>
    <w:rsid w:val="1D81C8D6"/>
    <w:rsid w:val="1D884B95"/>
    <w:rsid w:val="1D8BF43E"/>
    <w:rsid w:val="1DAC3F97"/>
    <w:rsid w:val="1DAD829A"/>
    <w:rsid w:val="1DC61274"/>
    <w:rsid w:val="1DC62940"/>
    <w:rsid w:val="1DEEEB85"/>
    <w:rsid w:val="1DFE6107"/>
    <w:rsid w:val="1E03C50A"/>
    <w:rsid w:val="1E4158A9"/>
    <w:rsid w:val="1E4159CF"/>
    <w:rsid w:val="1E4F1B56"/>
    <w:rsid w:val="1E58A2CE"/>
    <w:rsid w:val="1E714966"/>
    <w:rsid w:val="1E9BB226"/>
    <w:rsid w:val="1EA75C2F"/>
    <w:rsid w:val="1EBEE613"/>
    <w:rsid w:val="1F19AF50"/>
    <w:rsid w:val="1F2E59B3"/>
    <w:rsid w:val="1F52E238"/>
    <w:rsid w:val="1F5B77F3"/>
    <w:rsid w:val="1F645057"/>
    <w:rsid w:val="1F67F929"/>
    <w:rsid w:val="1F896600"/>
    <w:rsid w:val="1F8A5AEA"/>
    <w:rsid w:val="1FC9DD98"/>
    <w:rsid w:val="1FD30AA3"/>
    <w:rsid w:val="1FD8ACCC"/>
    <w:rsid w:val="2014A0D6"/>
    <w:rsid w:val="2019ED1C"/>
    <w:rsid w:val="2019FD11"/>
    <w:rsid w:val="2030D3F2"/>
    <w:rsid w:val="206581DF"/>
    <w:rsid w:val="2082390E"/>
    <w:rsid w:val="208C33F4"/>
    <w:rsid w:val="20C1E13A"/>
    <w:rsid w:val="20D0C0ED"/>
    <w:rsid w:val="20D0D458"/>
    <w:rsid w:val="20E6C056"/>
    <w:rsid w:val="20EBEDAB"/>
    <w:rsid w:val="211858E9"/>
    <w:rsid w:val="2128485D"/>
    <w:rsid w:val="212C45DD"/>
    <w:rsid w:val="212E9552"/>
    <w:rsid w:val="213AFBEB"/>
    <w:rsid w:val="213E0EF1"/>
    <w:rsid w:val="215A9C93"/>
    <w:rsid w:val="215B3276"/>
    <w:rsid w:val="218D3C5C"/>
    <w:rsid w:val="21B340B1"/>
    <w:rsid w:val="21D626F8"/>
    <w:rsid w:val="2204D760"/>
    <w:rsid w:val="22069130"/>
    <w:rsid w:val="220AA420"/>
    <w:rsid w:val="22112867"/>
    <w:rsid w:val="2241BB81"/>
    <w:rsid w:val="224AF462"/>
    <w:rsid w:val="224D2661"/>
    <w:rsid w:val="22611719"/>
    <w:rsid w:val="227F8444"/>
    <w:rsid w:val="22858B95"/>
    <w:rsid w:val="22A01D38"/>
    <w:rsid w:val="22D6BA39"/>
    <w:rsid w:val="231A5911"/>
    <w:rsid w:val="233D5A0B"/>
    <w:rsid w:val="233EA30E"/>
    <w:rsid w:val="235C95C0"/>
    <w:rsid w:val="23695186"/>
    <w:rsid w:val="236E0E77"/>
    <w:rsid w:val="23B14474"/>
    <w:rsid w:val="23BA6FE5"/>
    <w:rsid w:val="23D34762"/>
    <w:rsid w:val="23DBA235"/>
    <w:rsid w:val="23DF4DCB"/>
    <w:rsid w:val="23EB0F4F"/>
    <w:rsid w:val="242765EC"/>
    <w:rsid w:val="2427FF50"/>
    <w:rsid w:val="2432F2D8"/>
    <w:rsid w:val="243D4AD1"/>
    <w:rsid w:val="24451C46"/>
    <w:rsid w:val="24616992"/>
    <w:rsid w:val="246C23ED"/>
    <w:rsid w:val="24916914"/>
    <w:rsid w:val="24A51CA7"/>
    <w:rsid w:val="24A9D6C9"/>
    <w:rsid w:val="24DB6AF8"/>
    <w:rsid w:val="24E5A5E1"/>
    <w:rsid w:val="24E8FEA2"/>
    <w:rsid w:val="2546D7FF"/>
    <w:rsid w:val="256B791E"/>
    <w:rsid w:val="25810C22"/>
    <w:rsid w:val="2583A456"/>
    <w:rsid w:val="258DFE1D"/>
    <w:rsid w:val="25B96C53"/>
    <w:rsid w:val="25C0F7F3"/>
    <w:rsid w:val="25D45A85"/>
    <w:rsid w:val="25D5EB54"/>
    <w:rsid w:val="25ED277E"/>
    <w:rsid w:val="262A579C"/>
    <w:rsid w:val="262BD11E"/>
    <w:rsid w:val="263776B0"/>
    <w:rsid w:val="2649235C"/>
    <w:rsid w:val="265CC2E1"/>
    <w:rsid w:val="265EC016"/>
    <w:rsid w:val="26626A62"/>
    <w:rsid w:val="2662BF97"/>
    <w:rsid w:val="2668B1C9"/>
    <w:rsid w:val="267F6171"/>
    <w:rsid w:val="26826DE4"/>
    <w:rsid w:val="269436AC"/>
    <w:rsid w:val="269DB3FC"/>
    <w:rsid w:val="26A3B30A"/>
    <w:rsid w:val="26A4BDE1"/>
    <w:rsid w:val="26AAC694"/>
    <w:rsid w:val="26B2426F"/>
    <w:rsid w:val="26ED4800"/>
    <w:rsid w:val="271D88AA"/>
    <w:rsid w:val="27264B33"/>
    <w:rsid w:val="272A7E6D"/>
    <w:rsid w:val="27379781"/>
    <w:rsid w:val="274186B4"/>
    <w:rsid w:val="276C5D47"/>
    <w:rsid w:val="276C661A"/>
    <w:rsid w:val="27735D06"/>
    <w:rsid w:val="2781BAAA"/>
    <w:rsid w:val="27D48F1C"/>
    <w:rsid w:val="27EADCB4"/>
    <w:rsid w:val="2800F377"/>
    <w:rsid w:val="28132F01"/>
    <w:rsid w:val="2813E31B"/>
    <w:rsid w:val="28201541"/>
    <w:rsid w:val="282BDD80"/>
    <w:rsid w:val="283234FF"/>
    <w:rsid w:val="283B634E"/>
    <w:rsid w:val="287C376A"/>
    <w:rsid w:val="289B452D"/>
    <w:rsid w:val="28A9531F"/>
    <w:rsid w:val="28B2A52B"/>
    <w:rsid w:val="28BABADA"/>
    <w:rsid w:val="28D33E25"/>
    <w:rsid w:val="28F86165"/>
    <w:rsid w:val="2927DDA9"/>
    <w:rsid w:val="29289511"/>
    <w:rsid w:val="2933E35E"/>
    <w:rsid w:val="294711E1"/>
    <w:rsid w:val="294B580F"/>
    <w:rsid w:val="294EC844"/>
    <w:rsid w:val="2972E0D1"/>
    <w:rsid w:val="29A45638"/>
    <w:rsid w:val="29A52791"/>
    <w:rsid w:val="29AC4F11"/>
    <w:rsid w:val="29B173AE"/>
    <w:rsid w:val="29B72613"/>
    <w:rsid w:val="2A29EB0C"/>
    <w:rsid w:val="2A37207C"/>
    <w:rsid w:val="2A3FCC40"/>
    <w:rsid w:val="2A4767FB"/>
    <w:rsid w:val="2A5158D8"/>
    <w:rsid w:val="2A72C1D2"/>
    <w:rsid w:val="2AA20CD6"/>
    <w:rsid w:val="2AB0A193"/>
    <w:rsid w:val="2AE2D566"/>
    <w:rsid w:val="2B1AB458"/>
    <w:rsid w:val="2B2CA9F9"/>
    <w:rsid w:val="2B3189CA"/>
    <w:rsid w:val="2B3FD75F"/>
    <w:rsid w:val="2B55C0AD"/>
    <w:rsid w:val="2B57CA97"/>
    <w:rsid w:val="2B65E4E0"/>
    <w:rsid w:val="2B67AC15"/>
    <w:rsid w:val="2C04C070"/>
    <w:rsid w:val="2C857CB9"/>
    <w:rsid w:val="2C8B9E25"/>
    <w:rsid w:val="2CA15DE4"/>
    <w:rsid w:val="2CC9DFB4"/>
    <w:rsid w:val="2CD74E16"/>
    <w:rsid w:val="2CE67225"/>
    <w:rsid w:val="2CE807F8"/>
    <w:rsid w:val="2D28A2D8"/>
    <w:rsid w:val="2D434C11"/>
    <w:rsid w:val="2D8D4DD9"/>
    <w:rsid w:val="2D97394A"/>
    <w:rsid w:val="2DAA0428"/>
    <w:rsid w:val="2DE0EDF5"/>
    <w:rsid w:val="2DE5EC5C"/>
    <w:rsid w:val="2E00F0B0"/>
    <w:rsid w:val="2E15E94B"/>
    <w:rsid w:val="2E29BC20"/>
    <w:rsid w:val="2E36503B"/>
    <w:rsid w:val="2E5AFDFC"/>
    <w:rsid w:val="2E687636"/>
    <w:rsid w:val="2E9628D1"/>
    <w:rsid w:val="2EF9BBF6"/>
    <w:rsid w:val="2F0ADB65"/>
    <w:rsid w:val="2F29F499"/>
    <w:rsid w:val="2F30D20B"/>
    <w:rsid w:val="2F33A93D"/>
    <w:rsid w:val="2F434FBA"/>
    <w:rsid w:val="2F655924"/>
    <w:rsid w:val="2F910E64"/>
    <w:rsid w:val="2F997691"/>
    <w:rsid w:val="2FD0C6C1"/>
    <w:rsid w:val="2FF15CE1"/>
    <w:rsid w:val="2FF8C5A8"/>
    <w:rsid w:val="2FFF4B81"/>
    <w:rsid w:val="3017D80C"/>
    <w:rsid w:val="30493C75"/>
    <w:rsid w:val="305CF346"/>
    <w:rsid w:val="3069EDE1"/>
    <w:rsid w:val="30705FAC"/>
    <w:rsid w:val="3084C4E6"/>
    <w:rsid w:val="30DAE643"/>
    <w:rsid w:val="30E87091"/>
    <w:rsid w:val="3140AEFD"/>
    <w:rsid w:val="31503E78"/>
    <w:rsid w:val="3155D238"/>
    <w:rsid w:val="316B5966"/>
    <w:rsid w:val="317D0F7B"/>
    <w:rsid w:val="3192139D"/>
    <w:rsid w:val="31A3A718"/>
    <w:rsid w:val="31BDD661"/>
    <w:rsid w:val="31CD5B0C"/>
    <w:rsid w:val="31D00017"/>
    <w:rsid w:val="31E793A1"/>
    <w:rsid w:val="31ED1AB5"/>
    <w:rsid w:val="3244A153"/>
    <w:rsid w:val="325275C3"/>
    <w:rsid w:val="328722F6"/>
    <w:rsid w:val="329D5560"/>
    <w:rsid w:val="32B02CE8"/>
    <w:rsid w:val="32B91279"/>
    <w:rsid w:val="32CEC79D"/>
    <w:rsid w:val="32E97D15"/>
    <w:rsid w:val="32EE29DD"/>
    <w:rsid w:val="32F33DA9"/>
    <w:rsid w:val="32F5A384"/>
    <w:rsid w:val="33083298"/>
    <w:rsid w:val="332D5292"/>
    <w:rsid w:val="3340EE05"/>
    <w:rsid w:val="336CDDB1"/>
    <w:rsid w:val="337BB044"/>
    <w:rsid w:val="3385E9F4"/>
    <w:rsid w:val="33B1CD93"/>
    <w:rsid w:val="33C1F3A9"/>
    <w:rsid w:val="33DC0D07"/>
    <w:rsid w:val="33E988DD"/>
    <w:rsid w:val="33F85D1F"/>
    <w:rsid w:val="3418A3E3"/>
    <w:rsid w:val="343081C7"/>
    <w:rsid w:val="34308775"/>
    <w:rsid w:val="343CB2FF"/>
    <w:rsid w:val="34A9E878"/>
    <w:rsid w:val="34CF586C"/>
    <w:rsid w:val="34D18469"/>
    <w:rsid w:val="34D5DDB2"/>
    <w:rsid w:val="34E27391"/>
    <w:rsid w:val="34FED5CE"/>
    <w:rsid w:val="35059E11"/>
    <w:rsid w:val="350A6B49"/>
    <w:rsid w:val="3527A77B"/>
    <w:rsid w:val="352837EB"/>
    <w:rsid w:val="3547E93C"/>
    <w:rsid w:val="35587406"/>
    <w:rsid w:val="355A92CA"/>
    <w:rsid w:val="358BE923"/>
    <w:rsid w:val="35AD06CF"/>
    <w:rsid w:val="35DB1EF0"/>
    <w:rsid w:val="35F97C0C"/>
    <w:rsid w:val="35FEE80B"/>
    <w:rsid w:val="361B514E"/>
    <w:rsid w:val="363510A3"/>
    <w:rsid w:val="363CC928"/>
    <w:rsid w:val="363DAC6D"/>
    <w:rsid w:val="366CAA9F"/>
    <w:rsid w:val="367509DF"/>
    <w:rsid w:val="368220B1"/>
    <w:rsid w:val="36823C03"/>
    <w:rsid w:val="368AEBDE"/>
    <w:rsid w:val="36A5D567"/>
    <w:rsid w:val="36A71D31"/>
    <w:rsid w:val="36DA7A77"/>
    <w:rsid w:val="36E4E946"/>
    <w:rsid w:val="36FDAA9B"/>
    <w:rsid w:val="3769DA5A"/>
    <w:rsid w:val="37712A80"/>
    <w:rsid w:val="378F3E4C"/>
    <w:rsid w:val="379C8CCE"/>
    <w:rsid w:val="37A2EF3F"/>
    <w:rsid w:val="37A72318"/>
    <w:rsid w:val="37ADD01B"/>
    <w:rsid w:val="37B659B2"/>
    <w:rsid w:val="37BFB9DE"/>
    <w:rsid w:val="37D3E98B"/>
    <w:rsid w:val="37DF7EFD"/>
    <w:rsid w:val="37ED0BD6"/>
    <w:rsid w:val="37FE9323"/>
    <w:rsid w:val="382EA061"/>
    <w:rsid w:val="384A2ACA"/>
    <w:rsid w:val="385D9793"/>
    <w:rsid w:val="3872E806"/>
    <w:rsid w:val="389774D5"/>
    <w:rsid w:val="389A80DD"/>
    <w:rsid w:val="38BA50D7"/>
    <w:rsid w:val="38CDF3F1"/>
    <w:rsid w:val="38D0CF19"/>
    <w:rsid w:val="38D2ABCD"/>
    <w:rsid w:val="38F2EF68"/>
    <w:rsid w:val="3917D76A"/>
    <w:rsid w:val="397288B2"/>
    <w:rsid w:val="397BFC4F"/>
    <w:rsid w:val="39822093"/>
    <w:rsid w:val="398FB480"/>
    <w:rsid w:val="39B5F9C5"/>
    <w:rsid w:val="39D2F464"/>
    <w:rsid w:val="39F423BE"/>
    <w:rsid w:val="3A00C483"/>
    <w:rsid w:val="3A140110"/>
    <w:rsid w:val="3A267FAD"/>
    <w:rsid w:val="3A5BFD49"/>
    <w:rsid w:val="3A62687D"/>
    <w:rsid w:val="3A74DC39"/>
    <w:rsid w:val="3A9F820F"/>
    <w:rsid w:val="3AAE6F84"/>
    <w:rsid w:val="3AB24380"/>
    <w:rsid w:val="3AC6A5DC"/>
    <w:rsid w:val="3AD3DDBA"/>
    <w:rsid w:val="3B0315E5"/>
    <w:rsid w:val="3B3B77F2"/>
    <w:rsid w:val="3B3D8EBF"/>
    <w:rsid w:val="3B632A01"/>
    <w:rsid w:val="3B6706DE"/>
    <w:rsid w:val="3B8B8C10"/>
    <w:rsid w:val="3B934D4F"/>
    <w:rsid w:val="3BA34982"/>
    <w:rsid w:val="3BABED94"/>
    <w:rsid w:val="3BE23D0F"/>
    <w:rsid w:val="3BFACA63"/>
    <w:rsid w:val="3C0ACB14"/>
    <w:rsid w:val="3C14B7BD"/>
    <w:rsid w:val="3C307B34"/>
    <w:rsid w:val="3C433F37"/>
    <w:rsid w:val="3C450306"/>
    <w:rsid w:val="3C482BC5"/>
    <w:rsid w:val="3C4F0BF7"/>
    <w:rsid w:val="3C5BE5D9"/>
    <w:rsid w:val="3C81030A"/>
    <w:rsid w:val="3CCA7DDE"/>
    <w:rsid w:val="3CCCA363"/>
    <w:rsid w:val="3CE495E9"/>
    <w:rsid w:val="3D08C2B9"/>
    <w:rsid w:val="3D10B36D"/>
    <w:rsid w:val="3D28BE8D"/>
    <w:rsid w:val="3D2CC8A9"/>
    <w:rsid w:val="3D399CE5"/>
    <w:rsid w:val="3D3AB819"/>
    <w:rsid w:val="3D6CF3A7"/>
    <w:rsid w:val="3DA6E0F6"/>
    <w:rsid w:val="3DB91178"/>
    <w:rsid w:val="3DD5ADED"/>
    <w:rsid w:val="3DF08CB9"/>
    <w:rsid w:val="3DFF22D0"/>
    <w:rsid w:val="3E34A0A4"/>
    <w:rsid w:val="3E3CF618"/>
    <w:rsid w:val="3E56F216"/>
    <w:rsid w:val="3E700988"/>
    <w:rsid w:val="3E82A5DB"/>
    <w:rsid w:val="3E89163E"/>
    <w:rsid w:val="3EA452E8"/>
    <w:rsid w:val="3EA7044E"/>
    <w:rsid w:val="3ED3CBD5"/>
    <w:rsid w:val="3ED7AC24"/>
    <w:rsid w:val="3ED8A85C"/>
    <w:rsid w:val="3EDCDB2D"/>
    <w:rsid w:val="3F2510A6"/>
    <w:rsid w:val="3F2DA762"/>
    <w:rsid w:val="3F31F880"/>
    <w:rsid w:val="3F4A794A"/>
    <w:rsid w:val="3F522BA9"/>
    <w:rsid w:val="3F523FEA"/>
    <w:rsid w:val="3F5494DE"/>
    <w:rsid w:val="3F57B978"/>
    <w:rsid w:val="3F638D91"/>
    <w:rsid w:val="3F82FF7C"/>
    <w:rsid w:val="3F87B1FA"/>
    <w:rsid w:val="3F986C9B"/>
    <w:rsid w:val="3FA31B4A"/>
    <w:rsid w:val="3FC79326"/>
    <w:rsid w:val="3FD87830"/>
    <w:rsid w:val="40032227"/>
    <w:rsid w:val="40040C8A"/>
    <w:rsid w:val="400ACD32"/>
    <w:rsid w:val="4027E3FB"/>
    <w:rsid w:val="40294081"/>
    <w:rsid w:val="40313061"/>
    <w:rsid w:val="404F2A1C"/>
    <w:rsid w:val="4078AEA3"/>
    <w:rsid w:val="407DCAD3"/>
    <w:rsid w:val="40B6EB1F"/>
    <w:rsid w:val="40B97B89"/>
    <w:rsid w:val="40D011DB"/>
    <w:rsid w:val="40E58132"/>
    <w:rsid w:val="4104B9BD"/>
    <w:rsid w:val="410DE90D"/>
    <w:rsid w:val="41266180"/>
    <w:rsid w:val="4136ADA3"/>
    <w:rsid w:val="41448715"/>
    <w:rsid w:val="414BF7DA"/>
    <w:rsid w:val="418BB496"/>
    <w:rsid w:val="41AD9819"/>
    <w:rsid w:val="41BE3EA8"/>
    <w:rsid w:val="41C1218A"/>
    <w:rsid w:val="41E77117"/>
    <w:rsid w:val="41EC060C"/>
    <w:rsid w:val="41FC603A"/>
    <w:rsid w:val="4207232F"/>
    <w:rsid w:val="4216C7CD"/>
    <w:rsid w:val="423CE571"/>
    <w:rsid w:val="424B7608"/>
    <w:rsid w:val="425DF4E2"/>
    <w:rsid w:val="425E3943"/>
    <w:rsid w:val="425EAF79"/>
    <w:rsid w:val="426CB4FC"/>
    <w:rsid w:val="42A39F46"/>
    <w:rsid w:val="42A3BAFD"/>
    <w:rsid w:val="42B1880C"/>
    <w:rsid w:val="42CD5541"/>
    <w:rsid w:val="42E5C016"/>
    <w:rsid w:val="433501D6"/>
    <w:rsid w:val="43419C84"/>
    <w:rsid w:val="43552322"/>
    <w:rsid w:val="43640BFA"/>
    <w:rsid w:val="436535A4"/>
    <w:rsid w:val="437ADE3B"/>
    <w:rsid w:val="437BC62B"/>
    <w:rsid w:val="437D67D9"/>
    <w:rsid w:val="4384AC1F"/>
    <w:rsid w:val="43B68010"/>
    <w:rsid w:val="43B9D7C6"/>
    <w:rsid w:val="43CC7541"/>
    <w:rsid w:val="43D580DE"/>
    <w:rsid w:val="43D8C8E4"/>
    <w:rsid w:val="43F19347"/>
    <w:rsid w:val="44145234"/>
    <w:rsid w:val="4424E72B"/>
    <w:rsid w:val="4456EED6"/>
    <w:rsid w:val="445F392C"/>
    <w:rsid w:val="446C341C"/>
    <w:rsid w:val="4484EB99"/>
    <w:rsid w:val="449E9573"/>
    <w:rsid w:val="44B2750C"/>
    <w:rsid w:val="44B975A9"/>
    <w:rsid w:val="44E20533"/>
    <w:rsid w:val="44F54D25"/>
    <w:rsid w:val="450AD2F5"/>
    <w:rsid w:val="4519C615"/>
    <w:rsid w:val="453CE0ED"/>
    <w:rsid w:val="453EC382"/>
    <w:rsid w:val="4542B888"/>
    <w:rsid w:val="45510B93"/>
    <w:rsid w:val="455C33E7"/>
    <w:rsid w:val="45886E9A"/>
    <w:rsid w:val="458F15DB"/>
    <w:rsid w:val="45C08BAC"/>
    <w:rsid w:val="45CC107A"/>
    <w:rsid w:val="463AF8BA"/>
    <w:rsid w:val="4659A7F2"/>
    <w:rsid w:val="46AA01B3"/>
    <w:rsid w:val="46B0E81E"/>
    <w:rsid w:val="470B58B9"/>
    <w:rsid w:val="47174515"/>
    <w:rsid w:val="47299220"/>
    <w:rsid w:val="473C0EC1"/>
    <w:rsid w:val="47421368"/>
    <w:rsid w:val="474E3353"/>
    <w:rsid w:val="47643A98"/>
    <w:rsid w:val="476879C4"/>
    <w:rsid w:val="478A1E46"/>
    <w:rsid w:val="47913FF7"/>
    <w:rsid w:val="47A68B36"/>
    <w:rsid w:val="47AEEA4C"/>
    <w:rsid w:val="47C75BE1"/>
    <w:rsid w:val="47EE2E59"/>
    <w:rsid w:val="47F7CB18"/>
    <w:rsid w:val="48054F09"/>
    <w:rsid w:val="481E4254"/>
    <w:rsid w:val="483D1D84"/>
    <w:rsid w:val="484DF065"/>
    <w:rsid w:val="48529D65"/>
    <w:rsid w:val="485A8B6E"/>
    <w:rsid w:val="486210B1"/>
    <w:rsid w:val="487DC70B"/>
    <w:rsid w:val="48BB2ADC"/>
    <w:rsid w:val="48C7B6B1"/>
    <w:rsid w:val="48F438A5"/>
    <w:rsid w:val="494D4195"/>
    <w:rsid w:val="494DD836"/>
    <w:rsid w:val="494FF80A"/>
    <w:rsid w:val="496B76BC"/>
    <w:rsid w:val="49954BBD"/>
    <w:rsid w:val="49AD5C20"/>
    <w:rsid w:val="49CCFC10"/>
    <w:rsid w:val="49DD8E93"/>
    <w:rsid w:val="49E3CCF5"/>
    <w:rsid w:val="49E4205B"/>
    <w:rsid w:val="4A0CD65F"/>
    <w:rsid w:val="4A3509C1"/>
    <w:rsid w:val="4A492CE4"/>
    <w:rsid w:val="4A7B1834"/>
    <w:rsid w:val="4AACDDEB"/>
    <w:rsid w:val="4AC29612"/>
    <w:rsid w:val="4AE7AF23"/>
    <w:rsid w:val="4B4BCDCD"/>
    <w:rsid w:val="4B56C588"/>
    <w:rsid w:val="4B56DFA8"/>
    <w:rsid w:val="4B632642"/>
    <w:rsid w:val="4B65BDEA"/>
    <w:rsid w:val="4B6C24FA"/>
    <w:rsid w:val="4B6D12C9"/>
    <w:rsid w:val="4BA27A6C"/>
    <w:rsid w:val="4BBDFF2C"/>
    <w:rsid w:val="4BDB3AB2"/>
    <w:rsid w:val="4BE77D77"/>
    <w:rsid w:val="4BF325B8"/>
    <w:rsid w:val="4C021543"/>
    <w:rsid w:val="4C0A06C3"/>
    <w:rsid w:val="4C0BDD01"/>
    <w:rsid w:val="4C429405"/>
    <w:rsid w:val="4C468A5D"/>
    <w:rsid w:val="4C5FF37C"/>
    <w:rsid w:val="4C670A3D"/>
    <w:rsid w:val="4C681596"/>
    <w:rsid w:val="4C7CE0C2"/>
    <w:rsid w:val="4CAC41F5"/>
    <w:rsid w:val="4CBB61A1"/>
    <w:rsid w:val="4CBBDD90"/>
    <w:rsid w:val="4D1317E3"/>
    <w:rsid w:val="4D306B58"/>
    <w:rsid w:val="4D3C0E40"/>
    <w:rsid w:val="4D47DFDE"/>
    <w:rsid w:val="4D5124D4"/>
    <w:rsid w:val="4D5E20F1"/>
    <w:rsid w:val="4D6BB93F"/>
    <w:rsid w:val="4D7F03A8"/>
    <w:rsid w:val="4D7FCA3A"/>
    <w:rsid w:val="4D8B8E2A"/>
    <w:rsid w:val="4D8CF3D7"/>
    <w:rsid w:val="4D9045D5"/>
    <w:rsid w:val="4D997F6E"/>
    <w:rsid w:val="4DB6D4CD"/>
    <w:rsid w:val="4DC1B725"/>
    <w:rsid w:val="4DC7A70E"/>
    <w:rsid w:val="4DCBD544"/>
    <w:rsid w:val="4DECC9ED"/>
    <w:rsid w:val="4DF43F0D"/>
    <w:rsid w:val="4E618ED3"/>
    <w:rsid w:val="4E7AA352"/>
    <w:rsid w:val="4E822349"/>
    <w:rsid w:val="4EC64E75"/>
    <w:rsid w:val="4ECCBEBF"/>
    <w:rsid w:val="4ED8AA90"/>
    <w:rsid w:val="4F165E67"/>
    <w:rsid w:val="4F31CA26"/>
    <w:rsid w:val="4F4C77C5"/>
    <w:rsid w:val="4F6BB13C"/>
    <w:rsid w:val="4F9A137A"/>
    <w:rsid w:val="4FA8E882"/>
    <w:rsid w:val="4FBFBF19"/>
    <w:rsid w:val="4FD93161"/>
    <w:rsid w:val="4FEFCB49"/>
    <w:rsid w:val="4FF2F2BE"/>
    <w:rsid w:val="50127B4F"/>
    <w:rsid w:val="501B23F6"/>
    <w:rsid w:val="502608F6"/>
    <w:rsid w:val="5028DDFB"/>
    <w:rsid w:val="502CD96F"/>
    <w:rsid w:val="50464E25"/>
    <w:rsid w:val="50499588"/>
    <w:rsid w:val="504CA55F"/>
    <w:rsid w:val="505C5A09"/>
    <w:rsid w:val="508ADACE"/>
    <w:rsid w:val="508E1BCD"/>
    <w:rsid w:val="5097A940"/>
    <w:rsid w:val="50A7E8A3"/>
    <w:rsid w:val="50A8AC0C"/>
    <w:rsid w:val="50D51696"/>
    <w:rsid w:val="5101CBC7"/>
    <w:rsid w:val="511B8B07"/>
    <w:rsid w:val="51255DD2"/>
    <w:rsid w:val="51BD422D"/>
    <w:rsid w:val="51C8701F"/>
    <w:rsid w:val="51D71EB9"/>
    <w:rsid w:val="51D731E4"/>
    <w:rsid w:val="51E52D1F"/>
    <w:rsid w:val="51F23681"/>
    <w:rsid w:val="51F90EAE"/>
    <w:rsid w:val="520810FF"/>
    <w:rsid w:val="521554E9"/>
    <w:rsid w:val="52520F4A"/>
    <w:rsid w:val="527C46C1"/>
    <w:rsid w:val="52B473DE"/>
    <w:rsid w:val="52F3C4B1"/>
    <w:rsid w:val="52F7D41F"/>
    <w:rsid w:val="53143639"/>
    <w:rsid w:val="5327DFEA"/>
    <w:rsid w:val="53354EEE"/>
    <w:rsid w:val="53604035"/>
    <w:rsid w:val="5384F6D8"/>
    <w:rsid w:val="538D8833"/>
    <w:rsid w:val="5396A8B9"/>
    <w:rsid w:val="539F2644"/>
    <w:rsid w:val="53CA23A9"/>
    <w:rsid w:val="53CDA346"/>
    <w:rsid w:val="53D047EC"/>
    <w:rsid w:val="540C9538"/>
    <w:rsid w:val="5416C81B"/>
    <w:rsid w:val="542118AE"/>
    <w:rsid w:val="5427F140"/>
    <w:rsid w:val="544762C8"/>
    <w:rsid w:val="546CE442"/>
    <w:rsid w:val="547A2A24"/>
    <w:rsid w:val="547C1B27"/>
    <w:rsid w:val="54B6BCC4"/>
    <w:rsid w:val="54BCDA54"/>
    <w:rsid w:val="54DDB97B"/>
    <w:rsid w:val="55032699"/>
    <w:rsid w:val="552BF08F"/>
    <w:rsid w:val="5547E226"/>
    <w:rsid w:val="5557549C"/>
    <w:rsid w:val="55625F8F"/>
    <w:rsid w:val="5576FED9"/>
    <w:rsid w:val="557B9712"/>
    <w:rsid w:val="55866B13"/>
    <w:rsid w:val="55D79D94"/>
    <w:rsid w:val="55E3F618"/>
    <w:rsid w:val="55F3046D"/>
    <w:rsid w:val="55FCFBB8"/>
    <w:rsid w:val="56057823"/>
    <w:rsid w:val="560F0A61"/>
    <w:rsid w:val="562DA325"/>
    <w:rsid w:val="565CC606"/>
    <w:rsid w:val="565FD622"/>
    <w:rsid w:val="5661007D"/>
    <w:rsid w:val="5668854A"/>
    <w:rsid w:val="566C1A32"/>
    <w:rsid w:val="56E101DE"/>
    <w:rsid w:val="56E2B0AB"/>
    <w:rsid w:val="56F02817"/>
    <w:rsid w:val="57163EAC"/>
    <w:rsid w:val="571995EF"/>
    <w:rsid w:val="5748B151"/>
    <w:rsid w:val="57519B2A"/>
    <w:rsid w:val="5756348F"/>
    <w:rsid w:val="575957A8"/>
    <w:rsid w:val="576BFF1F"/>
    <w:rsid w:val="5797D58F"/>
    <w:rsid w:val="57A3F825"/>
    <w:rsid w:val="57A8D4BD"/>
    <w:rsid w:val="57AA2130"/>
    <w:rsid w:val="57CE0A7D"/>
    <w:rsid w:val="57D93BE8"/>
    <w:rsid w:val="580899DB"/>
    <w:rsid w:val="58180C4E"/>
    <w:rsid w:val="582B8B10"/>
    <w:rsid w:val="5857FF0E"/>
    <w:rsid w:val="58615F06"/>
    <w:rsid w:val="588F8CE8"/>
    <w:rsid w:val="589A9B9E"/>
    <w:rsid w:val="58AB4528"/>
    <w:rsid w:val="58B5E44F"/>
    <w:rsid w:val="58DC68D5"/>
    <w:rsid w:val="58E71A3A"/>
    <w:rsid w:val="59321F65"/>
    <w:rsid w:val="5932327B"/>
    <w:rsid w:val="593FCDA4"/>
    <w:rsid w:val="597A1A15"/>
    <w:rsid w:val="597E628E"/>
    <w:rsid w:val="5985FF69"/>
    <w:rsid w:val="599955A1"/>
    <w:rsid w:val="59D875B0"/>
    <w:rsid w:val="59F0B42B"/>
    <w:rsid w:val="5A2DAA96"/>
    <w:rsid w:val="5A3890D1"/>
    <w:rsid w:val="5A3E73E6"/>
    <w:rsid w:val="5A7428C1"/>
    <w:rsid w:val="5A748912"/>
    <w:rsid w:val="5A77ACE2"/>
    <w:rsid w:val="5A81C2EC"/>
    <w:rsid w:val="5A91DA06"/>
    <w:rsid w:val="5A97AD3D"/>
    <w:rsid w:val="5A9EA0ED"/>
    <w:rsid w:val="5AC815F1"/>
    <w:rsid w:val="5AD7F954"/>
    <w:rsid w:val="5AE1E1FF"/>
    <w:rsid w:val="5AE846BD"/>
    <w:rsid w:val="5B232965"/>
    <w:rsid w:val="5B2C2A8A"/>
    <w:rsid w:val="5B5C01C7"/>
    <w:rsid w:val="5B5C3ADE"/>
    <w:rsid w:val="5BA4C43D"/>
    <w:rsid w:val="5BBB24E6"/>
    <w:rsid w:val="5BF28994"/>
    <w:rsid w:val="5C1A8CB0"/>
    <w:rsid w:val="5C68B993"/>
    <w:rsid w:val="5C7A614B"/>
    <w:rsid w:val="5C850E33"/>
    <w:rsid w:val="5C9570F7"/>
    <w:rsid w:val="5C989F06"/>
    <w:rsid w:val="5CAA4A15"/>
    <w:rsid w:val="5CB525CC"/>
    <w:rsid w:val="5CCDCA0C"/>
    <w:rsid w:val="5CCDCCE1"/>
    <w:rsid w:val="5D253385"/>
    <w:rsid w:val="5D652B41"/>
    <w:rsid w:val="5D71C23D"/>
    <w:rsid w:val="5D9C4DE2"/>
    <w:rsid w:val="5DA0865F"/>
    <w:rsid w:val="5DD4AA85"/>
    <w:rsid w:val="5E0C1C01"/>
    <w:rsid w:val="5E25B3FF"/>
    <w:rsid w:val="5E3513B5"/>
    <w:rsid w:val="5E536226"/>
    <w:rsid w:val="5E5AFD10"/>
    <w:rsid w:val="5E646DCA"/>
    <w:rsid w:val="5E91C925"/>
    <w:rsid w:val="5E93628E"/>
    <w:rsid w:val="5EB266C2"/>
    <w:rsid w:val="5EBF8AA0"/>
    <w:rsid w:val="5EC8C076"/>
    <w:rsid w:val="5ECB9551"/>
    <w:rsid w:val="5EEAE46A"/>
    <w:rsid w:val="5F017634"/>
    <w:rsid w:val="5F1EC9C1"/>
    <w:rsid w:val="5F2806C3"/>
    <w:rsid w:val="5F3867FD"/>
    <w:rsid w:val="5F3963A0"/>
    <w:rsid w:val="5F3F28E3"/>
    <w:rsid w:val="5F459680"/>
    <w:rsid w:val="5F66B6EF"/>
    <w:rsid w:val="5FB648F7"/>
    <w:rsid w:val="5FB92FA2"/>
    <w:rsid w:val="5FD9C81F"/>
    <w:rsid w:val="5FDB5BF7"/>
    <w:rsid w:val="6025BE66"/>
    <w:rsid w:val="602DBBB6"/>
    <w:rsid w:val="6031D1B9"/>
    <w:rsid w:val="6071907D"/>
    <w:rsid w:val="608A95C6"/>
    <w:rsid w:val="609418EE"/>
    <w:rsid w:val="609B2030"/>
    <w:rsid w:val="60A4E9BD"/>
    <w:rsid w:val="60B42878"/>
    <w:rsid w:val="60DB171D"/>
    <w:rsid w:val="60E153CF"/>
    <w:rsid w:val="60E3D151"/>
    <w:rsid w:val="610277CB"/>
    <w:rsid w:val="610B1874"/>
    <w:rsid w:val="612474DC"/>
    <w:rsid w:val="6131AC05"/>
    <w:rsid w:val="6134186B"/>
    <w:rsid w:val="6142E6D8"/>
    <w:rsid w:val="61AF876B"/>
    <w:rsid w:val="61E76A75"/>
    <w:rsid w:val="61E98E09"/>
    <w:rsid w:val="6229E741"/>
    <w:rsid w:val="622F9434"/>
    <w:rsid w:val="62522C02"/>
    <w:rsid w:val="62561481"/>
    <w:rsid w:val="6269FDA8"/>
    <w:rsid w:val="629FF7E0"/>
    <w:rsid w:val="62AFA283"/>
    <w:rsid w:val="62CF50A9"/>
    <w:rsid w:val="630349C4"/>
    <w:rsid w:val="631F081C"/>
    <w:rsid w:val="632FF256"/>
    <w:rsid w:val="63328698"/>
    <w:rsid w:val="6353D35E"/>
    <w:rsid w:val="6354F313"/>
    <w:rsid w:val="63813FF1"/>
    <w:rsid w:val="63C9CD7F"/>
    <w:rsid w:val="64194DF6"/>
    <w:rsid w:val="642434C8"/>
    <w:rsid w:val="6445989A"/>
    <w:rsid w:val="6448DA5E"/>
    <w:rsid w:val="6457FEAE"/>
    <w:rsid w:val="646E7A76"/>
    <w:rsid w:val="648A96EC"/>
    <w:rsid w:val="64C9AFDE"/>
    <w:rsid w:val="64DF9A24"/>
    <w:rsid w:val="64F651B2"/>
    <w:rsid w:val="650884F2"/>
    <w:rsid w:val="651EC7EA"/>
    <w:rsid w:val="655592C4"/>
    <w:rsid w:val="655822B6"/>
    <w:rsid w:val="65598E9A"/>
    <w:rsid w:val="6568C074"/>
    <w:rsid w:val="659AE983"/>
    <w:rsid w:val="65A4ECF1"/>
    <w:rsid w:val="65A9B6BD"/>
    <w:rsid w:val="65C0F9C2"/>
    <w:rsid w:val="65E90A67"/>
    <w:rsid w:val="65F2648B"/>
    <w:rsid w:val="660960D5"/>
    <w:rsid w:val="660ADC79"/>
    <w:rsid w:val="660DBD6C"/>
    <w:rsid w:val="6621E680"/>
    <w:rsid w:val="6623DFED"/>
    <w:rsid w:val="665B169B"/>
    <w:rsid w:val="6665A74F"/>
    <w:rsid w:val="669A0EC0"/>
    <w:rsid w:val="66A8BC4D"/>
    <w:rsid w:val="66B00CFC"/>
    <w:rsid w:val="66B0291E"/>
    <w:rsid w:val="66BFCC93"/>
    <w:rsid w:val="66C165A9"/>
    <w:rsid w:val="66D81939"/>
    <w:rsid w:val="66D85518"/>
    <w:rsid w:val="66FBEEF2"/>
    <w:rsid w:val="6740F72C"/>
    <w:rsid w:val="6746572A"/>
    <w:rsid w:val="676B1465"/>
    <w:rsid w:val="6773742E"/>
    <w:rsid w:val="677DF55A"/>
    <w:rsid w:val="67930C1D"/>
    <w:rsid w:val="67C8D642"/>
    <w:rsid w:val="67D419BD"/>
    <w:rsid w:val="67DD29ED"/>
    <w:rsid w:val="67FF98CD"/>
    <w:rsid w:val="68332D3D"/>
    <w:rsid w:val="68490790"/>
    <w:rsid w:val="6870AC75"/>
    <w:rsid w:val="68942953"/>
    <w:rsid w:val="689FDA74"/>
    <w:rsid w:val="68BAFE7B"/>
    <w:rsid w:val="68BD4001"/>
    <w:rsid w:val="68D1A22B"/>
    <w:rsid w:val="68DA42A3"/>
    <w:rsid w:val="68F1799E"/>
    <w:rsid w:val="68F78715"/>
    <w:rsid w:val="69059619"/>
    <w:rsid w:val="6918F26E"/>
    <w:rsid w:val="691B6FB4"/>
    <w:rsid w:val="692B6B16"/>
    <w:rsid w:val="692C5046"/>
    <w:rsid w:val="6934B350"/>
    <w:rsid w:val="6949B95F"/>
    <w:rsid w:val="695E54A9"/>
    <w:rsid w:val="696C6A8D"/>
    <w:rsid w:val="696CBB36"/>
    <w:rsid w:val="69795F3D"/>
    <w:rsid w:val="698A5964"/>
    <w:rsid w:val="698D03F0"/>
    <w:rsid w:val="6995AD06"/>
    <w:rsid w:val="69B1CE32"/>
    <w:rsid w:val="69B7A36E"/>
    <w:rsid w:val="69C20C2C"/>
    <w:rsid w:val="69D686FF"/>
    <w:rsid w:val="69D951AF"/>
    <w:rsid w:val="69E8075C"/>
    <w:rsid w:val="6A0338DA"/>
    <w:rsid w:val="6A0465F0"/>
    <w:rsid w:val="6A05742D"/>
    <w:rsid w:val="6A1857F5"/>
    <w:rsid w:val="6A8ACC70"/>
    <w:rsid w:val="6A8C7D49"/>
    <w:rsid w:val="6AC6ED76"/>
    <w:rsid w:val="6AFD041C"/>
    <w:rsid w:val="6B1B02CB"/>
    <w:rsid w:val="6B267E1D"/>
    <w:rsid w:val="6B2A1EF4"/>
    <w:rsid w:val="6B357E9D"/>
    <w:rsid w:val="6B464B5E"/>
    <w:rsid w:val="6B58DF82"/>
    <w:rsid w:val="6B72B27C"/>
    <w:rsid w:val="6BA25A03"/>
    <w:rsid w:val="6BAB975A"/>
    <w:rsid w:val="6BB9FF90"/>
    <w:rsid w:val="6BE4A859"/>
    <w:rsid w:val="6BE5D018"/>
    <w:rsid w:val="6BE8DB8C"/>
    <w:rsid w:val="6BF2CB1C"/>
    <w:rsid w:val="6C0F6D37"/>
    <w:rsid w:val="6C6B7CB2"/>
    <w:rsid w:val="6C8CBE1B"/>
    <w:rsid w:val="6C9499AE"/>
    <w:rsid w:val="6C957A25"/>
    <w:rsid w:val="6CA52B5C"/>
    <w:rsid w:val="6CABEFF0"/>
    <w:rsid w:val="6CBB8680"/>
    <w:rsid w:val="6CD8EB2C"/>
    <w:rsid w:val="6D1B8918"/>
    <w:rsid w:val="6D225FEC"/>
    <w:rsid w:val="6D3D28C9"/>
    <w:rsid w:val="6D3D290A"/>
    <w:rsid w:val="6D3E3853"/>
    <w:rsid w:val="6D43CCB8"/>
    <w:rsid w:val="6D590A42"/>
    <w:rsid w:val="6D6BD8AB"/>
    <w:rsid w:val="6D91D6DA"/>
    <w:rsid w:val="6D98F523"/>
    <w:rsid w:val="6DB54FB9"/>
    <w:rsid w:val="6DC19563"/>
    <w:rsid w:val="6E0DB204"/>
    <w:rsid w:val="6E2A0CDE"/>
    <w:rsid w:val="6E539833"/>
    <w:rsid w:val="6E657EF8"/>
    <w:rsid w:val="6E6D3B3D"/>
    <w:rsid w:val="6E7E0F9D"/>
    <w:rsid w:val="6EAFAFD9"/>
    <w:rsid w:val="6EB31429"/>
    <w:rsid w:val="6ED854B0"/>
    <w:rsid w:val="6EDBCCDA"/>
    <w:rsid w:val="6EE4784F"/>
    <w:rsid w:val="6EF7A150"/>
    <w:rsid w:val="6EFD2F6C"/>
    <w:rsid w:val="6F156874"/>
    <w:rsid w:val="6F21A69B"/>
    <w:rsid w:val="6F517649"/>
    <w:rsid w:val="6F6A46A0"/>
    <w:rsid w:val="6FB17237"/>
    <w:rsid w:val="6FBB197C"/>
    <w:rsid w:val="6FDFEA61"/>
    <w:rsid w:val="6FE004F6"/>
    <w:rsid w:val="6FF6A15F"/>
    <w:rsid w:val="7001AF0E"/>
    <w:rsid w:val="702E8836"/>
    <w:rsid w:val="703F00DF"/>
    <w:rsid w:val="704610DE"/>
    <w:rsid w:val="704C8ABB"/>
    <w:rsid w:val="70537E99"/>
    <w:rsid w:val="7053BA36"/>
    <w:rsid w:val="70614F8F"/>
    <w:rsid w:val="70626A34"/>
    <w:rsid w:val="7069F9EF"/>
    <w:rsid w:val="707FA9BA"/>
    <w:rsid w:val="70903BDF"/>
    <w:rsid w:val="70C93C0E"/>
    <w:rsid w:val="70CD6B06"/>
    <w:rsid w:val="70D035DE"/>
    <w:rsid w:val="70F41B85"/>
    <w:rsid w:val="7102D11C"/>
    <w:rsid w:val="711012A1"/>
    <w:rsid w:val="713D9F92"/>
    <w:rsid w:val="71709D3A"/>
    <w:rsid w:val="7171DC06"/>
    <w:rsid w:val="7177FF11"/>
    <w:rsid w:val="717B8AF6"/>
    <w:rsid w:val="71A805BB"/>
    <w:rsid w:val="71D97297"/>
    <w:rsid w:val="71E0B1A3"/>
    <w:rsid w:val="71EAE16B"/>
    <w:rsid w:val="71EEDAF8"/>
    <w:rsid w:val="7216AB17"/>
    <w:rsid w:val="72185B94"/>
    <w:rsid w:val="722ED904"/>
    <w:rsid w:val="7244B4C2"/>
    <w:rsid w:val="7262C9CA"/>
    <w:rsid w:val="726CAB63"/>
    <w:rsid w:val="72874F65"/>
    <w:rsid w:val="72A6103D"/>
    <w:rsid w:val="72AD2C03"/>
    <w:rsid w:val="72C571E7"/>
    <w:rsid w:val="72C6497E"/>
    <w:rsid w:val="72E6BBEA"/>
    <w:rsid w:val="72FFD164"/>
    <w:rsid w:val="73143B7E"/>
    <w:rsid w:val="732A9C9E"/>
    <w:rsid w:val="7347131F"/>
    <w:rsid w:val="73496248"/>
    <w:rsid w:val="7355EB0D"/>
    <w:rsid w:val="738D7D86"/>
    <w:rsid w:val="739583C8"/>
    <w:rsid w:val="73DC5848"/>
    <w:rsid w:val="74048B94"/>
    <w:rsid w:val="74157ADB"/>
    <w:rsid w:val="741F6A08"/>
    <w:rsid w:val="74404FD1"/>
    <w:rsid w:val="7466302F"/>
    <w:rsid w:val="747BE2CA"/>
    <w:rsid w:val="74821266"/>
    <w:rsid w:val="748B76F6"/>
    <w:rsid w:val="74A16614"/>
    <w:rsid w:val="74AEB8DE"/>
    <w:rsid w:val="74C4D086"/>
    <w:rsid w:val="750AEFA7"/>
    <w:rsid w:val="750E1936"/>
    <w:rsid w:val="75147D61"/>
    <w:rsid w:val="752E213D"/>
    <w:rsid w:val="753701D6"/>
    <w:rsid w:val="7538EAD0"/>
    <w:rsid w:val="7544AFA3"/>
    <w:rsid w:val="755FB464"/>
    <w:rsid w:val="7571CD92"/>
    <w:rsid w:val="757A84A9"/>
    <w:rsid w:val="75989657"/>
    <w:rsid w:val="75A6A062"/>
    <w:rsid w:val="75ACF8A4"/>
    <w:rsid w:val="75C00090"/>
    <w:rsid w:val="75D66AEE"/>
    <w:rsid w:val="75D9C052"/>
    <w:rsid w:val="75DFD08D"/>
    <w:rsid w:val="75E97712"/>
    <w:rsid w:val="76063494"/>
    <w:rsid w:val="7611FC7F"/>
    <w:rsid w:val="76368512"/>
    <w:rsid w:val="7645DBC5"/>
    <w:rsid w:val="764F725C"/>
    <w:rsid w:val="765B1891"/>
    <w:rsid w:val="767BF225"/>
    <w:rsid w:val="7698B187"/>
    <w:rsid w:val="76ACE38D"/>
    <w:rsid w:val="76CD8E26"/>
    <w:rsid w:val="76D1AEE3"/>
    <w:rsid w:val="76F79C04"/>
    <w:rsid w:val="770EAACC"/>
    <w:rsid w:val="772595EB"/>
    <w:rsid w:val="772F3034"/>
    <w:rsid w:val="773A45AF"/>
    <w:rsid w:val="77471DA0"/>
    <w:rsid w:val="774F0019"/>
    <w:rsid w:val="776C4EBB"/>
    <w:rsid w:val="776CF500"/>
    <w:rsid w:val="7781A2A8"/>
    <w:rsid w:val="77821C29"/>
    <w:rsid w:val="778504BA"/>
    <w:rsid w:val="77973059"/>
    <w:rsid w:val="779D1712"/>
    <w:rsid w:val="77A4C88F"/>
    <w:rsid w:val="77BCA040"/>
    <w:rsid w:val="77C71BCD"/>
    <w:rsid w:val="77C7D33B"/>
    <w:rsid w:val="77C9F394"/>
    <w:rsid w:val="77D419B0"/>
    <w:rsid w:val="77D45C8F"/>
    <w:rsid w:val="77E99FE3"/>
    <w:rsid w:val="78178E0B"/>
    <w:rsid w:val="783E3F14"/>
    <w:rsid w:val="78671562"/>
    <w:rsid w:val="7877E552"/>
    <w:rsid w:val="787D0D5B"/>
    <w:rsid w:val="7899F845"/>
    <w:rsid w:val="78C1C30D"/>
    <w:rsid w:val="78CD441B"/>
    <w:rsid w:val="78D2DA5B"/>
    <w:rsid w:val="78E7BFA5"/>
    <w:rsid w:val="78E9A316"/>
    <w:rsid w:val="78EF0A13"/>
    <w:rsid w:val="794EEFFD"/>
    <w:rsid w:val="79547B18"/>
    <w:rsid w:val="795DD890"/>
    <w:rsid w:val="796C0C81"/>
    <w:rsid w:val="797C2245"/>
    <w:rsid w:val="797E02F1"/>
    <w:rsid w:val="797E237B"/>
    <w:rsid w:val="7994E5FD"/>
    <w:rsid w:val="799A699F"/>
    <w:rsid w:val="799C7DC2"/>
    <w:rsid w:val="79AF5CD8"/>
    <w:rsid w:val="79B2B416"/>
    <w:rsid w:val="79C0E6CF"/>
    <w:rsid w:val="79CA4902"/>
    <w:rsid w:val="79CC6472"/>
    <w:rsid w:val="79D2E26F"/>
    <w:rsid w:val="7A4CE36A"/>
    <w:rsid w:val="7A5C3F36"/>
    <w:rsid w:val="7A5D39F4"/>
    <w:rsid w:val="7A7FCEF9"/>
    <w:rsid w:val="7A8CB581"/>
    <w:rsid w:val="7A91F713"/>
    <w:rsid w:val="7AB74FFF"/>
    <w:rsid w:val="7ABE99FA"/>
    <w:rsid w:val="7AD64F0A"/>
    <w:rsid w:val="7B272FDE"/>
    <w:rsid w:val="7B3696ED"/>
    <w:rsid w:val="7B543EDA"/>
    <w:rsid w:val="7B9F4AF6"/>
    <w:rsid w:val="7BBC7D97"/>
    <w:rsid w:val="7BC8CF0C"/>
    <w:rsid w:val="7BCE00B7"/>
    <w:rsid w:val="7BF7C3FC"/>
    <w:rsid w:val="7C200EAA"/>
    <w:rsid w:val="7C2D68C9"/>
    <w:rsid w:val="7C53C88E"/>
    <w:rsid w:val="7C5F5119"/>
    <w:rsid w:val="7C721064"/>
    <w:rsid w:val="7D04214C"/>
    <w:rsid w:val="7D574550"/>
    <w:rsid w:val="7D6BD71C"/>
    <w:rsid w:val="7D863FF2"/>
    <w:rsid w:val="7DACEB0D"/>
    <w:rsid w:val="7DAFCC59"/>
    <w:rsid w:val="7DCD59C3"/>
    <w:rsid w:val="7DEFADB4"/>
    <w:rsid w:val="7E1D0406"/>
    <w:rsid w:val="7E1F8CC3"/>
    <w:rsid w:val="7E7292C5"/>
    <w:rsid w:val="7E7C9C4A"/>
    <w:rsid w:val="7E806571"/>
    <w:rsid w:val="7ED2291F"/>
    <w:rsid w:val="7EDD4515"/>
    <w:rsid w:val="7EE655F3"/>
    <w:rsid w:val="7EF0ACEC"/>
    <w:rsid w:val="7F194B7E"/>
    <w:rsid w:val="7F1EAB2C"/>
    <w:rsid w:val="7F370075"/>
    <w:rsid w:val="7F7E83EB"/>
    <w:rsid w:val="7F834B87"/>
    <w:rsid w:val="7F9CA692"/>
    <w:rsid w:val="7FB12B7C"/>
    <w:rsid w:val="7FC7CE3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97D8D"/>
  <w15:docId w15:val="{25186370-114E-4BC8-957D-E9F860B7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90"/>
    <w:rPr>
      <w:sz w:val="24"/>
      <w:szCs w:val="24"/>
    </w:rPr>
  </w:style>
  <w:style w:type="paragraph" w:styleId="Heading1">
    <w:name w:val="heading 1"/>
    <w:basedOn w:val="Normal"/>
    <w:next w:val="Normal"/>
    <w:link w:val="Heading1Char"/>
    <w:uiPriority w:val="9"/>
    <w:qFormat/>
    <w:rsid w:val="00A85602"/>
    <w:pPr>
      <w:keepNext/>
      <w:numPr>
        <w:numId w:val="2"/>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85602"/>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85602"/>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85602"/>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85602"/>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85602"/>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85602"/>
    <w:pPr>
      <w:numPr>
        <w:ilvl w:val="6"/>
        <w:numId w:val="2"/>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A85602"/>
    <w:pPr>
      <w:numPr>
        <w:ilvl w:val="7"/>
        <w:numId w:val="2"/>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85602"/>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F68"/>
    <w:pPr>
      <w:tabs>
        <w:tab w:val="center" w:pos="4513"/>
        <w:tab w:val="right" w:pos="9026"/>
      </w:tabs>
    </w:pPr>
  </w:style>
  <w:style w:type="paragraph" w:styleId="TOC1">
    <w:name w:val="toc 1"/>
    <w:basedOn w:val="Normal"/>
    <w:next w:val="Normal"/>
    <w:autoRedefine/>
    <w:uiPriority w:val="39"/>
    <w:unhideWhenUsed/>
    <w:rsid w:val="006511FC"/>
    <w:pPr>
      <w:tabs>
        <w:tab w:val="right" w:leader="dot" w:pos="9350"/>
      </w:tabs>
      <w:spacing w:line="360" w:lineRule="auto"/>
    </w:pPr>
    <w:rPr>
      <w:b/>
      <w:bCs/>
      <w:noProof/>
    </w:rPr>
  </w:style>
  <w:style w:type="character" w:customStyle="1" w:styleId="HeaderChar">
    <w:name w:val="Header Char"/>
    <w:link w:val="Header"/>
    <w:uiPriority w:val="99"/>
    <w:rsid w:val="00FC1F68"/>
    <w:rPr>
      <w:sz w:val="24"/>
      <w:szCs w:val="24"/>
      <w:lang w:val="en-US" w:eastAsia="en-US"/>
    </w:rPr>
  </w:style>
  <w:style w:type="paragraph" w:styleId="Footer">
    <w:name w:val="footer"/>
    <w:basedOn w:val="Normal"/>
    <w:link w:val="FooterChar"/>
    <w:uiPriority w:val="99"/>
    <w:unhideWhenUsed/>
    <w:rsid w:val="00FC1F68"/>
    <w:pPr>
      <w:tabs>
        <w:tab w:val="center" w:pos="4513"/>
        <w:tab w:val="right" w:pos="9026"/>
      </w:tabs>
    </w:pPr>
  </w:style>
  <w:style w:type="character" w:customStyle="1" w:styleId="FooterChar">
    <w:name w:val="Footer Char"/>
    <w:link w:val="Footer"/>
    <w:uiPriority w:val="99"/>
    <w:rsid w:val="00FC1F68"/>
    <w:rPr>
      <w:sz w:val="24"/>
      <w:szCs w:val="24"/>
      <w:lang w:val="en-US" w:eastAsia="en-US"/>
    </w:rPr>
  </w:style>
  <w:style w:type="character" w:customStyle="1" w:styleId="Heading1Char">
    <w:name w:val="Heading 1 Char"/>
    <w:link w:val="Heading1"/>
    <w:uiPriority w:val="9"/>
    <w:rsid w:val="00A85602"/>
    <w:rPr>
      <w:rFonts w:ascii="Cambria" w:hAnsi="Cambria"/>
      <w:b/>
      <w:bCs/>
      <w:kern w:val="32"/>
      <w:sz w:val="32"/>
      <w:szCs w:val="32"/>
    </w:rPr>
  </w:style>
  <w:style w:type="character" w:customStyle="1" w:styleId="Heading2Char">
    <w:name w:val="Heading 2 Char"/>
    <w:link w:val="Heading2"/>
    <w:uiPriority w:val="9"/>
    <w:rsid w:val="00A85602"/>
    <w:rPr>
      <w:rFonts w:ascii="Cambria" w:hAnsi="Cambria"/>
      <w:b/>
      <w:bCs/>
      <w:i/>
      <w:iCs/>
      <w:sz w:val="28"/>
      <w:szCs w:val="28"/>
      <w:lang w:val="en-US" w:eastAsia="en-US"/>
    </w:rPr>
  </w:style>
  <w:style w:type="character" w:customStyle="1" w:styleId="Heading3Char">
    <w:name w:val="Heading 3 Char"/>
    <w:link w:val="Heading3"/>
    <w:uiPriority w:val="9"/>
    <w:rsid w:val="00A85602"/>
    <w:rPr>
      <w:rFonts w:ascii="Cambria" w:hAnsi="Cambria"/>
      <w:b/>
      <w:bCs/>
      <w:sz w:val="26"/>
      <w:szCs w:val="26"/>
      <w:lang w:val="en-US" w:eastAsia="en-US"/>
    </w:rPr>
  </w:style>
  <w:style w:type="character" w:customStyle="1" w:styleId="Heading4Char">
    <w:name w:val="Heading 4 Char"/>
    <w:link w:val="Heading4"/>
    <w:uiPriority w:val="9"/>
    <w:semiHidden/>
    <w:rsid w:val="00A85602"/>
    <w:rPr>
      <w:rFonts w:ascii="Calibri" w:hAnsi="Calibri"/>
      <w:b/>
      <w:bCs/>
      <w:sz w:val="28"/>
      <w:szCs w:val="28"/>
      <w:lang w:val="en-US" w:eastAsia="en-US"/>
    </w:rPr>
  </w:style>
  <w:style w:type="character" w:customStyle="1" w:styleId="Heading5Char">
    <w:name w:val="Heading 5 Char"/>
    <w:link w:val="Heading5"/>
    <w:uiPriority w:val="9"/>
    <w:semiHidden/>
    <w:rsid w:val="00A85602"/>
    <w:rPr>
      <w:rFonts w:ascii="Calibri" w:hAnsi="Calibri"/>
      <w:b/>
      <w:bCs/>
      <w:i/>
      <w:iCs/>
      <w:sz w:val="26"/>
      <w:szCs w:val="26"/>
      <w:lang w:val="en-US" w:eastAsia="en-US"/>
    </w:rPr>
  </w:style>
  <w:style w:type="character" w:customStyle="1" w:styleId="Heading6Char">
    <w:name w:val="Heading 6 Char"/>
    <w:link w:val="Heading6"/>
    <w:uiPriority w:val="9"/>
    <w:semiHidden/>
    <w:rsid w:val="00A85602"/>
    <w:rPr>
      <w:rFonts w:ascii="Calibri" w:hAnsi="Calibri"/>
      <w:b/>
      <w:bCs/>
      <w:sz w:val="22"/>
      <w:szCs w:val="22"/>
      <w:lang w:val="en-US" w:eastAsia="en-US"/>
    </w:rPr>
  </w:style>
  <w:style w:type="character" w:customStyle="1" w:styleId="Heading7Char">
    <w:name w:val="Heading 7 Char"/>
    <w:link w:val="Heading7"/>
    <w:uiPriority w:val="9"/>
    <w:semiHidden/>
    <w:rsid w:val="00A85602"/>
    <w:rPr>
      <w:rFonts w:ascii="Calibri" w:hAnsi="Calibri"/>
      <w:sz w:val="24"/>
      <w:szCs w:val="24"/>
      <w:lang w:val="en-US" w:eastAsia="en-US"/>
    </w:rPr>
  </w:style>
  <w:style w:type="character" w:customStyle="1" w:styleId="Heading8Char">
    <w:name w:val="Heading 8 Char"/>
    <w:link w:val="Heading8"/>
    <w:uiPriority w:val="9"/>
    <w:semiHidden/>
    <w:rsid w:val="00A85602"/>
    <w:rPr>
      <w:rFonts w:ascii="Calibri" w:hAnsi="Calibri"/>
      <w:i/>
      <w:iCs/>
      <w:sz w:val="24"/>
      <w:szCs w:val="24"/>
      <w:lang w:val="en-US" w:eastAsia="en-US"/>
    </w:rPr>
  </w:style>
  <w:style w:type="character" w:customStyle="1" w:styleId="Heading9Char">
    <w:name w:val="Heading 9 Char"/>
    <w:link w:val="Heading9"/>
    <w:uiPriority w:val="9"/>
    <w:semiHidden/>
    <w:rsid w:val="00A85602"/>
    <w:rPr>
      <w:rFonts w:ascii="Cambria" w:hAnsi="Cambria"/>
      <w:sz w:val="22"/>
      <w:szCs w:val="22"/>
      <w:lang w:val="en-US" w:eastAsia="en-US"/>
    </w:rPr>
  </w:style>
  <w:style w:type="paragraph" w:styleId="BodyText">
    <w:name w:val="Body Text"/>
    <w:basedOn w:val="Normal"/>
    <w:link w:val="BodyTextChar"/>
    <w:rsid w:val="00DD6E8C"/>
    <w:pPr>
      <w:spacing w:before="120" w:after="120" w:line="360" w:lineRule="auto"/>
    </w:pPr>
    <w:rPr>
      <w:lang w:val="en-CA"/>
    </w:rPr>
  </w:style>
  <w:style w:type="character" w:customStyle="1" w:styleId="BodyTextChar">
    <w:name w:val="Body Text Char"/>
    <w:link w:val="BodyText"/>
    <w:rsid w:val="00DD6E8C"/>
    <w:rPr>
      <w:sz w:val="24"/>
      <w:szCs w:val="24"/>
      <w:lang w:val="en-CA" w:eastAsia="en-US"/>
    </w:rPr>
  </w:style>
  <w:style w:type="paragraph" w:customStyle="1" w:styleId="WSFourthLevelParaNum">
    <w:name w:val="WS Fourth Level Para Num"/>
    <w:basedOn w:val="BodyText"/>
    <w:rsid w:val="00DD6E8C"/>
    <w:pPr>
      <w:numPr>
        <w:numId w:val="4"/>
      </w:numPr>
      <w:spacing w:line="480" w:lineRule="auto"/>
    </w:pPr>
  </w:style>
  <w:style w:type="character" w:customStyle="1" w:styleId="Italic">
    <w:name w:val="Italic"/>
    <w:rsid w:val="00DD6E8C"/>
    <w:rPr>
      <w:i/>
    </w:rPr>
  </w:style>
  <w:style w:type="paragraph" w:customStyle="1" w:styleId="WSParaNum">
    <w:name w:val="WS ParaNum"/>
    <w:basedOn w:val="BodyText"/>
    <w:rsid w:val="00DD6E8C"/>
    <w:pPr>
      <w:numPr>
        <w:numId w:val="5"/>
      </w:numPr>
    </w:pPr>
  </w:style>
  <w:style w:type="paragraph" w:styleId="TOC2">
    <w:name w:val="toc 2"/>
    <w:basedOn w:val="Normal"/>
    <w:next w:val="Normal"/>
    <w:autoRedefine/>
    <w:uiPriority w:val="39"/>
    <w:unhideWhenUsed/>
    <w:rsid w:val="00F045DC"/>
    <w:pPr>
      <w:ind w:left="240"/>
    </w:pPr>
  </w:style>
  <w:style w:type="paragraph" w:styleId="TOC3">
    <w:name w:val="toc 3"/>
    <w:basedOn w:val="Normal"/>
    <w:next w:val="Normal"/>
    <w:autoRedefine/>
    <w:uiPriority w:val="39"/>
    <w:unhideWhenUsed/>
    <w:rsid w:val="00F045DC"/>
    <w:pPr>
      <w:ind w:left="480"/>
    </w:pPr>
  </w:style>
  <w:style w:type="character" w:customStyle="1" w:styleId="Bold">
    <w:name w:val="Bold"/>
    <w:rsid w:val="00663B7A"/>
    <w:rPr>
      <w:b/>
    </w:rPr>
  </w:style>
  <w:style w:type="paragraph" w:customStyle="1" w:styleId="TitleBold">
    <w:name w:val="Title Bold"/>
    <w:basedOn w:val="Normal"/>
    <w:next w:val="BodyText"/>
    <w:rsid w:val="00663B7A"/>
    <w:pPr>
      <w:jc w:val="center"/>
    </w:pPr>
    <w:rPr>
      <w:b/>
      <w:sz w:val="28"/>
      <w:lang w:val="en-CA"/>
    </w:rPr>
  </w:style>
  <w:style w:type="paragraph" w:customStyle="1" w:styleId="DocsID">
    <w:name w:val="DocsID"/>
    <w:basedOn w:val="Normal"/>
    <w:rsid w:val="00B30F48"/>
    <w:pPr>
      <w:spacing w:before="20"/>
    </w:pPr>
    <w:rPr>
      <w:sz w:val="16"/>
      <w:szCs w:val="20"/>
      <w:lang w:val="en-CA"/>
    </w:rPr>
  </w:style>
  <w:style w:type="paragraph" w:styleId="Revision">
    <w:name w:val="Revision"/>
    <w:hidden/>
    <w:uiPriority w:val="99"/>
    <w:semiHidden/>
    <w:rsid w:val="00915A04"/>
    <w:rPr>
      <w:sz w:val="24"/>
      <w:szCs w:val="24"/>
    </w:rPr>
  </w:style>
  <w:style w:type="character" w:styleId="CommentReference">
    <w:name w:val="annotation reference"/>
    <w:basedOn w:val="DefaultParagraphFont"/>
    <w:uiPriority w:val="99"/>
    <w:semiHidden/>
    <w:unhideWhenUsed/>
    <w:rsid w:val="00B93C29"/>
    <w:rPr>
      <w:sz w:val="16"/>
      <w:szCs w:val="16"/>
    </w:rPr>
  </w:style>
  <w:style w:type="paragraph" w:styleId="CommentText">
    <w:name w:val="annotation text"/>
    <w:basedOn w:val="Normal"/>
    <w:link w:val="CommentTextChar"/>
    <w:uiPriority w:val="99"/>
    <w:unhideWhenUsed/>
    <w:rsid w:val="00B93C29"/>
    <w:rPr>
      <w:sz w:val="20"/>
      <w:szCs w:val="20"/>
    </w:rPr>
  </w:style>
  <w:style w:type="character" w:customStyle="1" w:styleId="CommentTextChar">
    <w:name w:val="Comment Text Char"/>
    <w:basedOn w:val="DefaultParagraphFont"/>
    <w:link w:val="CommentText"/>
    <w:uiPriority w:val="99"/>
    <w:rsid w:val="00B93C29"/>
  </w:style>
  <w:style w:type="paragraph" w:styleId="CommentSubject">
    <w:name w:val="annotation subject"/>
    <w:basedOn w:val="CommentText"/>
    <w:next w:val="CommentText"/>
    <w:link w:val="CommentSubjectChar"/>
    <w:uiPriority w:val="99"/>
    <w:semiHidden/>
    <w:unhideWhenUsed/>
    <w:rsid w:val="00B93C29"/>
    <w:rPr>
      <w:b/>
      <w:bCs/>
    </w:rPr>
  </w:style>
  <w:style w:type="character" w:customStyle="1" w:styleId="CommentSubjectChar">
    <w:name w:val="Comment Subject Char"/>
    <w:basedOn w:val="CommentTextChar"/>
    <w:link w:val="CommentSubject"/>
    <w:uiPriority w:val="99"/>
    <w:semiHidden/>
    <w:rsid w:val="00B93C29"/>
    <w:rPr>
      <w:b/>
      <w:bCs/>
    </w:rPr>
  </w:style>
  <w:style w:type="paragraph" w:styleId="ListParagraph">
    <w:name w:val="List Paragraph"/>
    <w:basedOn w:val="Normal"/>
    <w:uiPriority w:val="34"/>
    <w:qFormat/>
    <w:rsid w:val="00660DDA"/>
    <w:pPr>
      <w:ind w:left="720"/>
      <w:contextualSpacing/>
    </w:pPr>
  </w:style>
  <w:style w:type="table" w:styleId="TableGrid">
    <w:name w:val="Table Grid"/>
    <w:basedOn w:val="TableNormal"/>
    <w:uiPriority w:val="59"/>
    <w:rsid w:val="002C34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73382C"/>
    <w:rPr>
      <w:color w:val="666666"/>
    </w:rPr>
  </w:style>
  <w:style w:type="character" w:styleId="Mention">
    <w:name w:val="Mention"/>
    <w:basedOn w:val="DefaultParagraphFont"/>
    <w:uiPriority w:val="99"/>
    <w:unhideWhenUsed/>
    <w:rsid w:val="000B53CA"/>
    <w:rPr>
      <w:color w:val="2B579A"/>
      <w:shd w:val="clear" w:color="auto" w:fill="E1DFDD"/>
    </w:rPr>
  </w:style>
  <w:style w:type="character" w:styleId="PageNumber">
    <w:name w:val="page number"/>
    <w:basedOn w:val="DefaultParagraphFont"/>
    <w:uiPriority w:val="99"/>
    <w:semiHidden/>
    <w:unhideWhenUsed/>
    <w:rsid w:val="00986EB6"/>
  </w:style>
  <w:style w:type="character" w:styleId="Hyperlink">
    <w:name w:val="Hyperlink"/>
    <w:uiPriority w:val="99"/>
    <w:unhideWhenUsed/>
    <w:rsid w:val="00F52C53"/>
    <w:rPr>
      <w:color w:val="0000FF"/>
      <w:u w:val="single"/>
    </w:rPr>
  </w:style>
  <w:style w:type="character" w:styleId="FollowedHyperlink">
    <w:name w:val="FollowedHyperlink"/>
    <w:basedOn w:val="DefaultParagraphFont"/>
    <w:uiPriority w:val="99"/>
    <w:semiHidden/>
    <w:unhideWhenUsed/>
    <w:rsid w:val="00ED3A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B40D400-C965-4CE9-8D2F-74D90260F9AA}"/>
      </w:docPartPr>
      <w:docPartBody>
        <w:p w:rsidR="00115807" w:rsidRDefault="00115807">
          <w:r w:rsidRPr="007A4D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07"/>
    <w:rsid w:val="000D4DC6"/>
    <w:rsid w:val="00115807"/>
    <w:rsid w:val="001533CC"/>
    <w:rsid w:val="00186DF5"/>
    <w:rsid w:val="00236974"/>
    <w:rsid w:val="00295C52"/>
    <w:rsid w:val="002D42C7"/>
    <w:rsid w:val="003E683B"/>
    <w:rsid w:val="004C60D1"/>
    <w:rsid w:val="0051237D"/>
    <w:rsid w:val="005A1878"/>
    <w:rsid w:val="0064147C"/>
    <w:rsid w:val="006545AF"/>
    <w:rsid w:val="006A2CC3"/>
    <w:rsid w:val="006D4E05"/>
    <w:rsid w:val="00707575"/>
    <w:rsid w:val="00734BC3"/>
    <w:rsid w:val="007970DB"/>
    <w:rsid w:val="007C0C1F"/>
    <w:rsid w:val="008763F7"/>
    <w:rsid w:val="008B5512"/>
    <w:rsid w:val="008C5355"/>
    <w:rsid w:val="00A71784"/>
    <w:rsid w:val="00C13FE0"/>
    <w:rsid w:val="00EF3C7C"/>
    <w:rsid w:val="00FA598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580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7FE06CA80ACA4A87E77E0928F7CE18" ma:contentTypeVersion="3" ma:contentTypeDescription="Create a new document." ma:contentTypeScope="" ma:versionID="3b83743c591a4f9d63c0cdf86a46ae65">
  <xsd:schema xmlns:xsd="http://www.w3.org/2001/XMLSchema" xmlns:xs="http://www.w3.org/2001/XMLSchema" xmlns:p="http://schemas.microsoft.com/office/2006/metadata/properties" xmlns:ns2="7bb3d55c-4901-4abe-91d5-d3d9641ba953" targetNamespace="http://schemas.microsoft.com/office/2006/metadata/properties" ma:root="true" ma:fieldsID="1bebd421451b0e6fd7ce2974926c10e5" ns2:_="">
    <xsd:import namespace="7bb3d55c-4901-4abe-91d5-d3d9641ba9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3d55c-4901-4abe-91d5-d3d9641ba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0B7B5-9857-4D64-962D-F1A2DBFAA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A45BF8-C60B-4398-B0A7-0530E8574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3d55c-4901-4abe-91d5-d3d9641ba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C3801-CFF7-430C-AB91-B13196BEC616}">
  <ds:schemaRefs>
    <ds:schemaRef ds:uri="http://schemas.microsoft.com/sharepoint/v3/contenttype/forms"/>
  </ds:schemaRefs>
</ds:datastoreItem>
</file>

<file path=customXml/itemProps4.xml><?xml version="1.0" encoding="utf-8"?>
<ds:datastoreItem xmlns:ds="http://schemas.openxmlformats.org/officeDocument/2006/customXml" ds:itemID="{4938ED27-748E-42DF-ADBB-191DA5E3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7794</Words>
  <Characters>44432</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52122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dc:creator>
  <cp:keywords/>
  <dc:description/>
  <cp:lastModifiedBy>Vijai Dasrat</cp:lastModifiedBy>
  <cp:revision>2</cp:revision>
  <cp:lastPrinted>2025-09-17T11:26:00Z</cp:lastPrinted>
  <dcterms:created xsi:type="dcterms:W3CDTF">2026-01-23T20:03:00Z</dcterms:created>
  <dcterms:modified xsi:type="dcterms:W3CDTF">2026-01-23T20:03:00Z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WordLXNoDocIdAutoUpdate">
    <vt:lpwstr>False</vt:lpwstr>
  </op:property>
  <op:property fmtid="{D5CDD505-2E9C-101B-9397-08002B2CF9AE}" pid="3" name="DOCUMENTID-SETTINGS">
    <vt:lpwstr>0</vt:lpwstr>
  </op:property>
  <op:property fmtid="{D5CDD505-2E9C-101B-9397-08002B2CF9AE}" pid="4" name="ContentTypeId">
    <vt:lpwstr>0x010100BD7FE06CA80ACA4A87E77E0928F7CE18</vt:lpwstr>
  </op:property>
  <op:property fmtid="{D5CDD505-2E9C-101B-9397-08002B2CF9AE}" pid="5" name="ndDocumentId">
    <vt:lpwstr>1401-9934-7483</vt:lpwstr>
  </op:property>
</op:Properties>
</file>