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ACA1" w14:textId="06A03720" w:rsidR="007C01F5" w:rsidRPr="003E027B" w:rsidRDefault="007C01F5" w:rsidP="00497CA4">
      <w:pPr>
        <w:jc w:val="center"/>
      </w:pPr>
      <w:r w:rsidRPr="003E027B">
        <w:t>WILLMS &amp; SHIER ENVIRONMENTAL LAW MOOT COURT COMPETITION</w:t>
      </w:r>
      <w:r w:rsidR="00803711">
        <w:t xml:space="preserve"> </w:t>
      </w:r>
      <w:r w:rsidR="00915A04">
        <w:t>202</w:t>
      </w:r>
      <w:r w:rsidR="00B72782">
        <w:t>6</w:t>
      </w:r>
    </w:p>
    <w:p w14:paraId="73FC59A0" w14:textId="77777777" w:rsidR="007C01F5" w:rsidRDefault="007C01F5" w:rsidP="00497CA4"/>
    <w:p w14:paraId="330757B8" w14:textId="77777777" w:rsidR="007C01F5" w:rsidRPr="003E027B" w:rsidRDefault="007C01F5" w:rsidP="00497CA4"/>
    <w:p w14:paraId="3BBD0CC7" w14:textId="2C2F5A5E" w:rsidR="007C01F5" w:rsidRPr="003E027B" w:rsidRDefault="007C01F5" w:rsidP="00497CA4">
      <w:pPr>
        <w:jc w:val="right"/>
      </w:pPr>
      <w:r w:rsidRPr="003E027B">
        <w:t>S.</w:t>
      </w:r>
      <w:r w:rsidR="00FC1F68">
        <w:t>E.</w:t>
      </w:r>
      <w:r w:rsidRPr="003E027B">
        <w:t>M.C.C. File Number</w:t>
      </w:r>
      <w:r w:rsidR="00292738">
        <w:t>:</w:t>
      </w:r>
      <w:r w:rsidR="00803711">
        <w:t xml:space="preserve"> 0</w:t>
      </w:r>
      <w:r w:rsidR="00915A04">
        <w:t>2</w:t>
      </w:r>
      <w:r w:rsidR="00803711">
        <w:t>-</w:t>
      </w:r>
      <w:r w:rsidR="007541A0">
        <w:t>14</w:t>
      </w:r>
      <w:r w:rsidR="00803711">
        <w:t>-</w:t>
      </w:r>
      <w:r w:rsidR="00915A04">
        <w:t>202</w:t>
      </w:r>
      <w:r w:rsidR="007541A0">
        <w:t>6</w:t>
      </w:r>
    </w:p>
    <w:p w14:paraId="5EA00D73" w14:textId="77777777" w:rsidR="007C01F5" w:rsidRPr="003E027B" w:rsidRDefault="007C01F5" w:rsidP="00497CA4"/>
    <w:p w14:paraId="3D30E8D7" w14:textId="77777777" w:rsidR="007C01F5" w:rsidRPr="003E027B" w:rsidRDefault="007C01F5" w:rsidP="00497CA4">
      <w:pPr>
        <w:jc w:val="center"/>
        <w:rPr>
          <w:b/>
        </w:rPr>
      </w:pPr>
      <w:r w:rsidRPr="003E027B">
        <w:rPr>
          <w:b/>
        </w:rPr>
        <w:t xml:space="preserve">IN THE SUPREME </w:t>
      </w:r>
      <w:r w:rsidR="00FC1F68">
        <w:rPr>
          <w:b/>
        </w:rPr>
        <w:t xml:space="preserve">ENVIRONMENTAL </w:t>
      </w:r>
      <w:r w:rsidRPr="003E027B">
        <w:rPr>
          <w:b/>
        </w:rPr>
        <w:t>MOOT COURT OF CANADA</w:t>
      </w:r>
    </w:p>
    <w:p w14:paraId="186167CF" w14:textId="77777777" w:rsidR="007C01F5" w:rsidRPr="003E027B" w:rsidRDefault="007C01F5" w:rsidP="00497CA4">
      <w:pPr>
        <w:jc w:val="center"/>
      </w:pPr>
    </w:p>
    <w:p w14:paraId="6BD832A9" w14:textId="5A4B33D9" w:rsidR="007C01F5" w:rsidRPr="00665D50" w:rsidRDefault="007C01F5" w:rsidP="00497CA4">
      <w:pPr>
        <w:jc w:val="center"/>
        <w:rPr>
          <w:b/>
        </w:rPr>
      </w:pPr>
      <w:r w:rsidRPr="00665D50">
        <w:rPr>
          <w:b/>
        </w:rPr>
        <w:t>(</w:t>
      </w:r>
      <w:r w:rsidR="00915A04" w:rsidRPr="00665D50">
        <w:rPr>
          <w:b/>
        </w:rPr>
        <w:t xml:space="preserve">ON APPEAL FROM THE </w:t>
      </w:r>
      <w:r w:rsidR="007541A0">
        <w:rPr>
          <w:b/>
        </w:rPr>
        <w:t>ONTARIO</w:t>
      </w:r>
      <w:r w:rsidR="00915A04">
        <w:rPr>
          <w:b/>
        </w:rPr>
        <w:t xml:space="preserve"> COURT OF </w:t>
      </w:r>
      <w:r w:rsidR="00B72782">
        <w:rPr>
          <w:b/>
        </w:rPr>
        <w:t>JUSTICE</w:t>
      </w:r>
      <w:r w:rsidRPr="00665D50">
        <w:rPr>
          <w:b/>
        </w:rPr>
        <w:t>)</w:t>
      </w:r>
    </w:p>
    <w:p w14:paraId="601C5BA7" w14:textId="77777777" w:rsidR="007C01F5" w:rsidRPr="003E027B" w:rsidRDefault="007C01F5" w:rsidP="00497CA4"/>
    <w:p w14:paraId="3AF502FD" w14:textId="77777777" w:rsidR="007C01F5" w:rsidRPr="003E027B" w:rsidRDefault="007C01F5" w:rsidP="00497CA4">
      <w:r w:rsidRPr="003E027B">
        <w:t>B E T W E E N:</w:t>
      </w:r>
    </w:p>
    <w:p w14:paraId="64807E46" w14:textId="77777777" w:rsidR="007C01F5" w:rsidRPr="003E027B" w:rsidRDefault="007C01F5" w:rsidP="00497CA4"/>
    <w:p w14:paraId="7EF550F7" w14:textId="51D5AB01" w:rsidR="00DB21A8" w:rsidRPr="003E027B" w:rsidRDefault="00E91273" w:rsidP="00497CA4">
      <w:pPr>
        <w:jc w:val="center"/>
        <w:rPr>
          <w:b/>
        </w:rPr>
      </w:pPr>
      <w:r>
        <w:rPr>
          <w:b/>
        </w:rPr>
        <w:t>HIS MAJESTY THE KING</w:t>
      </w:r>
    </w:p>
    <w:p w14:paraId="31BAEDDC" w14:textId="77777777" w:rsidR="007C01F5" w:rsidRDefault="007C01F5" w:rsidP="00497CA4">
      <w:pPr>
        <w:jc w:val="center"/>
      </w:pPr>
    </w:p>
    <w:p w14:paraId="6B43E1C4" w14:textId="3F8537BD" w:rsidR="007C01F5" w:rsidRPr="003E027B" w:rsidRDefault="007C01F5" w:rsidP="00497CA4">
      <w:pPr>
        <w:jc w:val="right"/>
      </w:pPr>
      <w:r w:rsidRPr="003E027B">
        <w:t>APPELLANT</w:t>
      </w:r>
    </w:p>
    <w:p w14:paraId="77F5343F" w14:textId="77777777" w:rsidR="007C01F5" w:rsidRPr="003E027B" w:rsidRDefault="007C01F5" w:rsidP="00497CA4">
      <w:pPr>
        <w:jc w:val="right"/>
      </w:pPr>
    </w:p>
    <w:p w14:paraId="14E250D2" w14:textId="77777777" w:rsidR="007C01F5" w:rsidRPr="003E027B" w:rsidRDefault="007C01F5" w:rsidP="00497CA4">
      <w:pPr>
        <w:jc w:val="center"/>
      </w:pPr>
      <w:r w:rsidRPr="003E027B">
        <w:t>- and -</w:t>
      </w:r>
    </w:p>
    <w:p w14:paraId="49434C8C" w14:textId="77777777" w:rsidR="007C01F5" w:rsidRPr="003E027B" w:rsidRDefault="007C01F5" w:rsidP="00497CA4"/>
    <w:p w14:paraId="35DC82E8" w14:textId="77777777" w:rsidR="007C01F5" w:rsidRPr="003E027B" w:rsidRDefault="007C01F5" w:rsidP="00497CA4"/>
    <w:p w14:paraId="551DAC6D" w14:textId="74F372C9" w:rsidR="00555F8D" w:rsidRPr="00E91273" w:rsidRDefault="008C00C1" w:rsidP="00497CA4">
      <w:pPr>
        <w:jc w:val="center"/>
        <w:rPr>
          <w:b/>
          <w:caps/>
        </w:rPr>
      </w:pPr>
      <w:r w:rsidRPr="00E91273">
        <w:rPr>
          <w:b/>
          <w:caps/>
        </w:rPr>
        <w:t>Consolidated Homes Ltd.</w:t>
      </w:r>
    </w:p>
    <w:p w14:paraId="7BA28D25" w14:textId="77777777" w:rsidR="008C00C1" w:rsidRDefault="008C00C1" w:rsidP="00497CA4">
      <w:pPr>
        <w:jc w:val="right"/>
      </w:pPr>
    </w:p>
    <w:p w14:paraId="2080B3DA" w14:textId="72E4F87C" w:rsidR="00216A01" w:rsidRPr="00D7293C" w:rsidRDefault="00216A01" w:rsidP="00497CA4">
      <w:pPr>
        <w:jc w:val="right"/>
      </w:pPr>
      <w:r w:rsidRPr="00D7293C">
        <w:t>RESPONDENT</w:t>
      </w:r>
    </w:p>
    <w:p w14:paraId="62EF40FC" w14:textId="77777777" w:rsidR="007C01F5" w:rsidRPr="003E027B" w:rsidRDefault="007C01F5" w:rsidP="00497CA4"/>
    <w:p w14:paraId="0F9CDF43" w14:textId="77777777" w:rsidR="007C01F5" w:rsidRDefault="007C01F5" w:rsidP="00497CA4"/>
    <w:p w14:paraId="102DCD68" w14:textId="77777777" w:rsidR="007C01F5" w:rsidRPr="003E027B" w:rsidRDefault="00883093" w:rsidP="00497CA4">
      <w:r>
        <w:rPr>
          <w:noProof/>
          <w:lang w:eastAsia="it-IT"/>
        </w:rPr>
        <mc:AlternateContent>
          <mc:Choice Requires="wps">
            <w:drawing>
              <wp:anchor distT="0" distB="0" distL="114300" distR="114300" simplePos="0" relativeHeight="251657216" behindDoc="0" locked="0" layoutInCell="1" allowOverlap="1" wp14:anchorId="780289D3" wp14:editId="3031C5AA">
                <wp:simplePos x="0" y="0"/>
                <wp:positionH relativeFrom="margin">
                  <wp:align>left</wp:align>
                </wp:positionH>
                <wp:positionV relativeFrom="line">
                  <wp:align>bottom</wp:align>
                </wp:positionV>
                <wp:extent cx="5915025" cy="0"/>
                <wp:effectExtent l="0" t="12700" r="0" b="0"/>
                <wp:wrapNone/>
                <wp:docPr id="115153416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shapetype w14:anchorId="09D623A7" id="_x0000_t32" coordsize="21600,21600" o:spt="32" o:oned="t" path="m,l21600,21600e" filled="f">
                <v:path arrowok="t" fillok="f" o:connecttype="none"/>
                <o:lock v:ext="edit" shapetype="t"/>
              </v:shapetype>
              <v:shape id="AutoShape 3" o:spid="_x0000_s1026" type="#_x0000_t32" style="position:absolute;margin-left:0;margin-top:0;width:465.75pt;height:0;z-index:251657216;visibility:visible;mso-wrap-style:square;mso-width-percent:1000;mso-height-percent:0;mso-wrap-distance-left:9pt;mso-wrap-distance-top:0;mso-wrap-distance-right:9pt;mso-wrap-distance-bottom:0;mso-position-horizontal:left;mso-position-horizontal-relative:margin;mso-position-vertical:bottom;mso-position-vertical-relative:line;mso-width-percent:100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" strokeweight="2.25pt">
                <o:lock v:ext="edit" shapetype="f"/>
                <w10:wrap anchorx="margin" anchory="line"/>
              </v:shape>
            </w:pict>
          </mc:Fallback>
        </mc:AlternateContent>
      </w:r>
    </w:p>
    <w:p w14:paraId="482DCDDF" w14:textId="77777777" w:rsidR="007C01F5" w:rsidRDefault="007C01F5" w:rsidP="00497CA4">
      <w:pPr>
        <w:jc w:val="center"/>
        <w:rPr>
          <w:b/>
        </w:rPr>
      </w:pPr>
      <w:r w:rsidRPr="007C01F5">
        <w:rPr>
          <w:b/>
        </w:rPr>
        <w:t xml:space="preserve">FACTUM OF THE </w:t>
      </w:r>
      <w:r w:rsidR="00EE2290">
        <w:rPr>
          <w:b/>
        </w:rPr>
        <w:t>RESPONDENT</w:t>
      </w:r>
    </w:p>
    <w:p w14:paraId="480CE9BF" w14:textId="0A7C88A3" w:rsidR="00FC4847" w:rsidRDefault="00E91273" w:rsidP="00497CA4">
      <w:pPr>
        <w:jc w:val="center"/>
      </w:pPr>
      <w:r w:rsidRPr="00E91273">
        <w:rPr>
          <w:b/>
          <w:caps/>
        </w:rPr>
        <w:t>Consolidated Homes</w:t>
      </w:r>
      <w:r w:rsidRPr="00E91273">
        <w:rPr>
          <w:b/>
        </w:rPr>
        <w:t xml:space="preserve"> </w:t>
      </w:r>
      <w:r w:rsidR="00DB21A8" w:rsidRPr="00DB21A8">
        <w:rPr>
          <w:b/>
        </w:rPr>
        <w:t>LTD.</w:t>
      </w:r>
    </w:p>
    <w:p w14:paraId="32702652" w14:textId="77777777" w:rsidR="007C01F5" w:rsidRPr="003E027B" w:rsidRDefault="007C01F5" w:rsidP="00497CA4">
      <w:pPr>
        <w:jc w:val="center"/>
      </w:pPr>
      <w:r w:rsidRPr="003E027B">
        <w:t>Pursuant to Rule 12 of the</w:t>
      </w:r>
    </w:p>
    <w:p w14:paraId="137ADAC7" w14:textId="1CA48ABF" w:rsidR="007C01F5" w:rsidRDefault="007C01F5" w:rsidP="00497CA4">
      <w:pPr>
        <w:jc w:val="center"/>
      </w:pPr>
      <w:r w:rsidRPr="003E027B">
        <w:t>Willms &amp; Shier Environmental Law Moot Official</w:t>
      </w:r>
      <w:r w:rsidR="00803711">
        <w:t xml:space="preserve"> Competition Rules </w:t>
      </w:r>
      <w:r w:rsidR="00915A04">
        <w:t>202</w:t>
      </w:r>
      <w:r w:rsidR="00FF7162">
        <w:t>6</w:t>
      </w:r>
    </w:p>
    <w:p w14:paraId="6B27C69A" w14:textId="77777777" w:rsidR="007C01F5" w:rsidRPr="003E027B" w:rsidRDefault="007C01F5" w:rsidP="00497CA4">
      <w:pPr>
        <w:jc w:val="center"/>
      </w:pPr>
    </w:p>
    <w:p w14:paraId="6FFAF8A1" w14:textId="77777777" w:rsidR="007C01F5" w:rsidRPr="003E027B" w:rsidRDefault="00883093" w:rsidP="00497CA4">
      <w:r>
        <w:rPr>
          <w:noProof/>
          <w:lang w:eastAsia="it-IT"/>
        </w:rPr>
        <mc:AlternateContent>
          <mc:Choice Requires="wps">
            <w:drawing>
              <wp:anchor distT="0" distB="0" distL="114300" distR="114300" simplePos="0" relativeHeight="251658240" behindDoc="0" locked="0" layoutInCell="1" allowOverlap="1" wp14:anchorId="146E6B47" wp14:editId="0078DC0F">
                <wp:simplePos x="0" y="0"/>
                <wp:positionH relativeFrom="margin">
                  <wp:align>left</wp:align>
                </wp:positionH>
                <wp:positionV relativeFrom="line">
                  <wp:align>top</wp:align>
                </wp:positionV>
                <wp:extent cx="5913755" cy="0"/>
                <wp:effectExtent l="0" t="12700" r="0" b="0"/>
                <wp:wrapNone/>
                <wp:docPr id="3031804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37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shape w14:anchorId="1CD4153D" id="AutoShape 4" o:spid="_x0000_s1026" type="#_x0000_t32" style="position:absolute;margin-left:0;margin-top:0;width:465.65pt;height:0;z-index:251658240;visibility:visible;mso-wrap-style:square;mso-width-percent:1000;mso-height-percent:0;mso-wrap-distance-left:9pt;mso-wrap-distance-top:0;mso-wrap-distance-right:9pt;mso-wrap-distance-bottom:0;mso-position-horizontal:left;mso-position-horizontal-relative:margin;mso-position-vertical:top;mso-position-vertical-relative:line;mso-width-percent:100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" strokeweight="2.25pt">
                <o:lock v:ext="edit" shapetype="f"/>
                <w10:wrap anchorx="margin" anchory="line"/>
              </v:shape>
            </w:pict>
          </mc:Fallback>
        </mc:AlternateContent>
      </w:r>
    </w:p>
    <w:p w14:paraId="0A212DE8" w14:textId="77777777" w:rsidR="007C01F5" w:rsidRPr="003E027B" w:rsidRDefault="007C01F5" w:rsidP="00497CA4"/>
    <w:p w14:paraId="35EAC2AC" w14:textId="163CFDC4" w:rsidR="00665D50" w:rsidRDefault="007C01F5" w:rsidP="00497CA4">
      <w:pPr>
        <w:jc w:val="right"/>
      </w:pPr>
      <w:r w:rsidRPr="00790A7B">
        <w:t>T</w:t>
      </w:r>
      <w:r w:rsidR="00812A9C">
        <w:t>EAM #</w:t>
      </w:r>
      <w:r w:rsidR="0034467F">
        <w:t xml:space="preserve"> 2026-02</w:t>
      </w:r>
    </w:p>
    <w:p w14:paraId="0A3B0C77" w14:textId="77777777" w:rsidR="000E4220" w:rsidRDefault="000E4220" w:rsidP="00497CA4">
      <w:pPr>
        <w:ind w:left="1440" w:hanging="1440"/>
        <w:rPr>
          <w:b/>
        </w:rPr>
        <w:sectPr w:rsidR="000E4220" w:rsidSect="00194038">
          <w:headerReference w:type="even" r:id="rId9"/>
          <w:headerReference w:type="default" r:id="rId10"/>
          <w:footerReference w:type="even" r:id="rId11"/>
          <w:footerReference w:type="default" r:id="rId12"/>
          <w:pgSz w:w="12240" w:h="15840" w:code="1"/>
          <w:pgMar w:top="1440" w:right="1440" w:bottom="1440" w:left="1440" w:header="720" w:footer="720" w:gutter="0"/>
          <w:cols w:space="720"/>
          <w:titlePg/>
          <w:docGrid w:linePitch="360"/>
        </w:sectPr>
      </w:pPr>
    </w:p>
    <w:p w14:paraId="1659EBC1" w14:textId="77777777" w:rsidR="00665D50" w:rsidRPr="00665D50" w:rsidRDefault="00665D50" w:rsidP="00497CA4">
      <w:pPr>
        <w:ind w:left="1440" w:hanging="1440"/>
        <w:rPr>
          <w:b/>
        </w:rPr>
      </w:pPr>
      <w:r w:rsidRPr="00665D50">
        <w:rPr>
          <w:b/>
        </w:rPr>
        <w:lastRenderedPageBreak/>
        <w:t xml:space="preserve">TO: </w:t>
      </w:r>
      <w:r>
        <w:rPr>
          <w:b/>
        </w:rPr>
        <w:tab/>
      </w:r>
      <w:r w:rsidRPr="00665D50">
        <w:rPr>
          <w:b/>
        </w:rPr>
        <w:t xml:space="preserve">THE REGISTRAR OF THE </w:t>
      </w:r>
      <w:r w:rsidR="000B51BA">
        <w:rPr>
          <w:b/>
        </w:rPr>
        <w:br/>
      </w:r>
      <w:r w:rsidRPr="00665D50">
        <w:rPr>
          <w:b/>
        </w:rPr>
        <w:t>SUPREME ENVIRONMENTAL MOOT COURT OF CANADA</w:t>
      </w:r>
    </w:p>
    <w:p w14:paraId="12B5F946" w14:textId="77777777" w:rsidR="00665D50" w:rsidRPr="00665D50" w:rsidRDefault="00665D50" w:rsidP="00497CA4">
      <w:pPr>
        <w:ind w:left="1440" w:hanging="1440"/>
        <w:rPr>
          <w:b/>
        </w:rPr>
      </w:pPr>
    </w:p>
    <w:p w14:paraId="6A28A1B5" w14:textId="77777777" w:rsidR="00665D50" w:rsidRDefault="00665D50" w:rsidP="00497CA4">
      <w:pPr>
        <w:ind w:left="1440" w:hanging="1440"/>
        <w:rPr>
          <w:b/>
        </w:rPr>
      </w:pPr>
      <w:r w:rsidRPr="00665D50">
        <w:rPr>
          <w:b/>
        </w:rPr>
        <w:t xml:space="preserve">AND TO: </w:t>
      </w:r>
      <w:r>
        <w:rPr>
          <w:b/>
        </w:rPr>
        <w:tab/>
      </w:r>
      <w:r w:rsidRPr="00665D50">
        <w:rPr>
          <w:b/>
        </w:rPr>
        <w:t>ALL REGISTERED TEAMS</w:t>
      </w:r>
    </w:p>
    <w:p w14:paraId="33D08E32" w14:textId="77777777" w:rsidR="00896769" w:rsidRDefault="00896769" w:rsidP="00497CA4">
      <w:pPr>
        <w:sectPr w:rsidR="00896769" w:rsidSect="00194038">
          <w:pgSz w:w="12240" w:h="15840" w:code="1"/>
          <w:pgMar w:top="1440" w:right="1440" w:bottom="1440" w:left="1440" w:header="720" w:footer="720" w:gutter="0"/>
          <w:cols w:space="720"/>
          <w:titlePg/>
          <w:docGrid w:linePitch="360"/>
        </w:sectPr>
      </w:pPr>
    </w:p>
    <w:p w14:paraId="62EBEE27" w14:textId="77777777" w:rsidR="00A85602" w:rsidRDefault="00037BFB" w:rsidP="00497CA4">
      <w:pPr>
        <w:spacing w:line="360" w:lineRule="auto"/>
        <w:jc w:val="center"/>
        <w:rPr>
          <w:b/>
        </w:rPr>
      </w:pPr>
      <w:r w:rsidRPr="00037BFB">
        <w:rPr>
          <w:b/>
        </w:rPr>
        <w:lastRenderedPageBreak/>
        <w:t>TABLE OF CONTENTS</w:t>
      </w:r>
    </w:p>
    <w:p w14:paraId="101C2DC8" w14:textId="77777777" w:rsidR="00665D50" w:rsidRDefault="00665D50" w:rsidP="00497CA4">
      <w:pPr>
        <w:spacing w:line="360" w:lineRule="auto"/>
        <w:jc w:val="right"/>
      </w:pPr>
      <w:r>
        <w:rPr>
          <w:b/>
        </w:rPr>
        <w:t>Page No.</w:t>
      </w:r>
    </w:p>
    <w:p w14:paraId="6026C257" w14:textId="31DB2091" w:rsidR="0007124A" w:rsidRDefault="009F5FF0" w:rsidP="0007124A">
      <w:pPr>
        <w:pStyle w:val="TOC1"/>
        <w:tabs>
          <w:tab w:val="right" w:leader="dot" w:pos="9350"/>
        </w:tabs>
        <w:spacing w:line="360" w:lineRule="auto"/>
        <w:rPr>
          <w:rFonts w:asciiTheme="minorHAnsi" w:eastAsiaTheme="minorEastAsia" w:hAnsiTheme="minorHAnsi" w:cstheme="minorBidi"/>
          <w:noProof/>
          <w:kern w:val="2"/>
          <w:lang w:val="en-CA"/>
          <w14:ligatures w14:val="standardContextual"/>
        </w:rPr>
      </w:pPr>
      <w:r>
        <w:fldChar w:fldCharType="begin"/>
      </w:r>
      <w:r w:rsidR="00847C80">
        <w:instrText xml:space="preserve"> TOC \o "1-3" \u </w:instrText>
      </w:r>
      <w:r>
        <w:fldChar w:fldCharType="separate"/>
      </w:r>
      <w:r w:rsidR="0007124A">
        <w:rPr>
          <w:noProof/>
        </w:rPr>
        <w:t>PART I -- OVERVIEW AND STATEMENT OF FACTS</w:t>
      </w:r>
      <w:r w:rsidR="0007124A">
        <w:rPr>
          <w:noProof/>
        </w:rPr>
        <w:tab/>
      </w:r>
      <w:r w:rsidR="0007124A">
        <w:rPr>
          <w:noProof/>
        </w:rPr>
        <w:fldChar w:fldCharType="begin"/>
      </w:r>
      <w:r w:rsidR="0007124A">
        <w:rPr>
          <w:noProof/>
        </w:rPr>
        <w:instrText xml:space="preserve"> PAGEREF _Toc220051329 \h </w:instrText>
      </w:r>
      <w:r w:rsidR="0007124A">
        <w:rPr>
          <w:noProof/>
        </w:rPr>
      </w:r>
      <w:r w:rsidR="0007124A">
        <w:rPr>
          <w:noProof/>
        </w:rPr>
        <w:fldChar w:fldCharType="separate"/>
      </w:r>
      <w:r w:rsidR="00C85C02">
        <w:rPr>
          <w:noProof/>
        </w:rPr>
        <w:t>1</w:t>
      </w:r>
      <w:r w:rsidR="0007124A">
        <w:rPr>
          <w:noProof/>
        </w:rPr>
        <w:fldChar w:fldCharType="end"/>
      </w:r>
    </w:p>
    <w:p w14:paraId="49FA65B0" w14:textId="62495529" w:rsidR="0007124A" w:rsidRDefault="0007124A" w:rsidP="0007124A">
      <w:pPr>
        <w:pStyle w:val="TOC2"/>
        <w:tabs>
          <w:tab w:val="left" w:pos="72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A.</w:t>
      </w:r>
      <w:r>
        <w:rPr>
          <w:rFonts w:asciiTheme="minorHAnsi" w:eastAsiaTheme="minorEastAsia" w:hAnsiTheme="minorHAnsi" w:cstheme="minorBidi"/>
          <w:noProof/>
          <w:kern w:val="2"/>
          <w:lang w:val="en-CA"/>
          <w14:ligatures w14:val="standardContextual"/>
        </w:rPr>
        <w:tab/>
      </w:r>
      <w:r>
        <w:rPr>
          <w:noProof/>
        </w:rPr>
        <w:t>Overview of the Respondent’s Position</w:t>
      </w:r>
      <w:r>
        <w:rPr>
          <w:noProof/>
        </w:rPr>
        <w:tab/>
      </w:r>
      <w:r>
        <w:rPr>
          <w:noProof/>
        </w:rPr>
        <w:fldChar w:fldCharType="begin"/>
      </w:r>
      <w:r>
        <w:rPr>
          <w:noProof/>
        </w:rPr>
        <w:instrText xml:space="preserve"> PAGEREF _Toc220051330 \h </w:instrText>
      </w:r>
      <w:r>
        <w:rPr>
          <w:noProof/>
        </w:rPr>
      </w:r>
      <w:r>
        <w:rPr>
          <w:noProof/>
        </w:rPr>
        <w:fldChar w:fldCharType="separate"/>
      </w:r>
      <w:r w:rsidR="00C85C02">
        <w:rPr>
          <w:noProof/>
        </w:rPr>
        <w:t>1</w:t>
      </w:r>
      <w:r>
        <w:rPr>
          <w:noProof/>
        </w:rPr>
        <w:fldChar w:fldCharType="end"/>
      </w:r>
    </w:p>
    <w:p w14:paraId="261BE1DD" w14:textId="00315D47" w:rsidR="0007124A" w:rsidRDefault="0007124A" w:rsidP="0007124A">
      <w:pPr>
        <w:pStyle w:val="TOC2"/>
        <w:tabs>
          <w:tab w:val="left" w:pos="72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B.</w:t>
      </w:r>
      <w:r>
        <w:rPr>
          <w:rFonts w:asciiTheme="minorHAnsi" w:eastAsiaTheme="minorEastAsia" w:hAnsiTheme="minorHAnsi" w:cstheme="minorBidi"/>
          <w:noProof/>
          <w:kern w:val="2"/>
          <w:lang w:val="en-CA"/>
          <w14:ligatures w14:val="standardContextual"/>
        </w:rPr>
        <w:tab/>
      </w:r>
      <w:r>
        <w:rPr>
          <w:noProof/>
        </w:rPr>
        <w:t>Respondent’s Position with Respect to the Appellant’s Statement of Facts</w:t>
      </w:r>
      <w:r>
        <w:rPr>
          <w:noProof/>
        </w:rPr>
        <w:tab/>
      </w:r>
      <w:r>
        <w:rPr>
          <w:noProof/>
        </w:rPr>
        <w:fldChar w:fldCharType="begin"/>
      </w:r>
      <w:r>
        <w:rPr>
          <w:noProof/>
        </w:rPr>
        <w:instrText xml:space="preserve"> PAGEREF _Toc220051331 \h </w:instrText>
      </w:r>
      <w:r>
        <w:rPr>
          <w:noProof/>
        </w:rPr>
      </w:r>
      <w:r>
        <w:rPr>
          <w:noProof/>
        </w:rPr>
        <w:fldChar w:fldCharType="separate"/>
      </w:r>
      <w:r w:rsidR="00C85C02">
        <w:rPr>
          <w:noProof/>
        </w:rPr>
        <w:t>2</w:t>
      </w:r>
      <w:r>
        <w:rPr>
          <w:noProof/>
        </w:rPr>
        <w:fldChar w:fldCharType="end"/>
      </w:r>
    </w:p>
    <w:p w14:paraId="16B4955C" w14:textId="66DAF23C" w:rsidR="0007124A" w:rsidRDefault="0007124A" w:rsidP="0007124A">
      <w:pPr>
        <w:pStyle w:val="TOC3"/>
        <w:tabs>
          <w:tab w:val="left" w:pos="96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w:t>
      </w:r>
      <w:r>
        <w:rPr>
          <w:rFonts w:asciiTheme="minorHAnsi" w:eastAsiaTheme="minorEastAsia" w:hAnsiTheme="minorHAnsi" w:cstheme="minorBidi"/>
          <w:noProof/>
          <w:kern w:val="2"/>
          <w:lang w:val="en-CA"/>
          <w14:ligatures w14:val="standardContextual"/>
        </w:rPr>
        <w:tab/>
      </w:r>
      <w:r>
        <w:rPr>
          <w:noProof/>
        </w:rPr>
        <w:t>Damage Caused by CHL</w:t>
      </w:r>
      <w:r>
        <w:rPr>
          <w:noProof/>
        </w:rPr>
        <w:tab/>
      </w:r>
      <w:r>
        <w:rPr>
          <w:noProof/>
        </w:rPr>
        <w:fldChar w:fldCharType="begin"/>
      </w:r>
      <w:r>
        <w:rPr>
          <w:noProof/>
        </w:rPr>
        <w:instrText xml:space="preserve"> PAGEREF _Toc220051332 \h </w:instrText>
      </w:r>
      <w:r>
        <w:rPr>
          <w:noProof/>
        </w:rPr>
      </w:r>
      <w:r>
        <w:rPr>
          <w:noProof/>
        </w:rPr>
        <w:fldChar w:fldCharType="separate"/>
      </w:r>
      <w:r w:rsidR="00C85C02">
        <w:rPr>
          <w:noProof/>
        </w:rPr>
        <w:t>2</w:t>
      </w:r>
      <w:r>
        <w:rPr>
          <w:noProof/>
        </w:rPr>
        <w:fldChar w:fldCharType="end"/>
      </w:r>
    </w:p>
    <w:p w14:paraId="28D29522" w14:textId="286CB0EC" w:rsidR="0007124A" w:rsidRDefault="0007124A" w:rsidP="0007124A">
      <w:pPr>
        <w:pStyle w:val="TOC3"/>
        <w:tabs>
          <w:tab w:val="left" w:pos="120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(ii)</w:t>
      </w:r>
      <w:r>
        <w:rPr>
          <w:rFonts w:asciiTheme="minorHAnsi" w:eastAsiaTheme="minorEastAsia" w:hAnsiTheme="minorHAnsi" w:cstheme="minorBidi"/>
          <w:noProof/>
          <w:kern w:val="2"/>
          <w:lang w:val="en-CA"/>
          <w14:ligatures w14:val="standardContextual"/>
        </w:rPr>
        <w:tab/>
      </w:r>
      <w:r>
        <w:rPr>
          <w:noProof/>
        </w:rPr>
        <w:t>Evidence Established in the Lower Courts</w:t>
      </w:r>
      <w:r>
        <w:rPr>
          <w:noProof/>
        </w:rPr>
        <w:tab/>
      </w:r>
      <w:r>
        <w:rPr>
          <w:noProof/>
        </w:rPr>
        <w:fldChar w:fldCharType="begin"/>
      </w:r>
      <w:r>
        <w:rPr>
          <w:noProof/>
        </w:rPr>
        <w:instrText xml:space="preserve"> PAGEREF _Toc220051333 \h </w:instrText>
      </w:r>
      <w:r>
        <w:rPr>
          <w:noProof/>
        </w:rPr>
      </w:r>
      <w:r>
        <w:rPr>
          <w:noProof/>
        </w:rPr>
        <w:fldChar w:fldCharType="separate"/>
      </w:r>
      <w:r w:rsidR="00C85C02">
        <w:rPr>
          <w:noProof/>
        </w:rPr>
        <w:t>3</w:t>
      </w:r>
      <w:r>
        <w:rPr>
          <w:noProof/>
        </w:rPr>
        <w:fldChar w:fldCharType="end"/>
      </w:r>
    </w:p>
    <w:p w14:paraId="31B0015C" w14:textId="6BCFA9D6" w:rsidR="0007124A" w:rsidRDefault="0007124A" w:rsidP="0007124A">
      <w:pPr>
        <w:pStyle w:val="TOC1"/>
        <w:tabs>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PART II -- THE RESPONDENT’S POSITION WITH RESPECT TO THE APPELLANT’S QUESTIONS IN ISSUE</w:t>
      </w:r>
      <w:r>
        <w:rPr>
          <w:noProof/>
        </w:rPr>
        <w:tab/>
      </w:r>
      <w:r>
        <w:rPr>
          <w:noProof/>
        </w:rPr>
        <w:fldChar w:fldCharType="begin"/>
      </w:r>
      <w:r>
        <w:rPr>
          <w:noProof/>
        </w:rPr>
        <w:instrText xml:space="preserve"> PAGEREF _Toc220051334 \h </w:instrText>
      </w:r>
      <w:r>
        <w:rPr>
          <w:noProof/>
        </w:rPr>
      </w:r>
      <w:r>
        <w:rPr>
          <w:noProof/>
        </w:rPr>
        <w:fldChar w:fldCharType="separate"/>
      </w:r>
      <w:r w:rsidR="00C85C02">
        <w:rPr>
          <w:noProof/>
        </w:rPr>
        <w:t>4</w:t>
      </w:r>
      <w:r>
        <w:rPr>
          <w:noProof/>
        </w:rPr>
        <w:fldChar w:fldCharType="end"/>
      </w:r>
    </w:p>
    <w:p w14:paraId="4830EF41" w14:textId="34381E15" w:rsidR="0007124A" w:rsidRDefault="0007124A" w:rsidP="0007124A">
      <w:pPr>
        <w:pStyle w:val="TOC1"/>
        <w:tabs>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PART III -- ARGUMENT</w:t>
      </w:r>
      <w:r>
        <w:rPr>
          <w:noProof/>
        </w:rPr>
        <w:tab/>
      </w:r>
      <w:r>
        <w:rPr>
          <w:noProof/>
        </w:rPr>
        <w:fldChar w:fldCharType="begin"/>
      </w:r>
      <w:r>
        <w:rPr>
          <w:noProof/>
        </w:rPr>
        <w:instrText xml:space="preserve"> PAGEREF _Toc220051335 \h </w:instrText>
      </w:r>
      <w:r>
        <w:rPr>
          <w:noProof/>
        </w:rPr>
      </w:r>
      <w:r>
        <w:rPr>
          <w:noProof/>
        </w:rPr>
        <w:fldChar w:fldCharType="separate"/>
      </w:r>
      <w:r w:rsidR="00C85C02">
        <w:rPr>
          <w:noProof/>
        </w:rPr>
        <w:t>4</w:t>
      </w:r>
      <w:r>
        <w:rPr>
          <w:noProof/>
        </w:rPr>
        <w:fldChar w:fldCharType="end"/>
      </w:r>
    </w:p>
    <w:p w14:paraId="1857595F" w14:textId="1C9145B6" w:rsidR="0007124A" w:rsidRDefault="0007124A" w:rsidP="0007124A">
      <w:pPr>
        <w:pStyle w:val="TOC2"/>
        <w:tabs>
          <w:tab w:val="left" w:pos="72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A.</w:t>
      </w:r>
      <w:r>
        <w:rPr>
          <w:rFonts w:asciiTheme="minorHAnsi" w:eastAsiaTheme="minorEastAsia" w:hAnsiTheme="minorHAnsi" w:cstheme="minorBidi"/>
          <w:noProof/>
          <w:kern w:val="2"/>
          <w:lang w:val="en-CA"/>
          <w14:ligatures w14:val="standardContextual"/>
        </w:rPr>
        <w:tab/>
      </w:r>
      <w:r>
        <w:rPr>
          <w:noProof/>
        </w:rPr>
        <w:t>Standard of Review</w:t>
      </w:r>
      <w:r>
        <w:rPr>
          <w:noProof/>
        </w:rPr>
        <w:tab/>
      </w:r>
      <w:r>
        <w:rPr>
          <w:noProof/>
        </w:rPr>
        <w:fldChar w:fldCharType="begin"/>
      </w:r>
      <w:r>
        <w:rPr>
          <w:noProof/>
        </w:rPr>
        <w:instrText xml:space="preserve"> PAGEREF _Toc220051336 \h </w:instrText>
      </w:r>
      <w:r>
        <w:rPr>
          <w:noProof/>
        </w:rPr>
      </w:r>
      <w:r>
        <w:rPr>
          <w:noProof/>
        </w:rPr>
        <w:fldChar w:fldCharType="separate"/>
      </w:r>
      <w:r w:rsidR="00C85C02">
        <w:rPr>
          <w:noProof/>
        </w:rPr>
        <w:t>4</w:t>
      </w:r>
      <w:r>
        <w:rPr>
          <w:noProof/>
        </w:rPr>
        <w:fldChar w:fldCharType="end"/>
      </w:r>
    </w:p>
    <w:p w14:paraId="6A0C534C" w14:textId="14F1E91A" w:rsidR="0007124A" w:rsidRDefault="0007124A" w:rsidP="0007124A">
      <w:pPr>
        <w:pStyle w:val="TOC2"/>
        <w:tabs>
          <w:tab w:val="left" w:pos="72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B.</w:t>
      </w:r>
      <w:r>
        <w:rPr>
          <w:rFonts w:asciiTheme="minorHAnsi" w:eastAsiaTheme="minorEastAsia" w:hAnsiTheme="minorHAnsi" w:cstheme="minorBidi"/>
          <w:noProof/>
          <w:kern w:val="2"/>
          <w:lang w:val="en-CA"/>
          <w14:ligatures w14:val="standardContextual"/>
        </w:rPr>
        <w:tab/>
      </w:r>
      <w:r>
        <w:rPr>
          <w:noProof/>
        </w:rPr>
        <w:t>Issue 1: The ONCJ was Correct in Finding that the Trial Justice Should Not Have Relied on Evidence of Blanding’s Turtle Sightings Before and After the Time of the Offence</w:t>
      </w:r>
      <w:r>
        <w:rPr>
          <w:noProof/>
        </w:rPr>
        <w:tab/>
      </w:r>
      <w:r>
        <w:rPr>
          <w:noProof/>
        </w:rPr>
        <w:fldChar w:fldCharType="begin"/>
      </w:r>
      <w:r>
        <w:rPr>
          <w:noProof/>
        </w:rPr>
        <w:instrText xml:space="preserve"> PAGEREF _Toc220051337 \h </w:instrText>
      </w:r>
      <w:r>
        <w:rPr>
          <w:noProof/>
        </w:rPr>
      </w:r>
      <w:r>
        <w:rPr>
          <w:noProof/>
        </w:rPr>
        <w:fldChar w:fldCharType="separate"/>
      </w:r>
      <w:r w:rsidR="00C85C02">
        <w:rPr>
          <w:noProof/>
        </w:rPr>
        <w:t>5</w:t>
      </w:r>
      <w:r>
        <w:rPr>
          <w:noProof/>
        </w:rPr>
        <w:fldChar w:fldCharType="end"/>
      </w:r>
    </w:p>
    <w:p w14:paraId="75E476E1" w14:textId="4C5CCEA2" w:rsidR="0007124A" w:rsidRDefault="0007124A" w:rsidP="0007124A">
      <w:pPr>
        <w:pStyle w:val="TOC3"/>
        <w:tabs>
          <w:tab w:val="left" w:pos="96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w:t>
      </w:r>
      <w:r>
        <w:rPr>
          <w:rFonts w:asciiTheme="minorHAnsi" w:eastAsiaTheme="minorEastAsia" w:hAnsiTheme="minorHAnsi" w:cstheme="minorBidi"/>
          <w:noProof/>
          <w:kern w:val="2"/>
          <w:lang w:val="en-CA"/>
          <w14:ligatures w14:val="standardContextual"/>
        </w:rPr>
        <w:tab/>
      </w:r>
      <w:r>
        <w:rPr>
          <w:noProof/>
        </w:rPr>
        <w:t>The Inference of Guilt Must Be the Only Reasonable Inference that the Circumstantial Evidence Permits</w:t>
      </w:r>
      <w:r>
        <w:rPr>
          <w:noProof/>
        </w:rPr>
        <w:tab/>
      </w:r>
      <w:r>
        <w:rPr>
          <w:noProof/>
        </w:rPr>
        <w:fldChar w:fldCharType="begin"/>
      </w:r>
      <w:r>
        <w:rPr>
          <w:noProof/>
        </w:rPr>
        <w:instrText xml:space="preserve"> PAGEREF _Toc220051338 \h </w:instrText>
      </w:r>
      <w:r>
        <w:rPr>
          <w:noProof/>
        </w:rPr>
      </w:r>
      <w:r>
        <w:rPr>
          <w:noProof/>
        </w:rPr>
        <w:fldChar w:fldCharType="separate"/>
      </w:r>
      <w:r w:rsidR="00C85C02">
        <w:rPr>
          <w:noProof/>
        </w:rPr>
        <w:t>5</w:t>
      </w:r>
      <w:r>
        <w:rPr>
          <w:noProof/>
        </w:rPr>
        <w:fldChar w:fldCharType="end"/>
      </w:r>
    </w:p>
    <w:p w14:paraId="58B181A2" w14:textId="270402B4" w:rsidR="0007124A" w:rsidRDefault="0007124A" w:rsidP="0007124A">
      <w:pPr>
        <w:pStyle w:val="TOC3"/>
        <w:tabs>
          <w:tab w:val="left" w:pos="1200"/>
          <w:tab w:val="right" w:leader="dot" w:pos="9350"/>
        </w:tabs>
        <w:spacing w:line="360" w:lineRule="auto"/>
        <w:rPr>
          <w:rFonts w:asciiTheme="minorHAnsi" w:eastAsiaTheme="minorEastAsia" w:hAnsiTheme="minorHAnsi" w:cstheme="minorBidi"/>
          <w:noProof/>
          <w:kern w:val="2"/>
          <w:lang w:val="en-CA"/>
          <w14:ligatures w14:val="standardContextual"/>
        </w:rPr>
      </w:pPr>
      <w:r w:rsidRPr="0051368A">
        <w:rPr>
          <w:iCs/>
          <w:noProof/>
        </w:rPr>
        <w:t>(ii)</w:t>
      </w:r>
      <w:r>
        <w:rPr>
          <w:rFonts w:asciiTheme="minorHAnsi" w:eastAsiaTheme="minorEastAsia" w:hAnsiTheme="minorHAnsi" w:cstheme="minorBidi"/>
          <w:noProof/>
          <w:kern w:val="2"/>
          <w:lang w:val="en-CA"/>
          <w14:ligatures w14:val="standardContextual"/>
        </w:rPr>
        <w:tab/>
      </w:r>
      <w:r>
        <w:rPr>
          <w:noProof/>
        </w:rPr>
        <w:t xml:space="preserve">The ONCJ Correctly Applied Section 2(2) of the </w:t>
      </w:r>
      <w:r w:rsidRPr="0051368A">
        <w:rPr>
          <w:i/>
          <w:iCs/>
          <w:noProof/>
        </w:rPr>
        <w:t>ESA</w:t>
      </w:r>
      <w:r>
        <w:rPr>
          <w:noProof/>
        </w:rPr>
        <w:tab/>
      </w:r>
      <w:r>
        <w:rPr>
          <w:noProof/>
        </w:rPr>
        <w:fldChar w:fldCharType="begin"/>
      </w:r>
      <w:r>
        <w:rPr>
          <w:noProof/>
        </w:rPr>
        <w:instrText xml:space="preserve"> PAGEREF _Toc220051339 \h </w:instrText>
      </w:r>
      <w:r>
        <w:rPr>
          <w:noProof/>
        </w:rPr>
      </w:r>
      <w:r>
        <w:rPr>
          <w:noProof/>
        </w:rPr>
        <w:fldChar w:fldCharType="separate"/>
      </w:r>
      <w:r w:rsidR="00C85C02">
        <w:rPr>
          <w:noProof/>
        </w:rPr>
        <w:t>7</w:t>
      </w:r>
      <w:r>
        <w:rPr>
          <w:noProof/>
        </w:rPr>
        <w:fldChar w:fldCharType="end"/>
      </w:r>
    </w:p>
    <w:p w14:paraId="2CC71345" w14:textId="77650344" w:rsidR="0007124A" w:rsidRDefault="0007124A" w:rsidP="0007124A">
      <w:pPr>
        <w:pStyle w:val="TOC3"/>
        <w:tabs>
          <w:tab w:val="left" w:pos="120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(iii)</w:t>
      </w:r>
      <w:r>
        <w:rPr>
          <w:rFonts w:asciiTheme="minorHAnsi" w:eastAsiaTheme="minorEastAsia" w:hAnsiTheme="minorHAnsi" w:cstheme="minorBidi"/>
          <w:noProof/>
          <w:kern w:val="2"/>
          <w:lang w:val="en-CA"/>
          <w14:ligatures w14:val="standardContextual"/>
        </w:rPr>
        <w:tab/>
      </w:r>
      <w:r>
        <w:rPr>
          <w:noProof/>
        </w:rPr>
        <w:t>Less Weight Should be Attributed to the Evidence of Sightings Before and After the Time of the Offence</w:t>
      </w:r>
      <w:r>
        <w:rPr>
          <w:noProof/>
        </w:rPr>
        <w:tab/>
      </w:r>
      <w:r>
        <w:rPr>
          <w:noProof/>
        </w:rPr>
        <w:fldChar w:fldCharType="begin"/>
      </w:r>
      <w:r>
        <w:rPr>
          <w:noProof/>
        </w:rPr>
        <w:instrText xml:space="preserve"> PAGEREF _Toc220051340 \h </w:instrText>
      </w:r>
      <w:r>
        <w:rPr>
          <w:noProof/>
        </w:rPr>
      </w:r>
      <w:r>
        <w:rPr>
          <w:noProof/>
        </w:rPr>
        <w:fldChar w:fldCharType="separate"/>
      </w:r>
      <w:r w:rsidR="00C85C02">
        <w:rPr>
          <w:noProof/>
        </w:rPr>
        <w:t>7</w:t>
      </w:r>
      <w:r>
        <w:rPr>
          <w:noProof/>
        </w:rPr>
        <w:fldChar w:fldCharType="end"/>
      </w:r>
    </w:p>
    <w:p w14:paraId="6C3B1BB9" w14:textId="720043ED" w:rsidR="0007124A" w:rsidRDefault="0007124A" w:rsidP="0007124A">
      <w:pPr>
        <w:pStyle w:val="TOC2"/>
        <w:tabs>
          <w:tab w:val="left" w:pos="72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C.</w:t>
      </w:r>
      <w:r>
        <w:rPr>
          <w:rFonts w:asciiTheme="minorHAnsi" w:eastAsiaTheme="minorEastAsia" w:hAnsiTheme="minorHAnsi" w:cstheme="minorBidi"/>
          <w:noProof/>
          <w:kern w:val="2"/>
          <w:lang w:val="en-CA"/>
          <w14:ligatures w14:val="standardContextual"/>
        </w:rPr>
        <w:tab/>
      </w:r>
      <w:r>
        <w:rPr>
          <w:noProof/>
        </w:rPr>
        <w:t>Issue 2: The Trial Justice Erred in Relying on the General Habitat Description for the Blanding’s Turtle Because it is not a Legal Instrument or Legal Document</w:t>
      </w:r>
      <w:r>
        <w:rPr>
          <w:noProof/>
        </w:rPr>
        <w:tab/>
      </w:r>
      <w:r>
        <w:rPr>
          <w:noProof/>
        </w:rPr>
        <w:fldChar w:fldCharType="begin"/>
      </w:r>
      <w:r>
        <w:rPr>
          <w:noProof/>
        </w:rPr>
        <w:instrText xml:space="preserve"> PAGEREF _Toc220051341 \h </w:instrText>
      </w:r>
      <w:r>
        <w:rPr>
          <w:noProof/>
        </w:rPr>
      </w:r>
      <w:r>
        <w:rPr>
          <w:noProof/>
        </w:rPr>
        <w:fldChar w:fldCharType="separate"/>
      </w:r>
      <w:r w:rsidR="00C85C02">
        <w:rPr>
          <w:noProof/>
        </w:rPr>
        <w:t>9</w:t>
      </w:r>
      <w:r>
        <w:rPr>
          <w:noProof/>
        </w:rPr>
        <w:fldChar w:fldCharType="end"/>
      </w:r>
    </w:p>
    <w:p w14:paraId="32A38A5C" w14:textId="5CE28E69" w:rsidR="0007124A" w:rsidRDefault="0007124A" w:rsidP="0007124A">
      <w:pPr>
        <w:pStyle w:val="TOC3"/>
        <w:tabs>
          <w:tab w:val="left" w:pos="96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w:t>
      </w:r>
      <w:r>
        <w:rPr>
          <w:rFonts w:asciiTheme="minorHAnsi" w:eastAsiaTheme="minorEastAsia" w:hAnsiTheme="minorHAnsi" w:cstheme="minorBidi"/>
          <w:noProof/>
          <w:kern w:val="2"/>
          <w:lang w:val="en-CA"/>
          <w14:ligatures w14:val="standardContextual"/>
        </w:rPr>
        <w:tab/>
      </w:r>
      <w:r>
        <w:rPr>
          <w:noProof/>
        </w:rPr>
        <w:t>The General Habitat Description is Not a Legal Instrument or Legal Document</w:t>
      </w:r>
      <w:r>
        <w:rPr>
          <w:noProof/>
        </w:rPr>
        <w:tab/>
      </w:r>
      <w:r>
        <w:rPr>
          <w:noProof/>
        </w:rPr>
        <w:fldChar w:fldCharType="begin"/>
      </w:r>
      <w:r>
        <w:rPr>
          <w:noProof/>
        </w:rPr>
        <w:instrText xml:space="preserve"> PAGEREF _Toc220051342 \h </w:instrText>
      </w:r>
      <w:r>
        <w:rPr>
          <w:noProof/>
        </w:rPr>
      </w:r>
      <w:r>
        <w:rPr>
          <w:noProof/>
        </w:rPr>
        <w:fldChar w:fldCharType="separate"/>
      </w:r>
      <w:r w:rsidR="00C85C02">
        <w:rPr>
          <w:noProof/>
        </w:rPr>
        <w:t>9</w:t>
      </w:r>
      <w:r>
        <w:rPr>
          <w:noProof/>
        </w:rPr>
        <w:fldChar w:fldCharType="end"/>
      </w:r>
    </w:p>
    <w:p w14:paraId="46FFB287" w14:textId="5A1E9E08" w:rsidR="0007124A" w:rsidRDefault="0007124A" w:rsidP="0007124A">
      <w:pPr>
        <w:pStyle w:val="TOC3"/>
        <w:tabs>
          <w:tab w:val="left" w:pos="120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(ii)</w:t>
      </w:r>
      <w:r>
        <w:rPr>
          <w:rFonts w:asciiTheme="minorHAnsi" w:eastAsiaTheme="minorEastAsia" w:hAnsiTheme="minorHAnsi" w:cstheme="minorBidi"/>
          <w:noProof/>
          <w:kern w:val="2"/>
          <w:lang w:val="en-CA"/>
          <w14:ligatures w14:val="standardContextual"/>
        </w:rPr>
        <w:tab/>
      </w:r>
      <w:r>
        <w:rPr>
          <w:noProof/>
        </w:rPr>
        <w:t>Trial Judges Have Discretion to Weigh Evidence</w:t>
      </w:r>
      <w:r>
        <w:rPr>
          <w:noProof/>
        </w:rPr>
        <w:tab/>
      </w:r>
      <w:r>
        <w:rPr>
          <w:noProof/>
        </w:rPr>
        <w:fldChar w:fldCharType="begin"/>
      </w:r>
      <w:r>
        <w:rPr>
          <w:noProof/>
        </w:rPr>
        <w:instrText xml:space="preserve"> PAGEREF _Toc220051343 \h </w:instrText>
      </w:r>
      <w:r>
        <w:rPr>
          <w:noProof/>
        </w:rPr>
      </w:r>
      <w:r>
        <w:rPr>
          <w:noProof/>
        </w:rPr>
        <w:fldChar w:fldCharType="separate"/>
      </w:r>
      <w:r w:rsidR="00C85C02">
        <w:rPr>
          <w:noProof/>
        </w:rPr>
        <w:t>11</w:t>
      </w:r>
      <w:r>
        <w:rPr>
          <w:noProof/>
        </w:rPr>
        <w:fldChar w:fldCharType="end"/>
      </w:r>
    </w:p>
    <w:p w14:paraId="5A70CD58" w14:textId="439F1C5A" w:rsidR="0007124A" w:rsidRDefault="0007124A" w:rsidP="0007124A">
      <w:pPr>
        <w:pStyle w:val="TOC3"/>
        <w:tabs>
          <w:tab w:val="left" w:pos="120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(iii)</w:t>
      </w:r>
      <w:r>
        <w:rPr>
          <w:rFonts w:asciiTheme="minorHAnsi" w:eastAsiaTheme="minorEastAsia" w:hAnsiTheme="minorHAnsi" w:cstheme="minorBidi"/>
          <w:noProof/>
          <w:kern w:val="2"/>
          <w:lang w:val="en-CA"/>
          <w14:ligatures w14:val="standardContextual"/>
        </w:rPr>
        <w:tab/>
      </w:r>
      <w:r>
        <w:rPr>
          <w:noProof/>
        </w:rPr>
        <w:t>The Trial Justice’s Reliance on the GHD was a Palpable and Overriding Error</w:t>
      </w:r>
      <w:r>
        <w:rPr>
          <w:noProof/>
        </w:rPr>
        <w:tab/>
      </w:r>
      <w:r>
        <w:rPr>
          <w:noProof/>
        </w:rPr>
        <w:fldChar w:fldCharType="begin"/>
      </w:r>
      <w:r>
        <w:rPr>
          <w:noProof/>
        </w:rPr>
        <w:instrText xml:space="preserve"> PAGEREF _Toc220051344 \h </w:instrText>
      </w:r>
      <w:r>
        <w:rPr>
          <w:noProof/>
        </w:rPr>
      </w:r>
      <w:r>
        <w:rPr>
          <w:noProof/>
        </w:rPr>
        <w:fldChar w:fldCharType="separate"/>
      </w:r>
      <w:r w:rsidR="00C85C02">
        <w:rPr>
          <w:noProof/>
        </w:rPr>
        <w:t>11</w:t>
      </w:r>
      <w:r>
        <w:rPr>
          <w:noProof/>
        </w:rPr>
        <w:fldChar w:fldCharType="end"/>
      </w:r>
    </w:p>
    <w:p w14:paraId="34827CD1" w14:textId="506B8F4D" w:rsidR="0007124A" w:rsidRDefault="0007124A" w:rsidP="0007124A">
      <w:pPr>
        <w:pStyle w:val="TOC2"/>
        <w:tabs>
          <w:tab w:val="left" w:pos="72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D.</w:t>
      </w:r>
      <w:r>
        <w:rPr>
          <w:rFonts w:asciiTheme="minorHAnsi" w:eastAsiaTheme="minorEastAsia" w:hAnsiTheme="minorHAnsi" w:cstheme="minorBidi"/>
          <w:noProof/>
          <w:kern w:val="2"/>
          <w:lang w:val="en-CA"/>
          <w14:ligatures w14:val="standardContextual"/>
        </w:rPr>
        <w:tab/>
      </w:r>
      <w:r>
        <w:rPr>
          <w:noProof/>
        </w:rPr>
        <w:t>Issue 3: The ONCJ Did Not Fail to Consider that the Statutory Definition of Habitat Includes Areas on Which a Species Indirectly Depends to Carry Out Life Processes</w:t>
      </w:r>
      <w:r>
        <w:rPr>
          <w:noProof/>
        </w:rPr>
        <w:tab/>
      </w:r>
      <w:r>
        <w:rPr>
          <w:noProof/>
        </w:rPr>
        <w:fldChar w:fldCharType="begin"/>
      </w:r>
      <w:r>
        <w:rPr>
          <w:noProof/>
        </w:rPr>
        <w:instrText xml:space="preserve"> PAGEREF _Toc220051345 \h </w:instrText>
      </w:r>
      <w:r>
        <w:rPr>
          <w:noProof/>
        </w:rPr>
      </w:r>
      <w:r>
        <w:rPr>
          <w:noProof/>
        </w:rPr>
        <w:fldChar w:fldCharType="separate"/>
      </w:r>
      <w:r w:rsidR="00C85C02">
        <w:rPr>
          <w:noProof/>
        </w:rPr>
        <w:t>12</w:t>
      </w:r>
      <w:r>
        <w:rPr>
          <w:noProof/>
        </w:rPr>
        <w:fldChar w:fldCharType="end"/>
      </w:r>
    </w:p>
    <w:p w14:paraId="0CFB1B38" w14:textId="52EAD6C3" w:rsidR="0007124A" w:rsidRDefault="0007124A" w:rsidP="0007124A">
      <w:pPr>
        <w:pStyle w:val="TOC3"/>
        <w:tabs>
          <w:tab w:val="left" w:pos="96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w:t>
      </w:r>
      <w:r>
        <w:rPr>
          <w:rFonts w:asciiTheme="minorHAnsi" w:eastAsiaTheme="minorEastAsia" w:hAnsiTheme="minorHAnsi" w:cstheme="minorBidi"/>
          <w:noProof/>
          <w:kern w:val="2"/>
          <w:lang w:val="en-CA"/>
          <w14:ligatures w14:val="standardContextual"/>
        </w:rPr>
        <w:tab/>
      </w:r>
      <w:r>
        <w:rPr>
          <w:noProof/>
        </w:rPr>
        <w:t xml:space="preserve">To Constitute Habitat Under the </w:t>
      </w:r>
      <w:r w:rsidRPr="0051368A">
        <w:rPr>
          <w:i/>
          <w:iCs/>
          <w:noProof/>
        </w:rPr>
        <w:t>ESA</w:t>
      </w:r>
      <w:r>
        <w:rPr>
          <w:noProof/>
        </w:rPr>
        <w:t>, an Area Used By the Species Must Be Essential to Its Life Processes</w:t>
      </w:r>
      <w:r>
        <w:rPr>
          <w:noProof/>
        </w:rPr>
        <w:tab/>
      </w:r>
      <w:r>
        <w:rPr>
          <w:noProof/>
        </w:rPr>
        <w:fldChar w:fldCharType="begin"/>
      </w:r>
      <w:r>
        <w:rPr>
          <w:noProof/>
        </w:rPr>
        <w:instrText xml:space="preserve"> PAGEREF _Toc220051346 \h </w:instrText>
      </w:r>
      <w:r>
        <w:rPr>
          <w:noProof/>
        </w:rPr>
      </w:r>
      <w:r>
        <w:rPr>
          <w:noProof/>
        </w:rPr>
        <w:fldChar w:fldCharType="separate"/>
      </w:r>
      <w:r w:rsidR="00C85C02">
        <w:rPr>
          <w:noProof/>
        </w:rPr>
        <w:t>12</w:t>
      </w:r>
      <w:r>
        <w:rPr>
          <w:noProof/>
        </w:rPr>
        <w:fldChar w:fldCharType="end"/>
      </w:r>
    </w:p>
    <w:p w14:paraId="184FFD27" w14:textId="607AC6D7" w:rsidR="0007124A" w:rsidRDefault="0007124A" w:rsidP="0007124A">
      <w:pPr>
        <w:pStyle w:val="TOC3"/>
        <w:tabs>
          <w:tab w:val="left" w:pos="120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(ii)</w:t>
      </w:r>
      <w:r>
        <w:rPr>
          <w:rFonts w:asciiTheme="minorHAnsi" w:eastAsiaTheme="minorEastAsia" w:hAnsiTheme="minorHAnsi" w:cstheme="minorBidi"/>
          <w:noProof/>
          <w:kern w:val="2"/>
          <w:lang w:val="en-CA"/>
          <w14:ligatures w14:val="standardContextual"/>
        </w:rPr>
        <w:tab/>
      </w:r>
      <w:r>
        <w:rPr>
          <w:noProof/>
        </w:rPr>
        <w:t>The Evidence at Trial Was Insufficient to Prove the Site was Essential to the Blanding’s Turtle’s Life Processes</w:t>
      </w:r>
      <w:r>
        <w:rPr>
          <w:noProof/>
        </w:rPr>
        <w:tab/>
      </w:r>
      <w:r>
        <w:rPr>
          <w:noProof/>
        </w:rPr>
        <w:fldChar w:fldCharType="begin"/>
      </w:r>
      <w:r>
        <w:rPr>
          <w:noProof/>
        </w:rPr>
        <w:instrText xml:space="preserve"> PAGEREF _Toc220051347 \h </w:instrText>
      </w:r>
      <w:r>
        <w:rPr>
          <w:noProof/>
        </w:rPr>
      </w:r>
      <w:r>
        <w:rPr>
          <w:noProof/>
        </w:rPr>
        <w:fldChar w:fldCharType="separate"/>
      </w:r>
      <w:r w:rsidR="00C85C02">
        <w:rPr>
          <w:noProof/>
        </w:rPr>
        <w:t>13</w:t>
      </w:r>
      <w:r>
        <w:rPr>
          <w:noProof/>
        </w:rPr>
        <w:fldChar w:fldCharType="end"/>
      </w:r>
    </w:p>
    <w:p w14:paraId="4FAF716C" w14:textId="4DF3C72F" w:rsidR="0007124A" w:rsidRDefault="0007124A" w:rsidP="0007124A">
      <w:pPr>
        <w:pStyle w:val="TOC3"/>
        <w:tabs>
          <w:tab w:val="left" w:pos="120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(iii)</w:t>
      </w:r>
      <w:r>
        <w:rPr>
          <w:rFonts w:asciiTheme="minorHAnsi" w:eastAsiaTheme="minorEastAsia" w:hAnsiTheme="minorHAnsi" w:cstheme="minorBidi"/>
          <w:noProof/>
          <w:kern w:val="2"/>
          <w:lang w:val="en-CA"/>
          <w14:ligatures w14:val="standardContextual"/>
        </w:rPr>
        <w:tab/>
      </w:r>
      <w:r>
        <w:rPr>
          <w:noProof/>
        </w:rPr>
        <w:t>There Was No Use of the Site by the Blanding’s Turtle, Either Direct or Indirect, to Carry Out Life Processes</w:t>
      </w:r>
      <w:r>
        <w:rPr>
          <w:noProof/>
        </w:rPr>
        <w:tab/>
      </w:r>
      <w:r>
        <w:rPr>
          <w:noProof/>
        </w:rPr>
        <w:fldChar w:fldCharType="begin"/>
      </w:r>
      <w:r>
        <w:rPr>
          <w:noProof/>
        </w:rPr>
        <w:instrText xml:space="preserve"> PAGEREF _Toc220051348 \h </w:instrText>
      </w:r>
      <w:r>
        <w:rPr>
          <w:noProof/>
        </w:rPr>
      </w:r>
      <w:r>
        <w:rPr>
          <w:noProof/>
        </w:rPr>
        <w:fldChar w:fldCharType="separate"/>
      </w:r>
      <w:r w:rsidR="00C85C02">
        <w:rPr>
          <w:noProof/>
        </w:rPr>
        <w:t>14</w:t>
      </w:r>
      <w:r>
        <w:rPr>
          <w:noProof/>
        </w:rPr>
        <w:fldChar w:fldCharType="end"/>
      </w:r>
    </w:p>
    <w:p w14:paraId="189F152D" w14:textId="0C4EF8C9" w:rsidR="0007124A" w:rsidRDefault="0007124A" w:rsidP="0007124A">
      <w:pPr>
        <w:pStyle w:val="TOC2"/>
        <w:tabs>
          <w:tab w:val="left" w:pos="72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lastRenderedPageBreak/>
        <w:t>E.</w:t>
      </w:r>
      <w:r>
        <w:rPr>
          <w:rFonts w:asciiTheme="minorHAnsi" w:eastAsiaTheme="minorEastAsia" w:hAnsiTheme="minorHAnsi" w:cstheme="minorBidi"/>
          <w:noProof/>
          <w:kern w:val="2"/>
          <w:lang w:val="en-CA"/>
          <w14:ligatures w14:val="standardContextual"/>
        </w:rPr>
        <w:tab/>
      </w:r>
      <w:r>
        <w:rPr>
          <w:noProof/>
        </w:rPr>
        <w:t xml:space="preserve">Issue 4: CHL Would Not Have Been Convicted if the Amendments to the </w:t>
      </w:r>
      <w:r w:rsidRPr="0051368A">
        <w:rPr>
          <w:i/>
          <w:noProof/>
        </w:rPr>
        <w:t>Endangered Species Act</w:t>
      </w:r>
      <w:r>
        <w:rPr>
          <w:noProof/>
        </w:rPr>
        <w:t xml:space="preserve">, 2007 by the </w:t>
      </w:r>
      <w:r w:rsidRPr="0051368A">
        <w:rPr>
          <w:i/>
          <w:noProof/>
        </w:rPr>
        <w:t>Protect Ontario by Unleashing our Economy Act</w:t>
      </w:r>
      <w:r>
        <w:rPr>
          <w:noProof/>
        </w:rPr>
        <w:t>, 2025, Sched. 2 Had Been in Force at Time of the Offence.</w:t>
      </w:r>
      <w:r>
        <w:rPr>
          <w:noProof/>
        </w:rPr>
        <w:tab/>
      </w:r>
      <w:r>
        <w:rPr>
          <w:noProof/>
        </w:rPr>
        <w:fldChar w:fldCharType="begin"/>
      </w:r>
      <w:r>
        <w:rPr>
          <w:noProof/>
        </w:rPr>
        <w:instrText xml:space="preserve"> PAGEREF _Toc220051349 \h </w:instrText>
      </w:r>
      <w:r>
        <w:rPr>
          <w:noProof/>
        </w:rPr>
      </w:r>
      <w:r>
        <w:rPr>
          <w:noProof/>
        </w:rPr>
        <w:fldChar w:fldCharType="separate"/>
      </w:r>
      <w:r w:rsidR="00C85C02">
        <w:rPr>
          <w:noProof/>
        </w:rPr>
        <w:t>15</w:t>
      </w:r>
      <w:r>
        <w:rPr>
          <w:noProof/>
        </w:rPr>
        <w:fldChar w:fldCharType="end"/>
      </w:r>
    </w:p>
    <w:p w14:paraId="29FC2A21" w14:textId="5734764E" w:rsidR="0007124A" w:rsidRDefault="0007124A" w:rsidP="0007124A">
      <w:pPr>
        <w:pStyle w:val="TOC3"/>
        <w:tabs>
          <w:tab w:val="left" w:pos="96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w:t>
      </w:r>
      <w:r>
        <w:rPr>
          <w:rFonts w:asciiTheme="minorHAnsi" w:eastAsiaTheme="minorEastAsia" w:hAnsiTheme="minorHAnsi" w:cstheme="minorBidi"/>
          <w:noProof/>
          <w:kern w:val="2"/>
          <w:lang w:val="en-CA"/>
          <w14:ligatures w14:val="standardContextual"/>
        </w:rPr>
        <w:tab/>
      </w:r>
      <w:r>
        <w:rPr>
          <w:noProof/>
        </w:rPr>
        <w:t xml:space="preserve">The Definition of Habitat was Narrowed Under the Amendments to the </w:t>
      </w:r>
      <w:r w:rsidRPr="0051368A">
        <w:rPr>
          <w:i/>
          <w:iCs/>
          <w:noProof/>
        </w:rPr>
        <w:t>ESA</w:t>
      </w:r>
      <w:r>
        <w:rPr>
          <w:noProof/>
        </w:rPr>
        <w:tab/>
      </w:r>
      <w:r>
        <w:rPr>
          <w:noProof/>
        </w:rPr>
        <w:fldChar w:fldCharType="begin"/>
      </w:r>
      <w:r>
        <w:rPr>
          <w:noProof/>
        </w:rPr>
        <w:instrText xml:space="preserve"> PAGEREF _Toc220051350 \h </w:instrText>
      </w:r>
      <w:r>
        <w:rPr>
          <w:noProof/>
        </w:rPr>
      </w:r>
      <w:r>
        <w:rPr>
          <w:noProof/>
        </w:rPr>
        <w:fldChar w:fldCharType="separate"/>
      </w:r>
      <w:r w:rsidR="00C85C02">
        <w:rPr>
          <w:noProof/>
        </w:rPr>
        <w:t>15</w:t>
      </w:r>
      <w:r>
        <w:rPr>
          <w:noProof/>
        </w:rPr>
        <w:fldChar w:fldCharType="end"/>
      </w:r>
    </w:p>
    <w:p w14:paraId="49E8F21B" w14:textId="53D6E2E2" w:rsidR="0007124A" w:rsidRDefault="0007124A" w:rsidP="0007124A">
      <w:pPr>
        <w:pStyle w:val="TOC3"/>
        <w:tabs>
          <w:tab w:val="left" w:pos="120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(ii)</w:t>
      </w:r>
      <w:r>
        <w:rPr>
          <w:rFonts w:asciiTheme="minorHAnsi" w:eastAsiaTheme="minorEastAsia" w:hAnsiTheme="minorHAnsi" w:cstheme="minorBidi"/>
          <w:noProof/>
          <w:kern w:val="2"/>
          <w:lang w:val="en-CA"/>
          <w14:ligatures w14:val="standardContextual"/>
        </w:rPr>
        <w:tab/>
      </w:r>
      <w:r>
        <w:rPr>
          <w:noProof/>
        </w:rPr>
        <w:t>CHL Would Not Be Found Guilty if the Amendments to Habitat Had Been in Force</w:t>
      </w:r>
      <w:r>
        <w:rPr>
          <w:noProof/>
        </w:rPr>
        <w:tab/>
      </w:r>
      <w:r>
        <w:rPr>
          <w:noProof/>
        </w:rPr>
        <w:fldChar w:fldCharType="begin"/>
      </w:r>
      <w:r>
        <w:rPr>
          <w:noProof/>
        </w:rPr>
        <w:instrText xml:space="preserve"> PAGEREF _Toc220051351 \h </w:instrText>
      </w:r>
      <w:r>
        <w:rPr>
          <w:noProof/>
        </w:rPr>
      </w:r>
      <w:r>
        <w:rPr>
          <w:noProof/>
        </w:rPr>
        <w:fldChar w:fldCharType="separate"/>
      </w:r>
      <w:r w:rsidR="00C85C02">
        <w:rPr>
          <w:noProof/>
        </w:rPr>
        <w:t>17</w:t>
      </w:r>
      <w:r>
        <w:rPr>
          <w:noProof/>
        </w:rPr>
        <w:fldChar w:fldCharType="end"/>
      </w:r>
    </w:p>
    <w:p w14:paraId="089CBF8B" w14:textId="00F61B73" w:rsidR="0007124A" w:rsidRDefault="0007124A" w:rsidP="0007124A">
      <w:pPr>
        <w:pStyle w:val="TOC3"/>
        <w:tabs>
          <w:tab w:val="left" w:pos="1200"/>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(iii)</w:t>
      </w:r>
      <w:r>
        <w:rPr>
          <w:rFonts w:asciiTheme="minorHAnsi" w:eastAsiaTheme="minorEastAsia" w:hAnsiTheme="minorHAnsi" w:cstheme="minorBidi"/>
          <w:noProof/>
          <w:kern w:val="2"/>
          <w:lang w:val="en-CA"/>
          <w14:ligatures w14:val="standardContextual"/>
        </w:rPr>
        <w:tab/>
      </w:r>
      <w:r>
        <w:rPr>
          <w:noProof/>
        </w:rPr>
        <w:t>CHL Would Prove a Defence to the Charge</w:t>
      </w:r>
      <w:r>
        <w:rPr>
          <w:noProof/>
        </w:rPr>
        <w:tab/>
      </w:r>
      <w:r>
        <w:rPr>
          <w:noProof/>
        </w:rPr>
        <w:fldChar w:fldCharType="begin"/>
      </w:r>
      <w:r>
        <w:rPr>
          <w:noProof/>
        </w:rPr>
        <w:instrText xml:space="preserve"> PAGEREF _Toc220051352 \h </w:instrText>
      </w:r>
      <w:r>
        <w:rPr>
          <w:noProof/>
        </w:rPr>
      </w:r>
      <w:r>
        <w:rPr>
          <w:noProof/>
        </w:rPr>
        <w:fldChar w:fldCharType="separate"/>
      </w:r>
      <w:r w:rsidR="00C85C02">
        <w:rPr>
          <w:noProof/>
        </w:rPr>
        <w:t>18</w:t>
      </w:r>
      <w:r>
        <w:rPr>
          <w:noProof/>
        </w:rPr>
        <w:fldChar w:fldCharType="end"/>
      </w:r>
    </w:p>
    <w:p w14:paraId="006CE0C9" w14:textId="00947E87" w:rsidR="0007124A" w:rsidRDefault="0007124A" w:rsidP="0007124A">
      <w:pPr>
        <w:pStyle w:val="TOC1"/>
        <w:tabs>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PART IV -- SUBMISSIONS IN SUPPORT OF COSTS</w:t>
      </w:r>
      <w:r>
        <w:rPr>
          <w:noProof/>
        </w:rPr>
        <w:tab/>
      </w:r>
      <w:r>
        <w:rPr>
          <w:noProof/>
        </w:rPr>
        <w:fldChar w:fldCharType="begin"/>
      </w:r>
      <w:r>
        <w:rPr>
          <w:noProof/>
        </w:rPr>
        <w:instrText xml:space="preserve"> PAGEREF _Toc220051353 \h </w:instrText>
      </w:r>
      <w:r>
        <w:rPr>
          <w:noProof/>
        </w:rPr>
      </w:r>
      <w:r>
        <w:rPr>
          <w:noProof/>
        </w:rPr>
        <w:fldChar w:fldCharType="separate"/>
      </w:r>
      <w:r w:rsidR="00C85C02">
        <w:rPr>
          <w:noProof/>
        </w:rPr>
        <w:t>20</w:t>
      </w:r>
      <w:r>
        <w:rPr>
          <w:noProof/>
        </w:rPr>
        <w:fldChar w:fldCharType="end"/>
      </w:r>
    </w:p>
    <w:p w14:paraId="6BF835B7" w14:textId="733B8AA4" w:rsidR="0007124A" w:rsidRDefault="0007124A" w:rsidP="0007124A">
      <w:pPr>
        <w:pStyle w:val="TOC1"/>
        <w:tabs>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PART V -- ORDER SOUGHT</w:t>
      </w:r>
      <w:r>
        <w:rPr>
          <w:noProof/>
        </w:rPr>
        <w:tab/>
      </w:r>
      <w:r>
        <w:rPr>
          <w:noProof/>
        </w:rPr>
        <w:fldChar w:fldCharType="begin"/>
      </w:r>
      <w:r>
        <w:rPr>
          <w:noProof/>
        </w:rPr>
        <w:instrText xml:space="preserve"> PAGEREF _Toc220051354 \h </w:instrText>
      </w:r>
      <w:r>
        <w:rPr>
          <w:noProof/>
        </w:rPr>
      </w:r>
      <w:r>
        <w:rPr>
          <w:noProof/>
        </w:rPr>
        <w:fldChar w:fldCharType="separate"/>
      </w:r>
      <w:r w:rsidR="00C85C02">
        <w:rPr>
          <w:noProof/>
        </w:rPr>
        <w:t>20</w:t>
      </w:r>
      <w:r>
        <w:rPr>
          <w:noProof/>
        </w:rPr>
        <w:fldChar w:fldCharType="end"/>
      </w:r>
    </w:p>
    <w:p w14:paraId="2C319E40" w14:textId="6BDADE4D" w:rsidR="0007124A" w:rsidRDefault="0007124A" w:rsidP="0007124A">
      <w:pPr>
        <w:pStyle w:val="TOC1"/>
        <w:tabs>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PART VI -- TABLE OF AUTHORITIES</w:t>
      </w:r>
      <w:r>
        <w:rPr>
          <w:noProof/>
        </w:rPr>
        <w:tab/>
      </w:r>
      <w:r>
        <w:rPr>
          <w:noProof/>
        </w:rPr>
        <w:fldChar w:fldCharType="begin"/>
      </w:r>
      <w:r>
        <w:rPr>
          <w:noProof/>
        </w:rPr>
        <w:instrText xml:space="preserve"> PAGEREF _Toc220051355 \h </w:instrText>
      </w:r>
      <w:r>
        <w:rPr>
          <w:noProof/>
        </w:rPr>
      </w:r>
      <w:r>
        <w:rPr>
          <w:noProof/>
        </w:rPr>
        <w:fldChar w:fldCharType="separate"/>
      </w:r>
      <w:r w:rsidR="00C85C02">
        <w:rPr>
          <w:noProof/>
        </w:rPr>
        <w:t>21</w:t>
      </w:r>
      <w:r>
        <w:rPr>
          <w:noProof/>
        </w:rPr>
        <w:fldChar w:fldCharType="end"/>
      </w:r>
    </w:p>
    <w:p w14:paraId="0690CA5B" w14:textId="7BBCBCBF" w:rsidR="0007124A" w:rsidRDefault="0007124A" w:rsidP="0007124A">
      <w:pPr>
        <w:pStyle w:val="TOC1"/>
        <w:tabs>
          <w:tab w:val="right" w:leader="dot" w:pos="9350"/>
        </w:tabs>
        <w:spacing w:line="360" w:lineRule="auto"/>
        <w:rPr>
          <w:rFonts w:asciiTheme="minorHAnsi" w:eastAsiaTheme="minorEastAsia" w:hAnsiTheme="minorHAnsi" w:cstheme="minorBidi"/>
          <w:noProof/>
          <w:kern w:val="2"/>
          <w:lang w:val="en-CA"/>
          <w14:ligatures w14:val="standardContextual"/>
        </w:rPr>
      </w:pPr>
      <w:r>
        <w:rPr>
          <w:noProof/>
        </w:rPr>
        <w:t>PART VII -- LEGISLATION AT ISSUE</w:t>
      </w:r>
      <w:r>
        <w:rPr>
          <w:noProof/>
        </w:rPr>
        <w:tab/>
      </w:r>
      <w:r>
        <w:rPr>
          <w:noProof/>
        </w:rPr>
        <w:fldChar w:fldCharType="begin"/>
      </w:r>
      <w:r>
        <w:rPr>
          <w:noProof/>
        </w:rPr>
        <w:instrText xml:space="preserve"> PAGEREF _Toc220051356 \h </w:instrText>
      </w:r>
      <w:r>
        <w:rPr>
          <w:noProof/>
        </w:rPr>
      </w:r>
      <w:r>
        <w:rPr>
          <w:noProof/>
        </w:rPr>
        <w:fldChar w:fldCharType="separate"/>
      </w:r>
      <w:r w:rsidR="00C85C02">
        <w:rPr>
          <w:noProof/>
        </w:rPr>
        <w:t>24</w:t>
      </w:r>
      <w:r>
        <w:rPr>
          <w:noProof/>
        </w:rPr>
        <w:fldChar w:fldCharType="end"/>
      </w:r>
    </w:p>
    <w:p w14:paraId="22FAF62E" w14:textId="7BAFB502" w:rsidR="00037BFB" w:rsidRDefault="009F5FF0" w:rsidP="0007124A">
      <w:pPr>
        <w:spacing w:line="360" w:lineRule="auto"/>
      </w:pPr>
      <w:r>
        <w:fldChar w:fldCharType="end"/>
      </w:r>
    </w:p>
    <w:p w14:paraId="10C312AA" w14:textId="77777777" w:rsidR="00037BFB" w:rsidRDefault="00037BFB" w:rsidP="00497CA4">
      <w:pPr>
        <w:spacing w:line="360" w:lineRule="auto"/>
        <w:sectPr w:rsidR="00037BFB" w:rsidSect="007C43C1">
          <w:pgSz w:w="12240" w:h="15840" w:code="1"/>
          <w:pgMar w:top="1440" w:right="1440" w:bottom="1440" w:left="1440" w:header="720" w:footer="720" w:gutter="0"/>
          <w:pgNumType w:fmt="lowerRoman" w:start="1"/>
          <w:cols w:space="720"/>
          <w:docGrid w:linePitch="360"/>
        </w:sectPr>
      </w:pPr>
    </w:p>
    <w:p w14:paraId="26AFAFF8" w14:textId="77777777" w:rsidR="00DD6E8C" w:rsidRPr="00562AC6" w:rsidRDefault="00DD6E8C" w:rsidP="00F70A7F">
      <w:pPr>
        <w:pStyle w:val="Heading1"/>
        <w:spacing w:line="360" w:lineRule="auto"/>
      </w:pPr>
      <w:bookmarkStart w:id="0" w:name="_Toc271703729"/>
      <w:bookmarkStart w:id="1" w:name="_Toc220051329"/>
      <w:r w:rsidRPr="00562AC6">
        <w:lastRenderedPageBreak/>
        <w:t>OVERVIEW AND STATEMENT OF FACTS</w:t>
      </w:r>
      <w:bookmarkEnd w:id="0"/>
      <w:bookmarkEnd w:id="1"/>
    </w:p>
    <w:p w14:paraId="09289798" w14:textId="27B6F735" w:rsidR="00DD6E8C" w:rsidRDefault="007A4329" w:rsidP="007A4329">
      <w:pPr>
        <w:pStyle w:val="WSParaNum"/>
        <w:spacing w:before="0" w:after="0"/>
      </w:pPr>
      <w:r>
        <w:t>Th</w:t>
      </w:r>
      <w:r w:rsidR="00B66AC1">
        <w:t>is</w:t>
      </w:r>
      <w:r>
        <w:t xml:space="preserve"> appeal concerns the acquittal of </w:t>
      </w:r>
      <w:r w:rsidRPr="007A4329">
        <w:t>“Consolidated Homes Ltd. (“CHL”) (the “Respondent”)</w:t>
      </w:r>
      <w:r>
        <w:t xml:space="preserve"> </w:t>
      </w:r>
      <w:r w:rsidRPr="007A4329">
        <w:t>under section 10(1)(a)</w:t>
      </w:r>
      <w:r>
        <w:t xml:space="preserve"> of</w:t>
      </w:r>
      <w:r w:rsidRPr="007A4329">
        <w:t xml:space="preserve"> the </w:t>
      </w:r>
      <w:r w:rsidRPr="007A4329">
        <w:rPr>
          <w:i/>
          <w:iCs/>
        </w:rPr>
        <w:t>Endangered Species Act</w:t>
      </w:r>
      <w:r>
        <w:t xml:space="preserve"> </w:t>
      </w:r>
      <w:r w:rsidRPr="007A4329">
        <w:t>(the “ESA”)</w:t>
      </w:r>
      <w:r>
        <w:t xml:space="preserve"> </w:t>
      </w:r>
      <w:r w:rsidRPr="007A4329">
        <w:t>for the damage or destruction of the habitat of a threatened species, the Blanding’s Turtle</w:t>
      </w:r>
      <w:r w:rsidR="00B66AC1">
        <w:t>. More broadly,</w:t>
      </w:r>
      <w:r>
        <w:t xml:space="preserve"> this appeal concerns </w:t>
      </w:r>
      <w:r w:rsidRPr="007A4329">
        <w:t xml:space="preserve">the statutory definition of habitat under the </w:t>
      </w:r>
      <w:r w:rsidRPr="007A4329">
        <w:rPr>
          <w:i/>
          <w:iCs/>
        </w:rPr>
        <w:t>ESA</w:t>
      </w:r>
      <w:r w:rsidRPr="007A4329">
        <w:t xml:space="preserve"> and the evidentiary burden required to demonstrate whether an area is habitat.</w:t>
      </w:r>
      <w:r w:rsidR="00B66AC1">
        <w:t xml:space="preserve"> </w:t>
      </w:r>
    </w:p>
    <w:p w14:paraId="648A4ACF" w14:textId="23CB9C4D" w:rsidR="00E165EA" w:rsidRPr="00E165EA" w:rsidRDefault="007A4329" w:rsidP="0042172A">
      <w:pPr>
        <w:pStyle w:val="WSParaNum"/>
        <w:numPr>
          <w:ilvl w:val="0"/>
          <w:numId w:val="0"/>
        </w:numPr>
        <w:spacing w:before="0" w:after="0" w:line="240" w:lineRule="auto"/>
        <w:ind w:firstLine="720"/>
        <w:rPr>
          <w:sz w:val="20"/>
          <w:szCs w:val="20"/>
        </w:rPr>
      </w:pPr>
      <w:r w:rsidRPr="00E165EA">
        <w:rPr>
          <w:i/>
          <w:iCs/>
          <w:sz w:val="20"/>
          <w:szCs w:val="20"/>
        </w:rPr>
        <w:t>Endangered Species Act</w:t>
      </w:r>
      <w:r w:rsidRPr="00E165EA">
        <w:rPr>
          <w:sz w:val="20"/>
          <w:szCs w:val="20"/>
        </w:rPr>
        <w:t>, 2007, SO 2007, c 6, s</w:t>
      </w:r>
      <w:r w:rsidR="0042172A">
        <w:rPr>
          <w:sz w:val="20"/>
          <w:szCs w:val="20"/>
        </w:rPr>
        <w:t>s</w:t>
      </w:r>
      <w:r w:rsidRPr="00E165EA">
        <w:rPr>
          <w:sz w:val="20"/>
          <w:szCs w:val="20"/>
        </w:rPr>
        <w:t xml:space="preserve"> 10(1)(a)</w:t>
      </w:r>
      <w:r w:rsidR="0042172A">
        <w:rPr>
          <w:sz w:val="20"/>
          <w:szCs w:val="20"/>
        </w:rPr>
        <w:t>, 2(1)(b), 2(2)</w:t>
      </w:r>
      <w:r w:rsidRPr="00E165EA">
        <w:rPr>
          <w:sz w:val="20"/>
          <w:szCs w:val="20"/>
        </w:rPr>
        <w:t xml:space="preserve"> [</w:t>
      </w:r>
      <w:r w:rsidRPr="00E165EA">
        <w:rPr>
          <w:i/>
          <w:iCs/>
          <w:sz w:val="20"/>
          <w:szCs w:val="20"/>
        </w:rPr>
        <w:t>ESA</w:t>
      </w:r>
      <w:r w:rsidRPr="00E165EA">
        <w:rPr>
          <w:sz w:val="20"/>
          <w:szCs w:val="20"/>
        </w:rPr>
        <w:t>]</w:t>
      </w:r>
      <w:r w:rsidR="00034E1F">
        <w:rPr>
          <w:sz w:val="20"/>
          <w:szCs w:val="20"/>
        </w:rPr>
        <w:t>.</w:t>
      </w:r>
      <w:r w:rsidR="00B66AC1" w:rsidRPr="00E165EA">
        <w:rPr>
          <w:sz w:val="20"/>
          <w:szCs w:val="20"/>
        </w:rPr>
        <w:t xml:space="preserve"> </w:t>
      </w:r>
    </w:p>
    <w:p w14:paraId="754C4C1A" w14:textId="77777777" w:rsidR="00DD6E8C" w:rsidRPr="00562AC6" w:rsidRDefault="00D678D8" w:rsidP="00562AC6">
      <w:pPr>
        <w:pStyle w:val="Heading2"/>
      </w:pPr>
      <w:bookmarkStart w:id="2" w:name="_Toc271703730"/>
      <w:bookmarkStart w:id="3" w:name="_Toc220051330"/>
      <w:r w:rsidRPr="00562AC6">
        <w:t xml:space="preserve">Overview of the </w:t>
      </w:r>
      <w:r w:rsidR="00EE2290" w:rsidRPr="00562AC6">
        <w:t>Respondent</w:t>
      </w:r>
      <w:r w:rsidRPr="00562AC6">
        <w:t>’s Position</w:t>
      </w:r>
      <w:bookmarkEnd w:id="2"/>
      <w:bookmarkEnd w:id="3"/>
      <w:r w:rsidR="00DD6E8C" w:rsidRPr="00562AC6">
        <w:t xml:space="preserve"> </w:t>
      </w:r>
    </w:p>
    <w:p w14:paraId="0B106FE5" w14:textId="66CADCC5" w:rsidR="00DD6E8C" w:rsidRPr="00D678D8" w:rsidRDefault="00034E1F" w:rsidP="003A7C1F">
      <w:pPr>
        <w:pStyle w:val="WSParaNum"/>
      </w:pPr>
      <w:r>
        <w:t>The</w:t>
      </w:r>
      <w:r w:rsidR="00B66AC1" w:rsidRPr="00B66AC1">
        <w:t xml:space="preserve"> Ontario Court of Justice</w:t>
      </w:r>
      <w:r w:rsidR="007A4329">
        <w:t xml:space="preserve"> </w:t>
      </w:r>
      <w:r w:rsidR="00B66AC1">
        <w:t>(the “</w:t>
      </w:r>
      <w:r w:rsidR="001B4B84">
        <w:t>ONCJ</w:t>
      </w:r>
      <w:r w:rsidR="00B66AC1">
        <w:t>”)</w:t>
      </w:r>
      <w:r w:rsidR="007A4329" w:rsidRPr="007A4329">
        <w:t xml:space="preserve"> properly set aside </w:t>
      </w:r>
      <w:r>
        <w:t>CHL’s conviction, which was</w:t>
      </w:r>
      <w:r w:rsidR="00AD79A2">
        <w:t xml:space="preserve"> unreasonable</w:t>
      </w:r>
      <w:r>
        <w:t xml:space="preserve"> and unsupported by the evidence adduced at trial</w:t>
      </w:r>
      <w:r w:rsidR="007A4329" w:rsidRPr="007A4329">
        <w:t xml:space="preserve">. Therefore, </w:t>
      </w:r>
      <w:r w:rsidR="007A4329">
        <w:t xml:space="preserve">the Respondent </w:t>
      </w:r>
      <w:r w:rsidR="007A4329" w:rsidRPr="007A4329">
        <w:t>request</w:t>
      </w:r>
      <w:r w:rsidR="00F70A7F">
        <w:t>s</w:t>
      </w:r>
      <w:r w:rsidR="007A4329" w:rsidRPr="007A4329">
        <w:t xml:space="preserve"> that the Supreme Environmental Moot Court of Canada</w:t>
      </w:r>
      <w:r w:rsidR="00233179">
        <w:t xml:space="preserve"> (the “SEMCC”)</w:t>
      </w:r>
      <w:r w:rsidR="007A4329" w:rsidRPr="007A4329">
        <w:t xml:space="preserve"> dismiss the appeal and uphold the acquittal entered by the </w:t>
      </w:r>
      <w:r w:rsidR="001B4B84">
        <w:t>ONCJ</w:t>
      </w:r>
      <w:r w:rsidR="007A4329" w:rsidRPr="007A4329">
        <w:t xml:space="preserve">. The </w:t>
      </w:r>
      <w:r w:rsidR="001B4B84">
        <w:t>ONCJ</w:t>
      </w:r>
      <w:r w:rsidR="007A4329" w:rsidRPr="007A4329">
        <w:t xml:space="preserve"> correctly applied the definition of habitat under</w:t>
      </w:r>
      <w:r w:rsidR="007A4329">
        <w:t xml:space="preserve"> the</w:t>
      </w:r>
      <w:r w:rsidR="007A4329" w:rsidRPr="0042172A">
        <w:rPr>
          <w:i/>
          <w:iCs/>
        </w:rPr>
        <w:t xml:space="preserve"> ESA</w:t>
      </w:r>
      <w:r w:rsidR="007A4329" w:rsidRPr="007A4329">
        <w:t xml:space="preserve"> </w:t>
      </w:r>
      <w:r w:rsidR="00AD79A2">
        <w:t>and gave full effect to all available evidence at trial.</w:t>
      </w:r>
      <w:r w:rsidR="007A4329" w:rsidRPr="007A4329">
        <w:t xml:space="preserve"> </w:t>
      </w:r>
      <w:r w:rsidR="000212C8">
        <w:t>They found t</w:t>
      </w:r>
      <w:r w:rsidR="007A4329" w:rsidRPr="007A4329">
        <w:t>here was insufficient evidence to prove</w:t>
      </w:r>
      <w:r w:rsidR="001B4B84">
        <w:t xml:space="preserve"> beyond a reasonable doubt</w:t>
      </w:r>
      <w:r w:rsidR="007A4329" w:rsidRPr="007A4329">
        <w:t xml:space="preserve"> that the impugned area was habitat</w:t>
      </w:r>
      <w:r w:rsidR="001B4B84">
        <w:t xml:space="preserve"> </w:t>
      </w:r>
      <w:r w:rsidR="001B4B84" w:rsidRPr="007A4329">
        <w:t>at the time of the offence</w:t>
      </w:r>
      <w:r w:rsidR="007A4329" w:rsidRPr="007A4329">
        <w:t>.</w:t>
      </w:r>
      <w:r w:rsidR="00AD79A2">
        <w:t xml:space="preserve"> </w:t>
      </w:r>
    </w:p>
    <w:p w14:paraId="10A14DC8" w14:textId="64FC7C08" w:rsidR="00DD6E8C" w:rsidRDefault="007A4329" w:rsidP="00497CA4">
      <w:pPr>
        <w:pStyle w:val="WSParaNum"/>
        <w:spacing w:before="0" w:after="0"/>
      </w:pPr>
      <w:r w:rsidRPr="007A4329">
        <w:t xml:space="preserve">The </w:t>
      </w:r>
      <w:r w:rsidR="001B4B84">
        <w:t>ONCJ</w:t>
      </w:r>
      <w:r w:rsidRPr="007A4329">
        <w:t xml:space="preserve"> correctly concluded that</w:t>
      </w:r>
      <w:r w:rsidR="001B4B84">
        <w:t xml:space="preserve"> at trial,</w:t>
      </w:r>
      <w:r w:rsidRPr="007A4329">
        <w:t xml:space="preserve"> the</w:t>
      </w:r>
      <w:r w:rsidR="00A212E0">
        <w:t xml:space="preserve"> Justice of the Peace</w:t>
      </w:r>
      <w:r w:rsidRPr="007A4329">
        <w:t xml:space="preserve"> </w:t>
      </w:r>
      <w:r w:rsidR="00A212E0">
        <w:t>(the “</w:t>
      </w:r>
      <w:r w:rsidRPr="007A4329">
        <w:t>T</w:t>
      </w:r>
      <w:r w:rsidR="00AD79A2">
        <w:t>rial Justice</w:t>
      </w:r>
      <w:r w:rsidR="00A212E0">
        <w:t>”)</w:t>
      </w:r>
      <w:r w:rsidRPr="007A4329">
        <w:t xml:space="preserve"> erred by relying heavily on evidence of Blanding’s Turtle sightings before and after the time of the offence. The </w:t>
      </w:r>
      <w:r w:rsidR="001B4B84">
        <w:t>ONCJ</w:t>
      </w:r>
      <w:r w:rsidRPr="007A4329">
        <w:t xml:space="preserve">’s conclusion does not create </w:t>
      </w:r>
      <w:r w:rsidR="00F70A7F">
        <w:t xml:space="preserve">a </w:t>
      </w:r>
      <w:r w:rsidRPr="007A4329">
        <w:t xml:space="preserve">precedent that contemporaneous evidence is always required to find an area habitat under the </w:t>
      </w:r>
      <w:r w:rsidRPr="007A4329">
        <w:rPr>
          <w:i/>
          <w:iCs/>
        </w:rPr>
        <w:t>ESA</w:t>
      </w:r>
      <w:r w:rsidRPr="007A4329">
        <w:t xml:space="preserve">. Rather, the </w:t>
      </w:r>
      <w:r w:rsidR="001B4B84">
        <w:t>ONCJ</w:t>
      </w:r>
      <w:r w:rsidRPr="007A4329">
        <w:t>’s conclusion is based on established evidentiary principles that preclude conviction on circumstantial evidence alone if other evidence that raises a doubt of guilt is available.</w:t>
      </w:r>
    </w:p>
    <w:p w14:paraId="34BC2280" w14:textId="651D1DC1" w:rsidR="00AD79A2" w:rsidRPr="003A7C1F" w:rsidRDefault="00AD79A2" w:rsidP="00497CA4">
      <w:pPr>
        <w:pStyle w:val="WSParaNum"/>
        <w:spacing w:before="0" w:after="0"/>
      </w:pPr>
      <w:r w:rsidRPr="003A7C1F">
        <w:t xml:space="preserve">The </w:t>
      </w:r>
      <w:r w:rsidR="001B4B84" w:rsidRPr="003A7C1F">
        <w:t>ONCJ</w:t>
      </w:r>
      <w:r w:rsidRPr="003A7C1F">
        <w:t xml:space="preserve"> also correctly concluded that the Trial Justice erred by relying heavily on the General Habitat Description (“GHD”), a non-legal document, to conclude that the area was Blanding’s Turtle habitat. </w:t>
      </w:r>
      <w:r w:rsidR="000212C8">
        <w:t xml:space="preserve">The GHD was </w:t>
      </w:r>
      <w:r w:rsidR="00211745">
        <w:t>a</w:t>
      </w:r>
      <w:r w:rsidR="000212C8">
        <w:t xml:space="preserve"> primary piece of evidence supporting the Trial Justice’s conclusion that the impugned area was Blanding’s Turtle habitat. As a non-legal document, it should not have been determinative of CHL’s conviction. </w:t>
      </w:r>
    </w:p>
    <w:p w14:paraId="2D1FCAA4" w14:textId="3F2AB724" w:rsidR="00AD79A2" w:rsidRDefault="00AD79A2" w:rsidP="00497CA4">
      <w:pPr>
        <w:pStyle w:val="WSParaNum"/>
        <w:spacing w:before="0" w:after="0"/>
      </w:pPr>
      <w:r w:rsidRPr="00AD79A2">
        <w:t xml:space="preserve">The </w:t>
      </w:r>
      <w:r w:rsidR="001B4B84">
        <w:t>ONCJ</w:t>
      </w:r>
      <w:r w:rsidRPr="00AD79A2">
        <w:t xml:space="preserve"> considered the full definition of habitat</w:t>
      </w:r>
      <w:r w:rsidR="00797309">
        <w:t xml:space="preserve"> in the </w:t>
      </w:r>
      <w:r w:rsidR="00797309">
        <w:rPr>
          <w:i/>
          <w:iCs/>
        </w:rPr>
        <w:t>ESA</w:t>
      </w:r>
      <w:r w:rsidRPr="00AD79A2">
        <w:t xml:space="preserve">, which includes areas that species indirectly rely on. The evidence adduced by the Crown was insufficient to conclusively prove that the area </w:t>
      </w:r>
      <w:r>
        <w:t xml:space="preserve">was </w:t>
      </w:r>
      <w:r w:rsidRPr="00AD79A2">
        <w:t>being relied on by B</w:t>
      </w:r>
      <w:r>
        <w:t>landing’s Turtles</w:t>
      </w:r>
      <w:r w:rsidRPr="00AD79A2">
        <w:t>, either directly or indirectly</w:t>
      </w:r>
      <w:r w:rsidR="00797309">
        <w:t>, at the time of the offence</w:t>
      </w:r>
      <w:r w:rsidRPr="00AD79A2">
        <w:t>.</w:t>
      </w:r>
      <w:r>
        <w:t xml:space="preserve"> Even if the </w:t>
      </w:r>
      <w:r w:rsidRPr="00AD79A2">
        <w:t>new definition of habitat amended pursuant to</w:t>
      </w:r>
      <w:r w:rsidR="00E165EA">
        <w:t xml:space="preserve"> the </w:t>
      </w:r>
      <w:r w:rsidR="00E165EA" w:rsidRPr="00E165EA">
        <w:rPr>
          <w:i/>
          <w:iCs/>
        </w:rPr>
        <w:t xml:space="preserve">Protect </w:t>
      </w:r>
      <w:r w:rsidR="00E165EA" w:rsidRPr="00E165EA">
        <w:rPr>
          <w:i/>
          <w:iCs/>
        </w:rPr>
        <w:lastRenderedPageBreak/>
        <w:t>Ontario by Unleashing our Economy Act</w:t>
      </w:r>
      <w:r w:rsidRPr="00AD79A2">
        <w:t xml:space="preserve"> </w:t>
      </w:r>
      <w:r w:rsidR="00E165EA">
        <w:t>(</w:t>
      </w:r>
      <w:r w:rsidRPr="00AD79A2">
        <w:t xml:space="preserve">the </w:t>
      </w:r>
      <w:r w:rsidR="00E165EA">
        <w:t>“</w:t>
      </w:r>
      <w:r w:rsidRPr="00E165EA">
        <w:rPr>
          <w:i/>
          <w:iCs/>
        </w:rPr>
        <w:t>POU</w:t>
      </w:r>
      <w:r w:rsidR="00F70A7F">
        <w:rPr>
          <w:i/>
          <w:iCs/>
        </w:rPr>
        <w:t>E</w:t>
      </w:r>
      <w:r w:rsidRPr="00E165EA">
        <w:rPr>
          <w:i/>
          <w:iCs/>
        </w:rPr>
        <w:t>A</w:t>
      </w:r>
      <w:r w:rsidR="00E165EA">
        <w:t>”)</w:t>
      </w:r>
      <w:r w:rsidRPr="00AD79A2">
        <w:t xml:space="preserve"> had been in force</w:t>
      </w:r>
      <w:r w:rsidR="00E165EA">
        <w:t xml:space="preserve"> at the time of the offence</w:t>
      </w:r>
      <w:r w:rsidRPr="00AD79A2">
        <w:t>, CHL would not have been convicted at trial.</w:t>
      </w:r>
    </w:p>
    <w:p w14:paraId="027DA994" w14:textId="3F04A126" w:rsidR="00034E1F" w:rsidRPr="00034E1F" w:rsidRDefault="00034E1F" w:rsidP="00E165EA">
      <w:pPr>
        <w:pStyle w:val="WSParaNum"/>
        <w:numPr>
          <w:ilvl w:val="0"/>
          <w:numId w:val="0"/>
        </w:numPr>
        <w:spacing w:before="0" w:after="0" w:line="240" w:lineRule="auto"/>
        <w:ind w:left="720"/>
        <w:rPr>
          <w:sz w:val="20"/>
          <w:szCs w:val="20"/>
        </w:rPr>
      </w:pPr>
      <w:r>
        <w:rPr>
          <w:i/>
          <w:iCs/>
          <w:sz w:val="20"/>
          <w:szCs w:val="20"/>
        </w:rPr>
        <w:t>ESA</w:t>
      </w:r>
      <w:r>
        <w:rPr>
          <w:sz w:val="20"/>
          <w:szCs w:val="20"/>
        </w:rPr>
        <w:t xml:space="preserve">, </w:t>
      </w:r>
      <w:r>
        <w:rPr>
          <w:i/>
          <w:iCs/>
          <w:sz w:val="20"/>
          <w:szCs w:val="20"/>
        </w:rPr>
        <w:t xml:space="preserve">supra </w:t>
      </w:r>
      <w:r>
        <w:rPr>
          <w:sz w:val="20"/>
          <w:szCs w:val="20"/>
        </w:rPr>
        <w:t>para 1, s 2(1)(b).</w:t>
      </w:r>
    </w:p>
    <w:p w14:paraId="16F4D46D" w14:textId="4DEBDD99" w:rsidR="00E165EA" w:rsidRPr="00E165EA" w:rsidRDefault="00E165EA" w:rsidP="0042172A">
      <w:pPr>
        <w:pStyle w:val="WSParaNum"/>
        <w:numPr>
          <w:ilvl w:val="0"/>
          <w:numId w:val="0"/>
        </w:numPr>
        <w:spacing w:before="0" w:after="0" w:line="240" w:lineRule="auto"/>
        <w:ind w:left="720"/>
        <w:rPr>
          <w:sz w:val="20"/>
          <w:szCs w:val="20"/>
        </w:rPr>
      </w:pPr>
      <w:r w:rsidRPr="00E165EA">
        <w:rPr>
          <w:i/>
          <w:iCs/>
          <w:sz w:val="20"/>
          <w:szCs w:val="20"/>
        </w:rPr>
        <w:t>Protect Ontario by Unleashing our Economy Act</w:t>
      </w:r>
      <w:r w:rsidRPr="00E165EA">
        <w:rPr>
          <w:sz w:val="20"/>
          <w:szCs w:val="20"/>
        </w:rPr>
        <w:t>, SO 2025, c 4, Sch 2</w:t>
      </w:r>
      <w:r w:rsidR="001B4B84">
        <w:rPr>
          <w:sz w:val="20"/>
          <w:szCs w:val="20"/>
        </w:rPr>
        <w:t xml:space="preserve"> [</w:t>
      </w:r>
      <w:r w:rsidR="001B4B84">
        <w:rPr>
          <w:i/>
          <w:iCs/>
          <w:sz w:val="20"/>
          <w:szCs w:val="20"/>
        </w:rPr>
        <w:t>POU</w:t>
      </w:r>
      <w:r w:rsidR="00F70A7F">
        <w:rPr>
          <w:i/>
          <w:iCs/>
          <w:sz w:val="20"/>
          <w:szCs w:val="20"/>
        </w:rPr>
        <w:t>E</w:t>
      </w:r>
      <w:r w:rsidR="001B4B84">
        <w:rPr>
          <w:i/>
          <w:iCs/>
          <w:sz w:val="20"/>
          <w:szCs w:val="20"/>
        </w:rPr>
        <w:t>A</w:t>
      </w:r>
      <w:r w:rsidR="001B4B84">
        <w:rPr>
          <w:sz w:val="20"/>
          <w:szCs w:val="20"/>
        </w:rPr>
        <w:t>]</w:t>
      </w:r>
      <w:r w:rsidRPr="00E165EA">
        <w:rPr>
          <w:sz w:val="20"/>
          <w:szCs w:val="20"/>
        </w:rPr>
        <w:t>.</w:t>
      </w:r>
    </w:p>
    <w:p w14:paraId="17319DDE" w14:textId="77EA1457" w:rsidR="00DD6E8C" w:rsidRPr="00562AC6" w:rsidRDefault="00EE2290" w:rsidP="00562AC6">
      <w:pPr>
        <w:pStyle w:val="Heading2"/>
      </w:pPr>
      <w:bookmarkStart w:id="4" w:name="_Toc271703731"/>
      <w:bookmarkStart w:id="5" w:name="_Toc220051331"/>
      <w:r w:rsidRPr="00562AC6">
        <w:t>Respondent’s Position with Respect to the Appellant</w:t>
      </w:r>
      <w:r w:rsidR="00346BCB">
        <w:t>’</w:t>
      </w:r>
      <w:r w:rsidR="00562AC6">
        <w:t>s</w:t>
      </w:r>
      <w:r w:rsidRPr="00562AC6">
        <w:t xml:space="preserve"> </w:t>
      </w:r>
      <w:r w:rsidR="00D678D8" w:rsidRPr="00562AC6">
        <w:t>Statement of Facts</w:t>
      </w:r>
      <w:bookmarkEnd w:id="4"/>
      <w:bookmarkEnd w:id="5"/>
    </w:p>
    <w:p w14:paraId="12C36BB4" w14:textId="4873365B" w:rsidR="0042172A" w:rsidRPr="00D678D8" w:rsidRDefault="0042172A" w:rsidP="0042172A">
      <w:pPr>
        <w:pStyle w:val="WSParaNum"/>
        <w:spacing w:before="0" w:after="0"/>
      </w:pPr>
      <w:r w:rsidRPr="0042172A">
        <w:t>The Respondent agrees with a portion of the Appellant’s statement of facts. However, the Respondent disagrees with the Appellant’s wording and omission of certain facts regarding the damage caused by CHL and evidence established in the lower courts.</w:t>
      </w:r>
    </w:p>
    <w:p w14:paraId="0643A19A" w14:textId="25960C4D" w:rsidR="0007098C" w:rsidRPr="00562AC6" w:rsidRDefault="0042172A" w:rsidP="00562AC6">
      <w:pPr>
        <w:pStyle w:val="Heading3"/>
      </w:pPr>
      <w:bookmarkStart w:id="6" w:name="_Toc220051332"/>
      <w:r w:rsidRPr="00562AC6">
        <w:t>Damage Caused by CHL</w:t>
      </w:r>
      <w:bookmarkEnd w:id="6"/>
    </w:p>
    <w:p w14:paraId="6B9B32A9" w14:textId="155B42C6" w:rsidR="0007098C" w:rsidRDefault="0042172A" w:rsidP="00F50655">
      <w:pPr>
        <w:pStyle w:val="WSParaNum"/>
        <w:spacing w:before="0" w:after="0"/>
        <w:jc w:val="both"/>
      </w:pPr>
      <w:r w:rsidRPr="0042172A">
        <w:t xml:space="preserve">From June 1 </w:t>
      </w:r>
      <w:r w:rsidR="00F50655">
        <w:t xml:space="preserve">– </w:t>
      </w:r>
      <w:r w:rsidRPr="0042172A">
        <w:t>August 5, 2018, CHL cleared an area in preparation for construction work in the Circle Lake area. The area that was cleared was located south of Circle Lake Road, east of Wallace Road, and West of Circle lake in the city of North Bay</w:t>
      </w:r>
      <w:r w:rsidR="00346BCB">
        <w:t>, Ontario</w:t>
      </w:r>
      <w:r w:rsidRPr="0042172A">
        <w:t xml:space="preserve"> (the “Site”)</w:t>
      </w:r>
      <w:r>
        <w:t>.</w:t>
      </w:r>
    </w:p>
    <w:p w14:paraId="13B2C532" w14:textId="12779B40" w:rsidR="0042172A" w:rsidRDefault="0042172A" w:rsidP="0042172A">
      <w:pPr>
        <w:pStyle w:val="WSParaNum"/>
        <w:numPr>
          <w:ilvl w:val="0"/>
          <w:numId w:val="0"/>
        </w:numPr>
        <w:spacing w:before="0" w:after="0" w:line="240" w:lineRule="auto"/>
        <w:ind w:firstLine="720"/>
        <w:rPr>
          <w:sz w:val="20"/>
          <w:szCs w:val="20"/>
        </w:rPr>
      </w:pPr>
      <w:r w:rsidRPr="0042172A">
        <w:rPr>
          <w:i/>
          <w:iCs/>
          <w:sz w:val="20"/>
          <w:szCs w:val="20"/>
        </w:rPr>
        <w:t>R v Consolidated Homes</w:t>
      </w:r>
      <w:r w:rsidRPr="0042172A">
        <w:rPr>
          <w:sz w:val="20"/>
          <w:szCs w:val="20"/>
        </w:rPr>
        <w:t xml:space="preserve"> (12 October 2022), North Bay (ONCJ) at 4 [</w:t>
      </w:r>
      <w:r w:rsidRPr="0042172A">
        <w:rPr>
          <w:i/>
          <w:iCs/>
          <w:sz w:val="20"/>
          <w:szCs w:val="20"/>
        </w:rPr>
        <w:t>Trial Reasons</w:t>
      </w:r>
      <w:r w:rsidRPr="0042172A">
        <w:rPr>
          <w:sz w:val="20"/>
          <w:szCs w:val="20"/>
        </w:rPr>
        <w:t>].</w:t>
      </w:r>
    </w:p>
    <w:p w14:paraId="0B8675A7" w14:textId="77777777" w:rsidR="0042172A" w:rsidRPr="0042172A" w:rsidRDefault="0042172A" w:rsidP="0042172A">
      <w:pPr>
        <w:pStyle w:val="WSParaNum"/>
        <w:numPr>
          <w:ilvl w:val="0"/>
          <w:numId w:val="0"/>
        </w:numPr>
        <w:spacing w:before="0" w:after="0" w:line="240" w:lineRule="auto"/>
        <w:rPr>
          <w:sz w:val="20"/>
          <w:szCs w:val="20"/>
        </w:rPr>
      </w:pPr>
    </w:p>
    <w:p w14:paraId="3BF3738F" w14:textId="130E256E" w:rsidR="0007098C" w:rsidRDefault="0042172A" w:rsidP="00497CA4">
      <w:pPr>
        <w:pStyle w:val="WSParaNum"/>
        <w:spacing w:before="0" w:after="0"/>
      </w:pPr>
      <w:r w:rsidRPr="0042172A">
        <w:t xml:space="preserve">On March 2, 2017, the Ministry of Natural Resources and Forestry (the “MNRF”) issued </w:t>
      </w:r>
      <w:r w:rsidR="00F70A7F">
        <w:t xml:space="preserve">to </w:t>
      </w:r>
      <w:r w:rsidR="00211745">
        <w:t xml:space="preserve">CHL </w:t>
      </w:r>
      <w:r w:rsidRPr="0042172A">
        <w:t xml:space="preserve">a stop work order regarding construction work </w:t>
      </w:r>
      <w:r w:rsidR="003558FD">
        <w:t>they were</w:t>
      </w:r>
      <w:r w:rsidRPr="0042172A">
        <w:t xml:space="preserve"> carrying out approximate to the Site. The stop work order informed CHL of the potential for Blanding’s Turtles in the area and stated that “should further activities be proposed beyond the existing footprint existing altered area at the date of this letter, MNRF should be consulted to discuss potential avoidance measures or potential authorization to ensure compliance under the ESA and protection of the habitat”</w:t>
      </w:r>
      <w:r w:rsidR="0007124A">
        <w:t>.</w:t>
      </w:r>
      <w:r w:rsidRPr="0042172A">
        <w:t xml:space="preserve"> A</w:t>
      </w:r>
      <w:r w:rsidR="00233179">
        <w:t xml:space="preserve"> map was also a</w:t>
      </w:r>
      <w:r w:rsidRPr="0042172A">
        <w:t>ttached to the stop work order</w:t>
      </w:r>
      <w:r w:rsidR="00233179">
        <w:t xml:space="preserve">, </w:t>
      </w:r>
      <w:r w:rsidRPr="0042172A">
        <w:t xml:space="preserve">which indicated </w:t>
      </w:r>
      <w:r w:rsidR="000212C8" w:rsidRPr="0042172A">
        <w:t xml:space="preserve">a hatched area </w:t>
      </w:r>
      <w:r w:rsidR="000212C8">
        <w:t xml:space="preserve">as </w:t>
      </w:r>
      <w:r w:rsidRPr="0042172A">
        <w:t>potential Blanding’s Turtle habitat.</w:t>
      </w:r>
    </w:p>
    <w:p w14:paraId="784B9846" w14:textId="06D93130" w:rsidR="0042172A" w:rsidRDefault="0042172A" w:rsidP="00233179">
      <w:pPr>
        <w:pStyle w:val="WSParaNum"/>
        <w:numPr>
          <w:ilvl w:val="0"/>
          <w:numId w:val="0"/>
        </w:numPr>
        <w:spacing w:before="0" w:after="0" w:line="240" w:lineRule="auto"/>
        <w:ind w:left="720"/>
        <w:rPr>
          <w:sz w:val="20"/>
          <w:szCs w:val="20"/>
        </w:rPr>
      </w:pPr>
      <w:r w:rsidRPr="00754AFB">
        <w:rPr>
          <w:i/>
          <w:iCs/>
          <w:sz w:val="20"/>
          <w:szCs w:val="20"/>
        </w:rPr>
        <w:t>R v Consolidated Homes</w:t>
      </w:r>
      <w:r>
        <w:rPr>
          <w:sz w:val="20"/>
          <w:szCs w:val="20"/>
        </w:rPr>
        <w:t xml:space="preserve"> </w:t>
      </w:r>
      <w:r w:rsidRPr="00FB2CE0">
        <w:rPr>
          <w:i/>
          <w:iCs/>
          <w:sz w:val="20"/>
          <w:szCs w:val="20"/>
        </w:rPr>
        <w:t>Ltd.</w:t>
      </w:r>
      <w:r>
        <w:rPr>
          <w:sz w:val="20"/>
          <w:szCs w:val="20"/>
        </w:rPr>
        <w:t xml:space="preserve"> (20 August 2024), North Bay 2560-999-19-0038 (</w:t>
      </w:r>
      <w:r w:rsidR="001B4B84">
        <w:rPr>
          <w:sz w:val="20"/>
          <w:szCs w:val="20"/>
        </w:rPr>
        <w:t>ONCJ</w:t>
      </w:r>
      <w:r>
        <w:rPr>
          <w:sz w:val="20"/>
          <w:szCs w:val="20"/>
        </w:rPr>
        <w:t>) at 16 [</w:t>
      </w:r>
      <w:r w:rsidR="001B4B84">
        <w:rPr>
          <w:i/>
          <w:iCs/>
          <w:sz w:val="20"/>
          <w:szCs w:val="20"/>
        </w:rPr>
        <w:t>ONCJ</w:t>
      </w:r>
      <w:r>
        <w:rPr>
          <w:i/>
          <w:iCs/>
          <w:sz w:val="20"/>
          <w:szCs w:val="20"/>
        </w:rPr>
        <w:t xml:space="preserve"> Reasons</w:t>
      </w:r>
      <w:r>
        <w:rPr>
          <w:sz w:val="20"/>
          <w:szCs w:val="20"/>
        </w:rPr>
        <w:t>].</w:t>
      </w:r>
    </w:p>
    <w:p w14:paraId="1F3EDE9A" w14:textId="7200413C" w:rsidR="003558FD" w:rsidRDefault="0042172A" w:rsidP="003558FD">
      <w:pPr>
        <w:pStyle w:val="WSParaNum"/>
        <w:numPr>
          <w:ilvl w:val="0"/>
          <w:numId w:val="0"/>
        </w:numPr>
        <w:spacing w:before="0" w:after="0" w:line="240" w:lineRule="auto"/>
        <w:ind w:firstLine="720"/>
      </w:pPr>
      <w:r>
        <w:rPr>
          <w:i/>
          <w:iCs/>
          <w:sz w:val="20"/>
          <w:szCs w:val="20"/>
        </w:rPr>
        <w:t>Trial Reasons</w:t>
      </w:r>
      <w:r>
        <w:rPr>
          <w:sz w:val="20"/>
          <w:szCs w:val="20"/>
        </w:rPr>
        <w:t xml:space="preserve">, </w:t>
      </w:r>
      <w:r>
        <w:rPr>
          <w:i/>
          <w:iCs/>
          <w:sz w:val="20"/>
          <w:szCs w:val="20"/>
        </w:rPr>
        <w:t xml:space="preserve">supra </w:t>
      </w:r>
      <w:r>
        <w:rPr>
          <w:sz w:val="20"/>
          <w:szCs w:val="20"/>
        </w:rPr>
        <w:t xml:space="preserve">para </w:t>
      </w:r>
      <w:r w:rsidR="003A7C1F">
        <w:rPr>
          <w:sz w:val="20"/>
          <w:szCs w:val="20"/>
        </w:rPr>
        <w:t>7</w:t>
      </w:r>
      <w:r>
        <w:rPr>
          <w:sz w:val="20"/>
          <w:szCs w:val="20"/>
        </w:rPr>
        <w:t xml:space="preserve"> at 5. </w:t>
      </w:r>
    </w:p>
    <w:p w14:paraId="3A94085E" w14:textId="77777777" w:rsidR="003558FD" w:rsidRPr="003558FD" w:rsidRDefault="003558FD" w:rsidP="003558FD">
      <w:pPr>
        <w:pStyle w:val="WSParaNum"/>
        <w:numPr>
          <w:ilvl w:val="0"/>
          <w:numId w:val="0"/>
        </w:numPr>
        <w:spacing w:before="0" w:after="0" w:line="240" w:lineRule="auto"/>
        <w:ind w:firstLine="720"/>
        <w:rPr>
          <w:sz w:val="20"/>
          <w:szCs w:val="20"/>
        </w:rPr>
      </w:pPr>
    </w:p>
    <w:p w14:paraId="05A4F9AA" w14:textId="70522DEE" w:rsidR="0007098C" w:rsidRDefault="003558FD" w:rsidP="00497CA4">
      <w:pPr>
        <w:pStyle w:val="WSParaNum"/>
        <w:spacing w:before="0" w:after="0"/>
      </w:pPr>
      <w:r w:rsidRPr="003558FD">
        <w:t xml:space="preserve">CHL complied with the stop work order. On October 6, 2017, CHL members met with MNRF staff to discuss options to comply and there were ongoing discussions between CHL and MNRF employees. Subsequently, CHL obtained </w:t>
      </w:r>
      <w:r w:rsidR="000212C8">
        <w:t>a DIA (</w:t>
      </w:r>
      <w:r w:rsidR="00211745">
        <w:t>D</w:t>
      </w:r>
      <w:r w:rsidR="000212C8">
        <w:t>evelopment</w:t>
      </w:r>
      <w:r w:rsidR="00211745">
        <w:t>,</w:t>
      </w:r>
      <w:r w:rsidR="000212C8">
        <w:t xml:space="preserve"> </w:t>
      </w:r>
      <w:r w:rsidR="00211745">
        <w:t>I</w:t>
      </w:r>
      <w:r w:rsidR="000212C8">
        <w:t xml:space="preserve">nterference with </w:t>
      </w:r>
      <w:r w:rsidR="00211745">
        <w:t>We</w:t>
      </w:r>
      <w:r w:rsidR="000212C8">
        <w:t xml:space="preserve">tlands and </w:t>
      </w:r>
      <w:r w:rsidR="00211745">
        <w:t>A</w:t>
      </w:r>
      <w:r w:rsidR="000212C8">
        <w:t>lterations)</w:t>
      </w:r>
      <w:r w:rsidRPr="003558FD">
        <w:t xml:space="preserve"> permit </w:t>
      </w:r>
      <w:r w:rsidR="00F70A7F">
        <w:t xml:space="preserve">to </w:t>
      </w:r>
      <w:r w:rsidRPr="003558FD">
        <w:t>authoriz</w:t>
      </w:r>
      <w:r w:rsidR="00F70A7F">
        <w:t>e</w:t>
      </w:r>
      <w:r w:rsidRPr="003558FD">
        <w:t xml:space="preserve"> their </w:t>
      </w:r>
      <w:r w:rsidR="000212C8">
        <w:t>work</w:t>
      </w:r>
      <w:r w:rsidRPr="003558FD">
        <w:t>.</w:t>
      </w:r>
      <w:r w:rsidR="00577D48">
        <w:t xml:space="preserve"> </w:t>
      </w:r>
      <w:r w:rsidR="006F2998">
        <w:t>I</w:t>
      </w:r>
      <w:r w:rsidR="00577D48">
        <w:t xml:space="preserve">n November 2017, the </w:t>
      </w:r>
      <w:r w:rsidR="00577D48" w:rsidRPr="00577D48">
        <w:t>Scope Site Environmental Impact Study Report for the Wallace Road Condominium Applications (the “Wallace Road Report”)</w:t>
      </w:r>
      <w:r w:rsidR="00577D48">
        <w:t xml:space="preserve"> was conducted </w:t>
      </w:r>
      <w:r w:rsidR="006F2998">
        <w:t xml:space="preserve">on CHL’s property. Page 9 of the Wallace Road Report </w:t>
      </w:r>
      <w:r w:rsidR="006F2998">
        <w:lastRenderedPageBreak/>
        <w:t>stated that “</w:t>
      </w:r>
      <w:r w:rsidR="006F2998" w:rsidRPr="00D06899">
        <w:t>none of the above noted species or any other SAR were observed or heard on or within the 120 meters of the study area during our investigation nor was there use...</w:t>
      </w:r>
      <w:r w:rsidR="006F2998">
        <w:t>”.</w:t>
      </w:r>
    </w:p>
    <w:p w14:paraId="65400B3F" w14:textId="5B223CE2" w:rsidR="003558FD" w:rsidRDefault="001B4B84" w:rsidP="003558FD">
      <w:pPr>
        <w:pStyle w:val="WSParaNum"/>
        <w:numPr>
          <w:ilvl w:val="0"/>
          <w:numId w:val="0"/>
        </w:numPr>
        <w:spacing w:before="0" w:after="0" w:line="240" w:lineRule="auto"/>
        <w:ind w:firstLine="720"/>
        <w:rPr>
          <w:sz w:val="20"/>
          <w:szCs w:val="20"/>
        </w:rPr>
      </w:pPr>
      <w:r>
        <w:rPr>
          <w:i/>
          <w:iCs/>
          <w:sz w:val="20"/>
          <w:szCs w:val="20"/>
        </w:rPr>
        <w:t>ONCJ</w:t>
      </w:r>
      <w:r w:rsidR="003558FD" w:rsidRPr="003558FD">
        <w:rPr>
          <w:i/>
          <w:iCs/>
          <w:sz w:val="20"/>
          <w:szCs w:val="20"/>
        </w:rPr>
        <w:t xml:space="preserve"> Reasons</w:t>
      </w:r>
      <w:r w:rsidR="003558FD" w:rsidRPr="003558FD">
        <w:rPr>
          <w:sz w:val="20"/>
          <w:szCs w:val="20"/>
        </w:rPr>
        <w:t xml:space="preserve">, </w:t>
      </w:r>
      <w:r w:rsidR="003558FD" w:rsidRPr="003558FD">
        <w:rPr>
          <w:i/>
          <w:iCs/>
          <w:sz w:val="20"/>
          <w:szCs w:val="20"/>
        </w:rPr>
        <w:t xml:space="preserve">supra </w:t>
      </w:r>
      <w:r w:rsidR="003558FD" w:rsidRPr="003558FD">
        <w:rPr>
          <w:sz w:val="20"/>
          <w:szCs w:val="20"/>
        </w:rPr>
        <w:t xml:space="preserve">para </w:t>
      </w:r>
      <w:r w:rsidR="003A7C1F">
        <w:rPr>
          <w:sz w:val="20"/>
          <w:szCs w:val="20"/>
        </w:rPr>
        <w:t>8</w:t>
      </w:r>
      <w:r w:rsidR="003558FD" w:rsidRPr="003558FD">
        <w:rPr>
          <w:sz w:val="20"/>
          <w:szCs w:val="20"/>
        </w:rPr>
        <w:t xml:space="preserve"> at 6</w:t>
      </w:r>
      <w:r w:rsidR="006F2998" w:rsidRPr="003558FD">
        <w:rPr>
          <w:sz w:val="20"/>
          <w:szCs w:val="20"/>
        </w:rPr>
        <w:t>–</w:t>
      </w:r>
      <w:r w:rsidR="006F2998">
        <w:rPr>
          <w:sz w:val="20"/>
          <w:szCs w:val="20"/>
        </w:rPr>
        <w:t xml:space="preserve">7, </w:t>
      </w:r>
      <w:r w:rsidR="003558FD" w:rsidRPr="003558FD">
        <w:rPr>
          <w:sz w:val="20"/>
          <w:szCs w:val="20"/>
        </w:rPr>
        <w:t>1</w:t>
      </w:r>
      <w:r w:rsidR="006F2998">
        <w:rPr>
          <w:sz w:val="20"/>
          <w:szCs w:val="20"/>
        </w:rPr>
        <w:t>5</w:t>
      </w:r>
      <w:r w:rsidR="003558FD" w:rsidRPr="003558FD">
        <w:rPr>
          <w:sz w:val="20"/>
          <w:szCs w:val="20"/>
        </w:rPr>
        <w:t xml:space="preserve">–18. </w:t>
      </w:r>
    </w:p>
    <w:p w14:paraId="1F8A6B60" w14:textId="77777777" w:rsidR="003558FD" w:rsidRDefault="003558FD" w:rsidP="003558FD">
      <w:pPr>
        <w:pStyle w:val="WSParaNum"/>
        <w:numPr>
          <w:ilvl w:val="0"/>
          <w:numId w:val="0"/>
        </w:numPr>
        <w:spacing w:before="0" w:after="0" w:line="240" w:lineRule="auto"/>
        <w:rPr>
          <w:sz w:val="20"/>
          <w:szCs w:val="20"/>
        </w:rPr>
      </w:pPr>
    </w:p>
    <w:p w14:paraId="2E44505F" w14:textId="0D0C9028" w:rsidR="003558FD" w:rsidRDefault="003558FD" w:rsidP="003558FD">
      <w:pPr>
        <w:pStyle w:val="WSParaNum"/>
        <w:spacing w:before="0" w:after="0"/>
      </w:pPr>
      <w:r>
        <w:t>Steps were also taken t</w:t>
      </w:r>
      <w:r w:rsidRPr="003558FD">
        <w:t>o protect the wetland and the potential Blanding’s Turtle habitat</w:t>
      </w:r>
      <w:r>
        <w:t xml:space="preserve">. In November 2017, </w:t>
      </w:r>
      <w:r w:rsidRPr="003558FD">
        <w:t>Shamus Snell (“Mr. Snell</w:t>
      </w:r>
      <w:r>
        <w:t>”</w:t>
      </w:r>
      <w:r w:rsidR="000212C8">
        <w:t>,</w:t>
      </w:r>
      <w:r>
        <w:t xml:space="preserve"> the Crown’s expert witness</w:t>
      </w:r>
      <w:r w:rsidR="000212C8">
        <w:t>)</w:t>
      </w:r>
      <w:r w:rsidRPr="003558FD">
        <w:t xml:space="preserve">, MNRF employees, and others </w:t>
      </w:r>
      <w:r w:rsidR="006F2998">
        <w:t>visited the Site</w:t>
      </w:r>
      <w:r w:rsidRPr="003558FD">
        <w:t xml:space="preserve"> to</w:t>
      </w:r>
      <w:r w:rsidR="006F2998">
        <w:t xml:space="preserve"> mark the wetland and</w:t>
      </w:r>
      <w:r w:rsidRPr="003558FD">
        <w:t xml:space="preserve"> physically</w:t>
      </w:r>
      <w:r w:rsidR="006F2998" w:rsidRPr="00801C5A">
        <w:t xml:space="preserve"> delineate </w:t>
      </w:r>
      <w:r w:rsidR="006F2998">
        <w:t>a 30</w:t>
      </w:r>
      <w:r w:rsidR="00211745">
        <w:t>-</w:t>
      </w:r>
      <w:r w:rsidR="006F2998">
        <w:t xml:space="preserve">meter </w:t>
      </w:r>
      <w:r w:rsidR="00211745">
        <w:t xml:space="preserve">boundary </w:t>
      </w:r>
      <w:r w:rsidR="006F2998">
        <w:t>around the lake.</w:t>
      </w:r>
      <w:r w:rsidRPr="003558FD">
        <w:t xml:space="preserve"> This boundary was </w:t>
      </w:r>
      <w:r w:rsidR="006F2998">
        <w:t xml:space="preserve">also </w:t>
      </w:r>
      <w:r w:rsidRPr="003558FD">
        <w:t xml:space="preserve">adopted in </w:t>
      </w:r>
      <w:r w:rsidR="006F2998">
        <w:t>the Wallace Road Report</w:t>
      </w:r>
      <w:r w:rsidRPr="003558FD">
        <w:t>.</w:t>
      </w:r>
    </w:p>
    <w:p w14:paraId="6820E765" w14:textId="77777777" w:rsidR="003A7C1F" w:rsidRDefault="001B4B84" w:rsidP="003A7C1F">
      <w:pPr>
        <w:pStyle w:val="WSParaNum"/>
        <w:numPr>
          <w:ilvl w:val="0"/>
          <w:numId w:val="0"/>
        </w:numPr>
        <w:spacing w:before="0" w:after="0" w:line="240" w:lineRule="auto"/>
        <w:ind w:firstLine="720"/>
        <w:rPr>
          <w:sz w:val="20"/>
          <w:szCs w:val="20"/>
        </w:rPr>
      </w:pPr>
      <w:r>
        <w:rPr>
          <w:i/>
          <w:iCs/>
          <w:sz w:val="20"/>
          <w:szCs w:val="20"/>
        </w:rPr>
        <w:t>ONCJ</w:t>
      </w:r>
      <w:r w:rsidR="003558FD" w:rsidRPr="003558FD">
        <w:rPr>
          <w:i/>
          <w:iCs/>
          <w:sz w:val="20"/>
          <w:szCs w:val="20"/>
        </w:rPr>
        <w:t xml:space="preserve"> Reasons</w:t>
      </w:r>
      <w:r w:rsidR="003558FD" w:rsidRPr="003558FD">
        <w:rPr>
          <w:sz w:val="20"/>
          <w:szCs w:val="20"/>
        </w:rPr>
        <w:t xml:space="preserve">, </w:t>
      </w:r>
      <w:r w:rsidR="003558FD" w:rsidRPr="00BA1664">
        <w:rPr>
          <w:i/>
          <w:iCs/>
          <w:sz w:val="20"/>
          <w:szCs w:val="20"/>
        </w:rPr>
        <w:t>supra</w:t>
      </w:r>
      <w:r w:rsidR="003558FD" w:rsidRPr="003558FD">
        <w:rPr>
          <w:sz w:val="20"/>
          <w:szCs w:val="20"/>
        </w:rPr>
        <w:t xml:space="preserve"> para </w:t>
      </w:r>
      <w:r w:rsidR="003A7C1F">
        <w:rPr>
          <w:sz w:val="20"/>
          <w:szCs w:val="20"/>
        </w:rPr>
        <w:t>8</w:t>
      </w:r>
      <w:r w:rsidR="003558FD" w:rsidRPr="003558FD">
        <w:rPr>
          <w:sz w:val="20"/>
          <w:szCs w:val="20"/>
        </w:rPr>
        <w:t xml:space="preserve"> at 7, 16.</w:t>
      </w:r>
    </w:p>
    <w:p w14:paraId="193E3B54" w14:textId="20BC0538" w:rsidR="003558FD" w:rsidRPr="003558FD" w:rsidRDefault="003558FD" w:rsidP="003A7C1F">
      <w:pPr>
        <w:pStyle w:val="WSParaNum"/>
        <w:numPr>
          <w:ilvl w:val="0"/>
          <w:numId w:val="0"/>
        </w:numPr>
        <w:spacing w:before="0" w:after="0" w:line="240" w:lineRule="auto"/>
        <w:ind w:firstLine="720"/>
      </w:pPr>
      <w:r w:rsidRPr="003558FD">
        <w:rPr>
          <w:sz w:val="20"/>
          <w:szCs w:val="20"/>
        </w:rPr>
        <w:t xml:space="preserve"> </w:t>
      </w:r>
    </w:p>
    <w:p w14:paraId="437D8862" w14:textId="746A7918" w:rsidR="003558FD" w:rsidRDefault="003558FD" w:rsidP="003558FD">
      <w:pPr>
        <w:pStyle w:val="WSParaNum"/>
        <w:spacing w:before="0" w:after="0"/>
      </w:pPr>
      <w:r w:rsidRPr="003558FD">
        <w:t xml:space="preserve">The work conducted by CHL from June </w:t>
      </w:r>
      <w:r w:rsidR="00F50655">
        <w:t>–</w:t>
      </w:r>
      <w:r w:rsidRPr="003558FD">
        <w:t xml:space="preserve"> August 2018 at the Site did not cross the delineated 30-meter boundary around the wetland. The work was also outside of the</w:t>
      </w:r>
      <w:r>
        <w:t xml:space="preserve"> potential habitat indicated by the hatched area on the map attached to the stop work order </w:t>
      </w:r>
      <w:r w:rsidR="00F70A7F">
        <w:t>in</w:t>
      </w:r>
      <w:r>
        <w:t xml:space="preserve"> 2017</w:t>
      </w:r>
      <w:r w:rsidRPr="003558FD">
        <w:t>. This was confirmed by Valerie Murphy (“Ms. Murphy”), a regulations officer who appeared at trial as witness for the Crown. On June 12, 2018, Ms. Murphy visited the Site and confirmed that there was a 30-meter buffer between the Site and the lake which still had all remaining vegetation.</w:t>
      </w:r>
      <w:r>
        <w:tab/>
      </w:r>
    </w:p>
    <w:p w14:paraId="79FF6577" w14:textId="7DAC33E3" w:rsidR="003558FD" w:rsidRDefault="001B4B84" w:rsidP="003558FD">
      <w:pPr>
        <w:pStyle w:val="WSParaNum"/>
        <w:numPr>
          <w:ilvl w:val="0"/>
          <w:numId w:val="0"/>
        </w:numPr>
        <w:spacing w:before="0" w:after="0" w:line="240" w:lineRule="auto"/>
        <w:ind w:firstLine="720"/>
        <w:rPr>
          <w:sz w:val="20"/>
          <w:szCs w:val="20"/>
        </w:rPr>
      </w:pPr>
      <w:r>
        <w:rPr>
          <w:i/>
          <w:iCs/>
          <w:sz w:val="20"/>
          <w:szCs w:val="20"/>
        </w:rPr>
        <w:t>ONCJ</w:t>
      </w:r>
      <w:r w:rsidR="003558FD" w:rsidRPr="003558FD">
        <w:rPr>
          <w:i/>
          <w:iCs/>
          <w:sz w:val="20"/>
          <w:szCs w:val="20"/>
        </w:rPr>
        <w:t xml:space="preserve"> Reasons</w:t>
      </w:r>
      <w:r w:rsidR="003558FD" w:rsidRPr="003558FD">
        <w:rPr>
          <w:sz w:val="20"/>
          <w:szCs w:val="20"/>
        </w:rPr>
        <w:t xml:space="preserve">, </w:t>
      </w:r>
      <w:r w:rsidR="003558FD" w:rsidRPr="00BA1664">
        <w:rPr>
          <w:i/>
          <w:iCs/>
          <w:sz w:val="20"/>
          <w:szCs w:val="20"/>
        </w:rPr>
        <w:t>supra</w:t>
      </w:r>
      <w:r w:rsidR="003558FD" w:rsidRPr="003558FD">
        <w:rPr>
          <w:sz w:val="20"/>
          <w:szCs w:val="20"/>
        </w:rPr>
        <w:t xml:space="preserve"> para </w:t>
      </w:r>
      <w:r w:rsidR="003A7C1F">
        <w:rPr>
          <w:sz w:val="20"/>
          <w:szCs w:val="20"/>
        </w:rPr>
        <w:t>8</w:t>
      </w:r>
      <w:r w:rsidR="003558FD" w:rsidRPr="003558FD">
        <w:rPr>
          <w:sz w:val="20"/>
          <w:szCs w:val="20"/>
        </w:rPr>
        <w:t xml:space="preserve"> at 19. </w:t>
      </w:r>
    </w:p>
    <w:p w14:paraId="2893E6C4" w14:textId="77777777" w:rsidR="003558FD" w:rsidRDefault="003558FD" w:rsidP="003558FD">
      <w:pPr>
        <w:pStyle w:val="WSParaNum"/>
        <w:numPr>
          <w:ilvl w:val="0"/>
          <w:numId w:val="0"/>
        </w:numPr>
        <w:spacing w:before="0" w:after="0" w:line="240" w:lineRule="auto"/>
        <w:rPr>
          <w:sz w:val="20"/>
          <w:szCs w:val="20"/>
        </w:rPr>
      </w:pPr>
    </w:p>
    <w:p w14:paraId="63CFDE41" w14:textId="669277C7" w:rsidR="00A212E0" w:rsidRDefault="003558FD" w:rsidP="00A212E0">
      <w:pPr>
        <w:pStyle w:val="WSParaNum"/>
        <w:spacing w:before="0" w:after="0"/>
      </w:pPr>
      <w:r w:rsidRPr="003558FD">
        <w:t xml:space="preserve">The 30-meter buffer zone </w:t>
      </w:r>
      <w:r w:rsidR="00A212E0">
        <w:t>is</w:t>
      </w:r>
      <w:r w:rsidRPr="003558FD">
        <w:t xml:space="preserve"> a significant factor </w:t>
      </w:r>
      <w:r w:rsidR="00A212E0">
        <w:t>for</w:t>
      </w:r>
      <w:r w:rsidRPr="003558FD">
        <w:t xml:space="preserve"> CHL’s </w:t>
      </w:r>
      <w:r w:rsidR="00A212E0">
        <w:t>acquittal</w:t>
      </w:r>
      <w:r w:rsidRPr="003558FD">
        <w:t>. Th</w:t>
      </w:r>
      <w:r w:rsidR="00A212E0">
        <w:t>e lake and 30-meter zone around the lake</w:t>
      </w:r>
      <w:r w:rsidRPr="003558FD">
        <w:t xml:space="preserve"> is considered “Category 2” habitat per the </w:t>
      </w:r>
      <w:r w:rsidR="00A212E0">
        <w:t>GHD,</w:t>
      </w:r>
      <w:r w:rsidRPr="003558FD">
        <w:t xml:space="preserve"> </w:t>
      </w:r>
      <w:r w:rsidR="000F128F">
        <w:t>a technical document prepared by the Province to provide “clarity on the area of habitat protected for species”. This</w:t>
      </w:r>
      <w:r w:rsidRPr="003558FD">
        <w:t xml:space="preserve"> was heavily relied on by the Trial Justice and Mr. Snell in concluding that the Site was Blanding’s Turtle habitat. As the </w:t>
      </w:r>
      <w:r w:rsidR="00A212E0" w:rsidRPr="003558FD">
        <w:t>30-meter</w:t>
      </w:r>
      <w:r w:rsidRPr="003558FD">
        <w:t xml:space="preserve"> buffer </w:t>
      </w:r>
      <w:r w:rsidR="00A212E0">
        <w:t>was untouched and remained covered with vegetation</w:t>
      </w:r>
      <w:r w:rsidRPr="003558FD">
        <w:t xml:space="preserve">, CHL did not in fact damage or destroy </w:t>
      </w:r>
      <w:r w:rsidR="00233179">
        <w:t xml:space="preserve">known </w:t>
      </w:r>
      <w:r w:rsidRPr="003558FD">
        <w:t>Blanding’s Turtle habitat</w:t>
      </w:r>
      <w:r w:rsidR="000F128F">
        <w:t>.</w:t>
      </w:r>
    </w:p>
    <w:p w14:paraId="0AE7E5C2" w14:textId="4E1BAE68" w:rsidR="00A212E0" w:rsidRPr="00A212E0" w:rsidRDefault="001B4B84" w:rsidP="00A212E0">
      <w:pPr>
        <w:pStyle w:val="WSParaNum"/>
        <w:numPr>
          <w:ilvl w:val="0"/>
          <w:numId w:val="0"/>
        </w:numPr>
        <w:spacing w:before="0" w:after="0" w:line="240" w:lineRule="auto"/>
        <w:ind w:firstLine="720"/>
        <w:rPr>
          <w:sz w:val="20"/>
          <w:szCs w:val="20"/>
        </w:rPr>
      </w:pPr>
      <w:r>
        <w:rPr>
          <w:i/>
          <w:iCs/>
          <w:sz w:val="20"/>
          <w:szCs w:val="20"/>
        </w:rPr>
        <w:t>ONCJ</w:t>
      </w:r>
      <w:r w:rsidR="00A212E0" w:rsidRPr="00A212E0">
        <w:rPr>
          <w:i/>
          <w:iCs/>
          <w:sz w:val="20"/>
          <w:szCs w:val="20"/>
        </w:rPr>
        <w:t xml:space="preserve"> Reasons</w:t>
      </w:r>
      <w:r w:rsidR="00A212E0" w:rsidRPr="00A212E0">
        <w:rPr>
          <w:sz w:val="20"/>
          <w:szCs w:val="20"/>
        </w:rPr>
        <w:t xml:space="preserve">, </w:t>
      </w:r>
      <w:r w:rsidR="00A212E0" w:rsidRPr="00BA1664">
        <w:rPr>
          <w:i/>
          <w:iCs/>
          <w:sz w:val="20"/>
          <w:szCs w:val="20"/>
        </w:rPr>
        <w:t>supra</w:t>
      </w:r>
      <w:r w:rsidR="00A212E0" w:rsidRPr="00A212E0">
        <w:rPr>
          <w:sz w:val="20"/>
          <w:szCs w:val="20"/>
        </w:rPr>
        <w:t xml:space="preserve"> para </w:t>
      </w:r>
      <w:r w:rsidR="003A7C1F">
        <w:rPr>
          <w:sz w:val="20"/>
          <w:szCs w:val="20"/>
        </w:rPr>
        <w:t>8</w:t>
      </w:r>
      <w:r w:rsidR="00A212E0" w:rsidRPr="00A212E0">
        <w:rPr>
          <w:sz w:val="20"/>
          <w:szCs w:val="20"/>
        </w:rPr>
        <w:t xml:space="preserve"> at 5, 19. </w:t>
      </w:r>
    </w:p>
    <w:p w14:paraId="250A9187" w14:textId="15B9833E" w:rsidR="009D2F81" w:rsidRPr="00562AC6" w:rsidRDefault="0042172A" w:rsidP="00562AC6">
      <w:pPr>
        <w:pStyle w:val="Heading3"/>
      </w:pPr>
      <w:bookmarkStart w:id="7" w:name="_Toc220051333"/>
      <w:r w:rsidRPr="00562AC6">
        <w:t>Evidence Established in the Lower Courts</w:t>
      </w:r>
      <w:bookmarkEnd w:id="7"/>
      <w:r w:rsidRPr="00562AC6">
        <w:t xml:space="preserve"> </w:t>
      </w:r>
    </w:p>
    <w:p w14:paraId="217DA650" w14:textId="3D0C4456" w:rsidR="009D2F81" w:rsidRDefault="00A212E0" w:rsidP="00497CA4">
      <w:pPr>
        <w:pStyle w:val="WSParaNum"/>
        <w:spacing w:before="0" w:after="0"/>
      </w:pPr>
      <w:r w:rsidRPr="00A212E0">
        <w:t>The Trial Justice and Mr. Snell relied heavily on three sightings of Blanding’s Turtles in the Circle Lake area in 2007, 201</w:t>
      </w:r>
      <w:r w:rsidR="00F70A7F">
        <w:t>7</w:t>
      </w:r>
      <w:r w:rsidRPr="00A212E0">
        <w:t>, and 2020 to conclude that the Site was Blanding’s Turtle habitat. These sightings occurred in the area, not at the Site itself, and they were before and after the offence date of 2018</w:t>
      </w:r>
      <w:r>
        <w:t xml:space="preserve">. </w:t>
      </w:r>
    </w:p>
    <w:p w14:paraId="3F93365A" w14:textId="4585CF82" w:rsidR="00A212E0" w:rsidRPr="00A212E0" w:rsidRDefault="001B4B84" w:rsidP="00233179">
      <w:pPr>
        <w:pStyle w:val="WSParaNum"/>
        <w:numPr>
          <w:ilvl w:val="0"/>
          <w:numId w:val="0"/>
        </w:numPr>
        <w:spacing w:before="0" w:after="0" w:line="240" w:lineRule="auto"/>
        <w:ind w:firstLine="720"/>
        <w:rPr>
          <w:sz w:val="20"/>
          <w:szCs w:val="20"/>
        </w:rPr>
      </w:pPr>
      <w:r>
        <w:rPr>
          <w:i/>
          <w:iCs/>
          <w:sz w:val="20"/>
          <w:szCs w:val="20"/>
        </w:rPr>
        <w:t>ONCJ</w:t>
      </w:r>
      <w:r w:rsidR="00A212E0" w:rsidRPr="00A212E0">
        <w:rPr>
          <w:i/>
          <w:iCs/>
          <w:sz w:val="20"/>
          <w:szCs w:val="20"/>
        </w:rPr>
        <w:t xml:space="preserve"> Reasons</w:t>
      </w:r>
      <w:r w:rsidR="00A212E0" w:rsidRPr="00A212E0">
        <w:rPr>
          <w:sz w:val="20"/>
          <w:szCs w:val="20"/>
        </w:rPr>
        <w:t xml:space="preserve">, </w:t>
      </w:r>
      <w:r w:rsidR="00A212E0" w:rsidRPr="00A212E0">
        <w:rPr>
          <w:i/>
          <w:iCs/>
          <w:sz w:val="20"/>
          <w:szCs w:val="20"/>
        </w:rPr>
        <w:t xml:space="preserve">supra </w:t>
      </w:r>
      <w:r w:rsidR="00A212E0" w:rsidRPr="00A212E0">
        <w:rPr>
          <w:sz w:val="20"/>
          <w:szCs w:val="20"/>
        </w:rPr>
        <w:t xml:space="preserve">para </w:t>
      </w:r>
      <w:r w:rsidR="003A7C1F">
        <w:rPr>
          <w:sz w:val="20"/>
          <w:szCs w:val="20"/>
        </w:rPr>
        <w:t>8</w:t>
      </w:r>
      <w:r w:rsidR="00A212E0" w:rsidRPr="00A212E0">
        <w:rPr>
          <w:sz w:val="20"/>
          <w:szCs w:val="20"/>
        </w:rPr>
        <w:t xml:space="preserve"> at 14–16. </w:t>
      </w:r>
    </w:p>
    <w:p w14:paraId="7986571B" w14:textId="04649394" w:rsidR="00A212E0" w:rsidRDefault="00A212E0" w:rsidP="00233179">
      <w:pPr>
        <w:pStyle w:val="WSParaNum"/>
        <w:numPr>
          <w:ilvl w:val="0"/>
          <w:numId w:val="0"/>
        </w:numPr>
        <w:spacing w:before="0" w:after="0" w:line="240" w:lineRule="auto"/>
        <w:ind w:firstLine="720"/>
        <w:rPr>
          <w:sz w:val="20"/>
          <w:szCs w:val="20"/>
        </w:rPr>
      </w:pPr>
      <w:r w:rsidRPr="00A212E0">
        <w:rPr>
          <w:i/>
          <w:iCs/>
          <w:sz w:val="20"/>
          <w:szCs w:val="20"/>
        </w:rPr>
        <w:t>R v Consolidated Homes Ltd.</w:t>
      </w:r>
      <w:r w:rsidRPr="00A212E0">
        <w:rPr>
          <w:sz w:val="20"/>
          <w:szCs w:val="20"/>
        </w:rPr>
        <w:t>, 2025 ONCA 41 at para 6 [</w:t>
      </w:r>
      <w:r w:rsidRPr="00A212E0">
        <w:rPr>
          <w:i/>
          <w:iCs/>
          <w:sz w:val="20"/>
          <w:szCs w:val="20"/>
        </w:rPr>
        <w:t>ONCA Reasons</w:t>
      </w:r>
      <w:r w:rsidRPr="00A212E0">
        <w:rPr>
          <w:sz w:val="20"/>
          <w:szCs w:val="20"/>
        </w:rPr>
        <w:t>].</w:t>
      </w:r>
    </w:p>
    <w:p w14:paraId="02841CC5" w14:textId="77777777" w:rsidR="00A212E0" w:rsidRPr="00A212E0" w:rsidRDefault="00A212E0" w:rsidP="00A212E0">
      <w:pPr>
        <w:pStyle w:val="WSParaNum"/>
        <w:numPr>
          <w:ilvl w:val="0"/>
          <w:numId w:val="0"/>
        </w:numPr>
        <w:spacing w:before="0" w:after="0" w:line="240" w:lineRule="auto"/>
        <w:rPr>
          <w:sz w:val="20"/>
          <w:szCs w:val="20"/>
        </w:rPr>
      </w:pPr>
    </w:p>
    <w:p w14:paraId="6C61FC5D" w14:textId="492C0BB6" w:rsidR="0007098C" w:rsidRDefault="00A212E0" w:rsidP="00497CA4">
      <w:pPr>
        <w:pStyle w:val="WSParaNum"/>
        <w:spacing w:before="0" w:after="0"/>
      </w:pPr>
      <w:r w:rsidRPr="00A212E0">
        <w:t>Mr. Snell gave his opinion that the Site provided potential for Blanding’s Turtle habitat but did not give conclusive evidence that the Site was being used by Blanding’s Turtle</w:t>
      </w:r>
      <w:r w:rsidR="00233179">
        <w:t>s</w:t>
      </w:r>
      <w:r w:rsidRPr="00A212E0">
        <w:t xml:space="preserve"> for the </w:t>
      </w:r>
      <w:r w:rsidRPr="00A212E0">
        <w:lastRenderedPageBreak/>
        <w:t>purposes of travel, nesting, or thermogenic activities. To form this opinion, Mr. Snell relied on the third-party sightings of Blanding’s Turtles in the area</w:t>
      </w:r>
      <w:r w:rsidR="00F70A7F">
        <w:t xml:space="preserve"> before and after the offence date</w:t>
      </w:r>
      <w:r w:rsidRPr="00A212E0">
        <w:t xml:space="preserve"> and on the GHD</w:t>
      </w:r>
      <w:r w:rsidR="000F128F">
        <w:t>.</w:t>
      </w:r>
      <w:r>
        <w:t xml:space="preserve"> </w:t>
      </w:r>
      <w:r w:rsidRPr="00A212E0">
        <w:t>Furthermore, Mr. Snell based his opinion from personal experience rather than a proper survey</w:t>
      </w:r>
      <w:r>
        <w:t>.</w:t>
      </w:r>
    </w:p>
    <w:p w14:paraId="74082D5C" w14:textId="1151FCBE" w:rsidR="00A212E0" w:rsidRPr="00A212E0" w:rsidRDefault="001B4B84" w:rsidP="00A212E0">
      <w:pPr>
        <w:pStyle w:val="WSParaNum"/>
        <w:numPr>
          <w:ilvl w:val="0"/>
          <w:numId w:val="0"/>
        </w:numPr>
        <w:spacing w:before="0" w:after="0" w:line="240" w:lineRule="auto"/>
        <w:ind w:left="720"/>
        <w:rPr>
          <w:sz w:val="20"/>
          <w:szCs w:val="20"/>
        </w:rPr>
      </w:pPr>
      <w:r>
        <w:rPr>
          <w:i/>
          <w:iCs/>
          <w:sz w:val="20"/>
          <w:szCs w:val="20"/>
        </w:rPr>
        <w:t>ONCJ</w:t>
      </w:r>
      <w:r w:rsidR="00A212E0" w:rsidRPr="00A212E0">
        <w:rPr>
          <w:i/>
          <w:iCs/>
          <w:sz w:val="20"/>
          <w:szCs w:val="20"/>
        </w:rPr>
        <w:t xml:space="preserve"> Reasons</w:t>
      </w:r>
      <w:r w:rsidR="00A212E0" w:rsidRPr="00A212E0">
        <w:rPr>
          <w:sz w:val="20"/>
          <w:szCs w:val="20"/>
        </w:rPr>
        <w:t xml:space="preserve">, </w:t>
      </w:r>
      <w:r w:rsidR="00A212E0" w:rsidRPr="00A212E0">
        <w:rPr>
          <w:i/>
          <w:iCs/>
          <w:sz w:val="20"/>
          <w:szCs w:val="20"/>
        </w:rPr>
        <w:t xml:space="preserve">supra </w:t>
      </w:r>
      <w:r w:rsidR="00A212E0" w:rsidRPr="00A212E0">
        <w:rPr>
          <w:sz w:val="20"/>
          <w:szCs w:val="20"/>
        </w:rPr>
        <w:t xml:space="preserve">para </w:t>
      </w:r>
      <w:r w:rsidR="003A7C1F">
        <w:rPr>
          <w:sz w:val="20"/>
          <w:szCs w:val="20"/>
        </w:rPr>
        <w:t>8</w:t>
      </w:r>
      <w:r w:rsidR="00A212E0" w:rsidRPr="00A212E0">
        <w:rPr>
          <w:sz w:val="20"/>
          <w:szCs w:val="20"/>
        </w:rPr>
        <w:t xml:space="preserve"> at 8–9</w:t>
      </w:r>
      <w:r w:rsidR="00A212E0">
        <w:rPr>
          <w:sz w:val="20"/>
          <w:szCs w:val="20"/>
        </w:rPr>
        <w:t>, 12</w:t>
      </w:r>
      <w:r w:rsidR="00A212E0" w:rsidRPr="00A212E0">
        <w:rPr>
          <w:sz w:val="20"/>
          <w:szCs w:val="20"/>
        </w:rPr>
        <w:t>–</w:t>
      </w:r>
      <w:r w:rsidR="00A212E0">
        <w:rPr>
          <w:sz w:val="20"/>
          <w:szCs w:val="20"/>
        </w:rPr>
        <w:t>13</w:t>
      </w:r>
      <w:r w:rsidR="00A212E0" w:rsidRPr="00A212E0">
        <w:rPr>
          <w:sz w:val="20"/>
          <w:szCs w:val="20"/>
        </w:rPr>
        <w:t xml:space="preserve">. </w:t>
      </w:r>
    </w:p>
    <w:p w14:paraId="0A41D8FE" w14:textId="39CA1EBB" w:rsidR="00A212E0" w:rsidRPr="00A212E0" w:rsidRDefault="00A212E0" w:rsidP="00F70A7F">
      <w:pPr>
        <w:pStyle w:val="WSParaNum"/>
        <w:numPr>
          <w:ilvl w:val="0"/>
          <w:numId w:val="0"/>
        </w:numPr>
        <w:spacing w:before="0" w:after="0" w:line="240" w:lineRule="auto"/>
        <w:ind w:left="720"/>
        <w:rPr>
          <w:sz w:val="20"/>
          <w:szCs w:val="20"/>
        </w:rPr>
      </w:pPr>
      <w:r w:rsidRPr="00A212E0">
        <w:rPr>
          <w:i/>
          <w:iCs/>
          <w:sz w:val="20"/>
          <w:szCs w:val="20"/>
        </w:rPr>
        <w:t>ONCA Reasons</w:t>
      </w:r>
      <w:r w:rsidRPr="00A212E0">
        <w:rPr>
          <w:sz w:val="20"/>
          <w:szCs w:val="20"/>
        </w:rPr>
        <w:t xml:space="preserve">, </w:t>
      </w:r>
      <w:r w:rsidRPr="00A212E0">
        <w:rPr>
          <w:i/>
          <w:iCs/>
          <w:sz w:val="20"/>
          <w:szCs w:val="20"/>
        </w:rPr>
        <w:t xml:space="preserve">supra </w:t>
      </w:r>
      <w:r w:rsidRPr="00A212E0">
        <w:rPr>
          <w:sz w:val="20"/>
          <w:szCs w:val="20"/>
        </w:rPr>
        <w:t xml:space="preserve">para </w:t>
      </w:r>
      <w:r w:rsidR="00233179">
        <w:rPr>
          <w:sz w:val="20"/>
          <w:szCs w:val="20"/>
        </w:rPr>
        <w:t>1</w:t>
      </w:r>
      <w:r w:rsidR="003A7C1F">
        <w:rPr>
          <w:sz w:val="20"/>
          <w:szCs w:val="20"/>
        </w:rPr>
        <w:t>3</w:t>
      </w:r>
      <w:r w:rsidRPr="00A212E0">
        <w:rPr>
          <w:sz w:val="20"/>
          <w:szCs w:val="20"/>
        </w:rPr>
        <w:t xml:space="preserve"> at para 6. </w:t>
      </w:r>
    </w:p>
    <w:p w14:paraId="15B11133" w14:textId="0F567F2E" w:rsidR="00DD6E8C" w:rsidRPr="00562AC6" w:rsidRDefault="00EE2290" w:rsidP="00F70A7F">
      <w:pPr>
        <w:pStyle w:val="Heading1"/>
        <w:spacing w:before="240" w:line="360" w:lineRule="auto"/>
      </w:pPr>
      <w:bookmarkStart w:id="8" w:name="_Toc271703733"/>
      <w:bookmarkStart w:id="9" w:name="_Toc220051334"/>
      <w:r w:rsidRPr="00562AC6">
        <w:t xml:space="preserve">THE RESPONDENT’S POSITION WITH RESPECT TO THE </w:t>
      </w:r>
      <w:r w:rsidR="002620F2" w:rsidRPr="00562AC6">
        <w:t>A</w:t>
      </w:r>
      <w:r w:rsidRPr="00562AC6">
        <w:t>PPELLANT</w:t>
      </w:r>
      <w:r w:rsidR="00346BCB">
        <w:t>’</w:t>
      </w:r>
      <w:r w:rsidRPr="00562AC6">
        <w:t xml:space="preserve">S </w:t>
      </w:r>
      <w:r w:rsidR="00DD6E8C" w:rsidRPr="00562AC6">
        <w:t>QUESTIONS</w:t>
      </w:r>
      <w:bookmarkEnd w:id="8"/>
      <w:r w:rsidR="002620F2" w:rsidRPr="00562AC6">
        <w:t xml:space="preserve"> IN ISSUE</w:t>
      </w:r>
      <w:bookmarkEnd w:id="9"/>
    </w:p>
    <w:p w14:paraId="44ED800F" w14:textId="6E44FBE8" w:rsidR="00DD6E8C" w:rsidRDefault="00E216B5" w:rsidP="00497CA4">
      <w:pPr>
        <w:pStyle w:val="WSParaNum"/>
        <w:spacing w:before="0" w:after="0"/>
      </w:pPr>
      <w:r>
        <w:t>The Respondent’s position with respect to the issues on appeal is:</w:t>
      </w:r>
    </w:p>
    <w:p w14:paraId="5518BB1C" w14:textId="0AB4584A" w:rsidR="00E216B5" w:rsidRPr="00A212E0" w:rsidRDefault="00A212E0" w:rsidP="00497CA4">
      <w:pPr>
        <w:pStyle w:val="WSParaNum"/>
        <w:numPr>
          <w:ilvl w:val="1"/>
          <w:numId w:val="4"/>
        </w:numPr>
        <w:spacing w:before="0" w:after="0"/>
      </w:pPr>
      <w:r>
        <w:t>No, t</w:t>
      </w:r>
      <w:r w:rsidR="00E216B5" w:rsidRPr="00A212E0">
        <w:t xml:space="preserve">he </w:t>
      </w:r>
      <w:r w:rsidR="001B4B84">
        <w:t>ONCJ</w:t>
      </w:r>
      <w:r w:rsidR="00E216B5" w:rsidRPr="00A212E0">
        <w:t xml:space="preserve"> did not err in finding that the Trial Justice should not have relied on evidence of sightings of a Blanding’s </w:t>
      </w:r>
      <w:r w:rsidR="000300B6" w:rsidRPr="00A212E0">
        <w:t>Turtle</w:t>
      </w:r>
      <w:r w:rsidR="00E216B5" w:rsidRPr="00A212E0">
        <w:t xml:space="preserve"> near the Site on various dates before and after the time of the offence. </w:t>
      </w:r>
    </w:p>
    <w:p w14:paraId="5046869A" w14:textId="30B364EE" w:rsidR="00E216B5" w:rsidRDefault="00951E49" w:rsidP="00497CA4">
      <w:pPr>
        <w:pStyle w:val="WSParaNum"/>
        <w:numPr>
          <w:ilvl w:val="1"/>
          <w:numId w:val="4"/>
        </w:numPr>
        <w:spacing w:before="0" w:after="0"/>
      </w:pPr>
      <w:r>
        <w:t>No, t</w:t>
      </w:r>
      <w:r w:rsidR="00E216B5">
        <w:t xml:space="preserve">he </w:t>
      </w:r>
      <w:r w:rsidR="001B4B84">
        <w:t>ONCJ</w:t>
      </w:r>
      <w:r w:rsidR="00E216B5">
        <w:t xml:space="preserve"> did not err in </w:t>
      </w:r>
      <w:r w:rsidR="00E216B5" w:rsidRPr="00E216B5">
        <w:t xml:space="preserve">finding that </w:t>
      </w:r>
      <w:r>
        <w:t>the Trial Justice erred by relying</w:t>
      </w:r>
      <w:r w:rsidR="00E216B5" w:rsidRPr="00E216B5">
        <w:t xml:space="preserve"> on the “General Habitat Description for the Blanding’s </w:t>
      </w:r>
      <w:r w:rsidR="000300B6">
        <w:t>Turtle</w:t>
      </w:r>
      <w:r w:rsidR="00E216B5" w:rsidRPr="00E216B5">
        <w:t>” document because that document “is not a legal instrument” and “not a legal document</w:t>
      </w:r>
      <w:r w:rsidR="00E216B5">
        <w:t>”.</w:t>
      </w:r>
    </w:p>
    <w:p w14:paraId="7D77B584" w14:textId="767710BD" w:rsidR="00E216B5" w:rsidRDefault="00951E49" w:rsidP="00497CA4">
      <w:pPr>
        <w:pStyle w:val="WSParaNum"/>
        <w:numPr>
          <w:ilvl w:val="1"/>
          <w:numId w:val="4"/>
        </w:numPr>
        <w:spacing w:before="0" w:after="0"/>
      </w:pPr>
      <w:r>
        <w:t>No, t</w:t>
      </w:r>
      <w:r w:rsidR="00E216B5">
        <w:t xml:space="preserve">he </w:t>
      </w:r>
      <w:r w:rsidR="001B4B84">
        <w:t>ONCJ</w:t>
      </w:r>
      <w:r w:rsidR="00E216B5">
        <w:t xml:space="preserve"> did not err </w:t>
      </w:r>
      <w:r w:rsidR="00E216B5" w:rsidRPr="00E216B5">
        <w:t>by failing to consider or give effect to the part of the statutory definition of “habitat” that includes within the scope of a species’ habitat not only areas on which a species depends directly, but also areas on which it depends indirectly to carry on its life processes</w:t>
      </w:r>
      <w:r w:rsidR="00E216B5">
        <w:t>.</w:t>
      </w:r>
    </w:p>
    <w:p w14:paraId="60F6C279" w14:textId="6DF9A5F9" w:rsidR="00E216B5" w:rsidRPr="00D678D8" w:rsidRDefault="00951E49" w:rsidP="00497CA4">
      <w:pPr>
        <w:pStyle w:val="WSParaNum"/>
        <w:numPr>
          <w:ilvl w:val="1"/>
          <w:numId w:val="4"/>
        </w:numPr>
        <w:spacing w:before="0" w:after="0"/>
      </w:pPr>
      <w:r>
        <w:t>CHL</w:t>
      </w:r>
      <w:r w:rsidR="00DC274D" w:rsidRPr="00DC274D">
        <w:t xml:space="preserve"> would not have been convicted if the </w:t>
      </w:r>
      <w:r>
        <w:t xml:space="preserve">new </w:t>
      </w:r>
      <w:r w:rsidR="00DC274D" w:rsidRPr="00DC274D">
        <w:t>definition of “habitat” in the</w:t>
      </w:r>
      <w:r>
        <w:t xml:space="preserve"> </w:t>
      </w:r>
      <w:r w:rsidRPr="00951E49">
        <w:rPr>
          <w:i/>
          <w:iCs/>
        </w:rPr>
        <w:t>ESA</w:t>
      </w:r>
      <w:r>
        <w:t xml:space="preserve">, as </w:t>
      </w:r>
      <w:r w:rsidR="00DC274D" w:rsidRPr="00951E49">
        <w:t>was</w:t>
      </w:r>
      <w:r w:rsidR="00DC274D" w:rsidRPr="00DC274D">
        <w:t xml:space="preserve"> amended by the </w:t>
      </w:r>
      <w:r>
        <w:rPr>
          <w:i/>
          <w:iCs/>
        </w:rPr>
        <w:t>POUEA</w:t>
      </w:r>
      <w:r>
        <w:t xml:space="preserve">, </w:t>
      </w:r>
      <w:r w:rsidR="00DC274D" w:rsidRPr="00DC274D">
        <w:t>was in force at the time of trial.</w:t>
      </w:r>
      <w:r w:rsidR="00E216B5">
        <w:t xml:space="preserve"> </w:t>
      </w:r>
    </w:p>
    <w:p w14:paraId="19662CD6" w14:textId="23AAA28B" w:rsidR="00DC274D" w:rsidRPr="00562AC6" w:rsidRDefault="00DD6E8C" w:rsidP="003842EB">
      <w:pPr>
        <w:pStyle w:val="Heading1"/>
        <w:spacing w:before="240"/>
      </w:pPr>
      <w:bookmarkStart w:id="10" w:name="_Toc271703734"/>
      <w:bookmarkStart w:id="11" w:name="_Toc220051335"/>
      <w:r w:rsidRPr="00562AC6">
        <w:t>ARGUMENT</w:t>
      </w:r>
      <w:bookmarkEnd w:id="10"/>
      <w:bookmarkEnd w:id="11"/>
    </w:p>
    <w:p w14:paraId="115B5B1B" w14:textId="12A4AD47" w:rsidR="006F0F0C" w:rsidRPr="00562AC6" w:rsidRDefault="006F0F0C" w:rsidP="00562AC6">
      <w:pPr>
        <w:pStyle w:val="Heading2"/>
      </w:pPr>
      <w:bookmarkStart w:id="12" w:name="_Toc220051336"/>
      <w:r w:rsidRPr="00562AC6">
        <w:t>Standard of Review</w:t>
      </w:r>
      <w:bookmarkEnd w:id="12"/>
      <w:r w:rsidRPr="00562AC6">
        <w:t xml:space="preserve"> </w:t>
      </w:r>
    </w:p>
    <w:p w14:paraId="3D1B54C8" w14:textId="501D0C52" w:rsidR="006F0F0C" w:rsidRDefault="006F0F0C" w:rsidP="006B7401">
      <w:pPr>
        <w:pStyle w:val="WSParaNum"/>
        <w:spacing w:before="0" w:after="0"/>
      </w:pPr>
      <w:r w:rsidRPr="00471CA8">
        <w:t>Issue 1</w:t>
      </w:r>
      <w:r w:rsidR="006B7401">
        <w:t xml:space="preserve"> (</w:t>
      </w:r>
      <w:r w:rsidRPr="00471CA8">
        <w:t>evidence of sightings before and after the offence), issue 3 (indirect habitat use), and issue 4 (trial under the new definition of habitat) all raise questions of law and the standard of review is correctness. The standard of correctness permits the SEMCC to show no deference to the lower court’s reasoning process and to “undertake its own analysis of the question”</w:t>
      </w:r>
      <w:r w:rsidR="0007124A">
        <w:t>.</w:t>
      </w:r>
    </w:p>
    <w:p w14:paraId="5C9055D2" w14:textId="77777777" w:rsidR="006F0F0C" w:rsidRPr="00471CA8" w:rsidRDefault="006F0F0C" w:rsidP="006B7401">
      <w:pPr>
        <w:pStyle w:val="WSParaNum"/>
        <w:numPr>
          <w:ilvl w:val="0"/>
          <w:numId w:val="0"/>
        </w:numPr>
        <w:spacing w:before="0" w:after="0" w:line="240" w:lineRule="auto"/>
        <w:ind w:left="720"/>
        <w:rPr>
          <w:sz w:val="20"/>
          <w:szCs w:val="20"/>
        </w:rPr>
      </w:pPr>
      <w:r w:rsidRPr="00471CA8">
        <w:rPr>
          <w:i/>
          <w:iCs/>
          <w:sz w:val="20"/>
          <w:szCs w:val="20"/>
        </w:rPr>
        <w:t>Housen v Nikolaisen</w:t>
      </w:r>
      <w:r w:rsidRPr="00471CA8">
        <w:rPr>
          <w:sz w:val="20"/>
          <w:szCs w:val="20"/>
        </w:rPr>
        <w:t>, 2002 SCC 33 at para 8 [</w:t>
      </w:r>
      <w:r w:rsidRPr="00471CA8">
        <w:rPr>
          <w:i/>
          <w:iCs/>
          <w:sz w:val="20"/>
          <w:szCs w:val="20"/>
        </w:rPr>
        <w:t>Housen</w:t>
      </w:r>
      <w:r w:rsidRPr="00471CA8">
        <w:rPr>
          <w:sz w:val="20"/>
          <w:szCs w:val="20"/>
        </w:rPr>
        <w:t>].</w:t>
      </w:r>
    </w:p>
    <w:p w14:paraId="283938F9" w14:textId="77777777" w:rsidR="006F0F0C" w:rsidRDefault="006F0F0C" w:rsidP="006B7401">
      <w:pPr>
        <w:pStyle w:val="WSParaNum"/>
        <w:numPr>
          <w:ilvl w:val="0"/>
          <w:numId w:val="0"/>
        </w:numPr>
        <w:spacing w:before="0" w:after="0" w:line="240" w:lineRule="auto"/>
        <w:ind w:left="720"/>
        <w:rPr>
          <w:sz w:val="20"/>
          <w:szCs w:val="20"/>
        </w:rPr>
      </w:pPr>
      <w:r w:rsidRPr="00471CA8">
        <w:rPr>
          <w:i/>
          <w:iCs/>
          <w:sz w:val="20"/>
          <w:szCs w:val="20"/>
        </w:rPr>
        <w:t>Dunsmuir v New Brunswick</w:t>
      </w:r>
      <w:r w:rsidRPr="00471CA8">
        <w:rPr>
          <w:sz w:val="20"/>
          <w:szCs w:val="20"/>
        </w:rPr>
        <w:t>, 2008 SCC 9 at para 50.</w:t>
      </w:r>
    </w:p>
    <w:p w14:paraId="0D13AFC6" w14:textId="77777777" w:rsidR="006B7401" w:rsidRPr="006B7401" w:rsidRDefault="006B7401" w:rsidP="006B7401">
      <w:pPr>
        <w:pStyle w:val="WSParaNum"/>
        <w:numPr>
          <w:ilvl w:val="0"/>
          <w:numId w:val="0"/>
        </w:numPr>
        <w:spacing w:before="0" w:after="0" w:line="240" w:lineRule="auto"/>
        <w:rPr>
          <w:sz w:val="20"/>
          <w:szCs w:val="20"/>
        </w:rPr>
      </w:pPr>
    </w:p>
    <w:p w14:paraId="364B8093" w14:textId="6B64A71A" w:rsidR="006F0F0C" w:rsidRPr="0034630D" w:rsidRDefault="006F0F0C" w:rsidP="006B7401">
      <w:pPr>
        <w:pStyle w:val="WSParaNum"/>
        <w:spacing w:before="0" w:after="0"/>
      </w:pPr>
      <w:r w:rsidRPr="0034630D">
        <w:t>Issue 2 (reliance on the GHD) raises a question of fact. The standard of review is palpable and overriding error.</w:t>
      </w:r>
      <w:r w:rsidR="004219A2">
        <w:t xml:space="preserve"> This is a highly deferential standard that only permits appellate </w:t>
      </w:r>
      <w:r w:rsidR="004219A2">
        <w:lastRenderedPageBreak/>
        <w:t xml:space="preserve">courts </w:t>
      </w:r>
      <w:r w:rsidR="00F50655">
        <w:t>to intervene</w:t>
      </w:r>
      <w:r w:rsidR="003B57D8">
        <w:t xml:space="preserve"> if there is an “obvious error in the trial decision that is determinative of the outcome of the case”.</w:t>
      </w:r>
    </w:p>
    <w:p w14:paraId="09905242" w14:textId="10E8E0CF" w:rsidR="006F0F0C" w:rsidRDefault="006F0F0C" w:rsidP="006B7401">
      <w:pPr>
        <w:pStyle w:val="WSParaNum"/>
        <w:numPr>
          <w:ilvl w:val="0"/>
          <w:numId w:val="0"/>
        </w:numPr>
        <w:spacing w:before="0" w:after="0" w:line="240" w:lineRule="auto"/>
        <w:ind w:left="720"/>
        <w:rPr>
          <w:sz w:val="20"/>
          <w:szCs w:val="20"/>
        </w:rPr>
      </w:pPr>
      <w:r w:rsidRPr="00471CA8">
        <w:rPr>
          <w:i/>
          <w:iCs/>
          <w:sz w:val="20"/>
          <w:szCs w:val="20"/>
        </w:rPr>
        <w:t>Housen</w:t>
      </w:r>
      <w:r w:rsidRPr="00471CA8">
        <w:rPr>
          <w:sz w:val="20"/>
          <w:szCs w:val="20"/>
        </w:rPr>
        <w:t xml:space="preserve">, </w:t>
      </w:r>
      <w:r w:rsidRPr="00471CA8">
        <w:rPr>
          <w:i/>
          <w:iCs/>
          <w:sz w:val="20"/>
          <w:szCs w:val="20"/>
        </w:rPr>
        <w:t>supra</w:t>
      </w:r>
      <w:r w:rsidRPr="00471CA8">
        <w:rPr>
          <w:sz w:val="20"/>
          <w:szCs w:val="20"/>
        </w:rPr>
        <w:t xml:space="preserve"> </w:t>
      </w:r>
      <w:r w:rsidRPr="00754AFB">
        <w:rPr>
          <w:sz w:val="20"/>
          <w:szCs w:val="20"/>
        </w:rPr>
        <w:t xml:space="preserve">para </w:t>
      </w:r>
      <w:r w:rsidR="00233179">
        <w:rPr>
          <w:sz w:val="20"/>
          <w:szCs w:val="20"/>
        </w:rPr>
        <w:t>1</w:t>
      </w:r>
      <w:r w:rsidR="00F42889">
        <w:rPr>
          <w:sz w:val="20"/>
          <w:szCs w:val="20"/>
        </w:rPr>
        <w:t>6</w:t>
      </w:r>
      <w:r w:rsidRPr="00471CA8">
        <w:rPr>
          <w:i/>
          <w:iCs/>
          <w:sz w:val="20"/>
          <w:szCs w:val="20"/>
        </w:rPr>
        <w:t xml:space="preserve"> </w:t>
      </w:r>
      <w:r w:rsidRPr="00471CA8">
        <w:rPr>
          <w:sz w:val="20"/>
          <w:szCs w:val="20"/>
        </w:rPr>
        <w:t>at para 10</w:t>
      </w:r>
      <w:r w:rsidR="004219A2">
        <w:rPr>
          <w:sz w:val="20"/>
          <w:szCs w:val="20"/>
        </w:rPr>
        <w:t>, 5</w:t>
      </w:r>
      <w:r w:rsidRPr="00471CA8">
        <w:rPr>
          <w:sz w:val="20"/>
          <w:szCs w:val="20"/>
        </w:rPr>
        <w:t>.</w:t>
      </w:r>
    </w:p>
    <w:p w14:paraId="0530D300" w14:textId="76BFD491" w:rsidR="006F0F0C" w:rsidRPr="00211745" w:rsidRDefault="003B57D8" w:rsidP="00211745">
      <w:pPr>
        <w:pStyle w:val="WSParaNum"/>
        <w:numPr>
          <w:ilvl w:val="0"/>
          <w:numId w:val="0"/>
        </w:numPr>
        <w:spacing w:before="0" w:after="0" w:line="240" w:lineRule="auto"/>
        <w:ind w:left="720"/>
        <w:rPr>
          <w:sz w:val="20"/>
          <w:szCs w:val="20"/>
        </w:rPr>
      </w:pPr>
      <w:r>
        <w:rPr>
          <w:i/>
          <w:iCs/>
          <w:sz w:val="20"/>
          <w:szCs w:val="20"/>
        </w:rPr>
        <w:t xml:space="preserve">Salomon v Matte-Thompson, </w:t>
      </w:r>
      <w:r>
        <w:rPr>
          <w:sz w:val="20"/>
          <w:szCs w:val="20"/>
        </w:rPr>
        <w:t>2019 SCC 14 at para 33</w:t>
      </w:r>
      <w:r w:rsidR="00502AE6">
        <w:rPr>
          <w:sz w:val="20"/>
          <w:szCs w:val="20"/>
        </w:rPr>
        <w:t xml:space="preserve"> [</w:t>
      </w:r>
      <w:r w:rsidR="00502AE6">
        <w:rPr>
          <w:i/>
          <w:iCs/>
          <w:sz w:val="20"/>
          <w:szCs w:val="20"/>
        </w:rPr>
        <w:t>Salomon</w:t>
      </w:r>
      <w:r w:rsidR="00502AE6">
        <w:rPr>
          <w:sz w:val="20"/>
          <w:szCs w:val="20"/>
        </w:rPr>
        <w:t>].</w:t>
      </w:r>
    </w:p>
    <w:p w14:paraId="37774B16" w14:textId="7693FF6D" w:rsidR="006F0F0C" w:rsidRPr="00562AC6" w:rsidRDefault="006F0F0C" w:rsidP="00562AC6">
      <w:pPr>
        <w:pStyle w:val="Heading2"/>
      </w:pPr>
      <w:bookmarkStart w:id="13" w:name="_Toc220051337"/>
      <w:r w:rsidRPr="00562AC6">
        <w:t xml:space="preserve">Issue 1: The </w:t>
      </w:r>
      <w:r w:rsidR="001B4B84" w:rsidRPr="00562AC6">
        <w:t>ONCJ</w:t>
      </w:r>
      <w:r w:rsidRPr="00562AC6">
        <w:t xml:space="preserve"> was Correct in Finding that the Trial Justice Should Not Have Relied on Evidence of Blanding’s Turtle Sightings Before and After the Time of the Offence</w:t>
      </w:r>
      <w:bookmarkEnd w:id="13"/>
    </w:p>
    <w:p w14:paraId="51BBB14B" w14:textId="6A3BAC6F" w:rsidR="006F0F0C" w:rsidRDefault="006F0F0C" w:rsidP="006B7401">
      <w:pPr>
        <w:pStyle w:val="WSParaNum"/>
        <w:spacing w:before="0" w:after="0"/>
      </w:pPr>
      <w:r>
        <w:t xml:space="preserve">The </w:t>
      </w:r>
      <w:r w:rsidR="001B4B84">
        <w:t>ONCJ</w:t>
      </w:r>
      <w:r>
        <w:t xml:space="preserve"> correctly concluded that the </w:t>
      </w:r>
      <w:r w:rsidRPr="00741C31">
        <w:t xml:space="preserve">sightings of a Blanding’s Turtle </w:t>
      </w:r>
      <w:r w:rsidR="009E72EF">
        <w:t>in the Circle Lake Area</w:t>
      </w:r>
      <w:r w:rsidRPr="00741C31">
        <w:t xml:space="preserve"> on various dates before and after the time of the offence</w:t>
      </w:r>
      <w:r>
        <w:t xml:space="preserve"> are insufficient evidence to ground the conviction of CHL</w:t>
      </w:r>
      <w:r w:rsidR="007A4329">
        <w:t xml:space="preserve"> </w:t>
      </w:r>
      <w:r>
        <w:t>under</w:t>
      </w:r>
      <w:r w:rsidR="009E72EF">
        <w:t xml:space="preserve"> section 10(1)(a)</w:t>
      </w:r>
      <w:r>
        <w:t xml:space="preserve"> </w:t>
      </w:r>
      <w:r w:rsidR="007A4329">
        <w:t xml:space="preserve">of the </w:t>
      </w:r>
      <w:r w:rsidR="007A4329">
        <w:rPr>
          <w:i/>
          <w:iCs/>
        </w:rPr>
        <w:t xml:space="preserve">ESA </w:t>
      </w:r>
      <w:r>
        <w:t xml:space="preserve">because: (1) the inference of guilt was not the only reasonable inference available to the Trial Justice, (2) section 2(2) of the </w:t>
      </w:r>
      <w:r>
        <w:rPr>
          <w:i/>
          <w:iCs/>
        </w:rPr>
        <w:t>ESA</w:t>
      </w:r>
      <w:r>
        <w:t xml:space="preserve"> was correctly applied, and (3) the Trial Justice attached too much weight to the sightings. </w:t>
      </w:r>
    </w:p>
    <w:p w14:paraId="250BCF75" w14:textId="27288F6A" w:rsidR="009E72EF" w:rsidRPr="009E72EF" w:rsidRDefault="003A7C1F" w:rsidP="009E72EF">
      <w:pPr>
        <w:pStyle w:val="WSParaNum"/>
        <w:numPr>
          <w:ilvl w:val="0"/>
          <w:numId w:val="0"/>
        </w:numPr>
        <w:spacing w:before="0" w:after="0" w:line="240" w:lineRule="auto"/>
        <w:ind w:firstLine="720"/>
        <w:rPr>
          <w:sz w:val="15"/>
          <w:szCs w:val="15"/>
        </w:rPr>
      </w:pPr>
      <w:r>
        <w:rPr>
          <w:i/>
          <w:iCs/>
          <w:sz w:val="20"/>
          <w:szCs w:val="20"/>
        </w:rPr>
        <w:t>ESA</w:t>
      </w:r>
      <w:r w:rsidR="009E72EF" w:rsidRPr="009E72EF">
        <w:rPr>
          <w:sz w:val="20"/>
          <w:szCs w:val="20"/>
        </w:rPr>
        <w:t>,</w:t>
      </w:r>
      <w:r>
        <w:rPr>
          <w:sz w:val="20"/>
          <w:szCs w:val="20"/>
        </w:rPr>
        <w:t xml:space="preserve"> </w:t>
      </w:r>
      <w:r>
        <w:rPr>
          <w:i/>
          <w:iCs/>
          <w:sz w:val="20"/>
          <w:szCs w:val="20"/>
        </w:rPr>
        <w:t xml:space="preserve">supra </w:t>
      </w:r>
      <w:r>
        <w:rPr>
          <w:sz w:val="20"/>
          <w:szCs w:val="20"/>
        </w:rPr>
        <w:t>para 1,</w:t>
      </w:r>
      <w:r w:rsidR="009E72EF" w:rsidRPr="009E72EF">
        <w:rPr>
          <w:sz w:val="20"/>
          <w:szCs w:val="20"/>
        </w:rPr>
        <w:t xml:space="preserve"> ss 10(1)(a), 2(2).</w:t>
      </w:r>
    </w:p>
    <w:p w14:paraId="31782097" w14:textId="77777777" w:rsidR="006F0F0C" w:rsidRPr="00562AC6" w:rsidRDefault="006F0F0C" w:rsidP="00562AC6">
      <w:pPr>
        <w:pStyle w:val="Heading3"/>
      </w:pPr>
      <w:bookmarkStart w:id="14" w:name="_Toc220051338"/>
      <w:r w:rsidRPr="00562AC6">
        <w:t>The Inference of Guilt Must Be the Only Reasonable Inference that the Circumstantial Evidence Permits</w:t>
      </w:r>
      <w:bookmarkEnd w:id="14"/>
      <w:r w:rsidRPr="00562AC6">
        <w:t xml:space="preserve"> </w:t>
      </w:r>
    </w:p>
    <w:p w14:paraId="22032A90" w14:textId="22E57466" w:rsidR="006F0F0C" w:rsidRDefault="006F0F0C" w:rsidP="006F0F0C">
      <w:pPr>
        <w:pStyle w:val="WSParaNum"/>
        <w:tabs>
          <w:tab w:val="num" w:pos="2705"/>
        </w:tabs>
        <w:spacing w:before="0" w:after="0"/>
      </w:pPr>
      <w:r>
        <w:t xml:space="preserve">All of the elements of a section 10(1)(a) offence under the </w:t>
      </w:r>
      <w:r>
        <w:rPr>
          <w:i/>
          <w:iCs/>
        </w:rPr>
        <w:t>ESA</w:t>
      </w:r>
      <w:r>
        <w:t xml:space="preserve"> must be proven by the Crown beyond a reasonable doubt. In </w:t>
      </w:r>
      <w:r w:rsidRPr="00062108">
        <w:rPr>
          <w:i/>
          <w:iCs/>
        </w:rPr>
        <w:t>R v</w:t>
      </w:r>
      <w:r>
        <w:t xml:space="preserve"> </w:t>
      </w:r>
      <w:r>
        <w:rPr>
          <w:i/>
          <w:iCs/>
        </w:rPr>
        <w:t>Villaroman</w:t>
      </w:r>
      <w:r>
        <w:t xml:space="preserve">, the Supreme Court of Canada held that if the standard of proof for conviction is beyond a reasonable doubt and that conviction rests on circumstantial evidence, guilt must be the </w:t>
      </w:r>
      <w:r w:rsidRPr="00062108">
        <w:t>only</w:t>
      </w:r>
      <w:r>
        <w:t xml:space="preserve"> reasonable inference available on the evidence. If alternative inferences </w:t>
      </w:r>
      <w:r w:rsidR="00AA72AB">
        <w:t xml:space="preserve">that </w:t>
      </w:r>
      <w:r>
        <w:t xml:space="preserve">raise a doubt exist, then the Crown has not proven guilt beyond a reasonable doubt and any conviction secured in that case would be an unreasonable verdict. </w:t>
      </w:r>
    </w:p>
    <w:p w14:paraId="0FB97741" w14:textId="77777777" w:rsidR="00A74633" w:rsidRPr="00A74633" w:rsidRDefault="00A74633" w:rsidP="00A74633">
      <w:pPr>
        <w:pStyle w:val="WSParaNum"/>
        <w:numPr>
          <w:ilvl w:val="0"/>
          <w:numId w:val="0"/>
        </w:numPr>
        <w:spacing w:before="0" w:after="0" w:line="240" w:lineRule="auto"/>
        <w:ind w:firstLine="720"/>
        <w:rPr>
          <w:sz w:val="20"/>
          <w:szCs w:val="20"/>
        </w:rPr>
      </w:pPr>
      <w:r w:rsidRPr="00A74633">
        <w:rPr>
          <w:i/>
          <w:iCs/>
          <w:sz w:val="20"/>
          <w:szCs w:val="20"/>
        </w:rPr>
        <w:t>R v Villaroman</w:t>
      </w:r>
      <w:r w:rsidRPr="00A74633">
        <w:rPr>
          <w:sz w:val="20"/>
          <w:szCs w:val="20"/>
        </w:rPr>
        <w:t>, 2016 SCC 33 at paras 35, 55 [</w:t>
      </w:r>
      <w:r w:rsidRPr="00A74633">
        <w:rPr>
          <w:i/>
          <w:iCs/>
          <w:sz w:val="20"/>
          <w:szCs w:val="20"/>
        </w:rPr>
        <w:t>Villaroman</w:t>
      </w:r>
      <w:r w:rsidRPr="00A74633">
        <w:rPr>
          <w:sz w:val="20"/>
          <w:szCs w:val="20"/>
        </w:rPr>
        <w:t>].</w:t>
      </w:r>
    </w:p>
    <w:p w14:paraId="7CA8C4FF" w14:textId="7B3BDED8" w:rsidR="00A74633" w:rsidRDefault="00A74633" w:rsidP="00A74633">
      <w:pPr>
        <w:pStyle w:val="WSParaNum"/>
        <w:numPr>
          <w:ilvl w:val="0"/>
          <w:numId w:val="0"/>
        </w:numPr>
        <w:spacing w:before="0" w:after="0" w:line="240" w:lineRule="auto"/>
        <w:ind w:firstLine="720"/>
        <w:rPr>
          <w:sz w:val="20"/>
          <w:szCs w:val="20"/>
        </w:rPr>
      </w:pPr>
      <w:r w:rsidRPr="00A74633">
        <w:rPr>
          <w:i/>
          <w:iCs/>
          <w:sz w:val="20"/>
          <w:szCs w:val="20"/>
        </w:rPr>
        <w:t>R v Nguyen</w:t>
      </w:r>
      <w:r w:rsidRPr="00A74633">
        <w:rPr>
          <w:sz w:val="20"/>
          <w:szCs w:val="20"/>
        </w:rPr>
        <w:t>, 2023 ONCA 531 at para 29.</w:t>
      </w:r>
    </w:p>
    <w:p w14:paraId="34DAF4F2" w14:textId="77777777" w:rsidR="00A74633" w:rsidRPr="00A74633" w:rsidRDefault="00A74633" w:rsidP="00A74633">
      <w:pPr>
        <w:pStyle w:val="WSParaNum"/>
        <w:numPr>
          <w:ilvl w:val="0"/>
          <w:numId w:val="0"/>
        </w:numPr>
        <w:spacing w:before="0" w:after="0" w:line="240" w:lineRule="auto"/>
        <w:ind w:firstLine="720"/>
        <w:rPr>
          <w:sz w:val="20"/>
          <w:szCs w:val="20"/>
        </w:rPr>
      </w:pPr>
    </w:p>
    <w:p w14:paraId="57D93D9D" w14:textId="0CA62FBF" w:rsidR="00A74633" w:rsidRDefault="00A74633" w:rsidP="003842EB">
      <w:pPr>
        <w:pStyle w:val="WSParaNum"/>
        <w:spacing w:before="0" w:after="0"/>
      </w:pPr>
      <w:r w:rsidRPr="00062108">
        <w:t xml:space="preserve">A court may allow an appeal against a conviction pursuant to section 120(1)(a)(i) of </w:t>
      </w:r>
      <w:r>
        <w:t>Ontario’s</w:t>
      </w:r>
      <w:r w:rsidRPr="00062108">
        <w:t xml:space="preserve"> </w:t>
      </w:r>
      <w:r w:rsidRPr="00062108">
        <w:rPr>
          <w:i/>
          <w:iCs/>
        </w:rPr>
        <w:t>Provincial Offences Act</w:t>
      </w:r>
      <w:r w:rsidRPr="00062108">
        <w:t xml:space="preserve"> (the “</w:t>
      </w:r>
      <w:r w:rsidRPr="00062108">
        <w:rPr>
          <w:i/>
          <w:iCs/>
        </w:rPr>
        <w:t>POA</w:t>
      </w:r>
      <w:r w:rsidRPr="00062108">
        <w:t xml:space="preserve">”) </w:t>
      </w:r>
      <w:r>
        <w:t xml:space="preserve">when </w:t>
      </w:r>
      <w:r w:rsidRPr="00062108">
        <w:t>the conviction is “unreasonable or cannot be supported by the evidence”</w:t>
      </w:r>
      <w:r>
        <w:t xml:space="preserve">. The ONCJ correctly determined that </w:t>
      </w:r>
      <w:r w:rsidR="00F50655">
        <w:t>CHL’s conviction</w:t>
      </w:r>
      <w:r>
        <w:t xml:space="preserve"> was “unreasonable” </w:t>
      </w:r>
      <w:r w:rsidRPr="00062108">
        <w:t xml:space="preserve">pursuant to section 120(1)(a)(ii) of the </w:t>
      </w:r>
      <w:r w:rsidRPr="00062108">
        <w:rPr>
          <w:i/>
          <w:iCs/>
        </w:rPr>
        <w:t>POA</w:t>
      </w:r>
      <w:r>
        <w:rPr>
          <w:i/>
          <w:iCs/>
        </w:rPr>
        <w:t xml:space="preserve"> </w:t>
      </w:r>
      <w:r>
        <w:t xml:space="preserve">because contrary to the principles established in </w:t>
      </w:r>
      <w:r>
        <w:rPr>
          <w:i/>
          <w:iCs/>
        </w:rPr>
        <w:t>Villaroman</w:t>
      </w:r>
      <w:r>
        <w:t xml:space="preserve">, the Trial Justice disregarded reasonable inferences available on the evidence which raise a doubt of CHL’s guilt. </w:t>
      </w:r>
    </w:p>
    <w:p w14:paraId="441DA55F" w14:textId="77777777" w:rsidR="00A74633" w:rsidRPr="00A74633" w:rsidRDefault="00A74633" w:rsidP="00A74633">
      <w:pPr>
        <w:pStyle w:val="WSParaNum"/>
        <w:numPr>
          <w:ilvl w:val="0"/>
          <w:numId w:val="0"/>
        </w:numPr>
        <w:spacing w:before="0" w:after="0" w:line="240" w:lineRule="auto"/>
        <w:ind w:firstLine="720"/>
        <w:rPr>
          <w:sz w:val="20"/>
          <w:szCs w:val="20"/>
        </w:rPr>
      </w:pPr>
      <w:r w:rsidRPr="00A74633">
        <w:rPr>
          <w:i/>
          <w:iCs/>
          <w:sz w:val="20"/>
          <w:szCs w:val="20"/>
        </w:rPr>
        <w:t xml:space="preserve">Provincial Offences </w:t>
      </w:r>
      <w:r w:rsidRPr="003842EB">
        <w:rPr>
          <w:i/>
          <w:iCs/>
          <w:sz w:val="20"/>
          <w:szCs w:val="20"/>
        </w:rPr>
        <w:t>Act</w:t>
      </w:r>
      <w:r w:rsidRPr="00A74633">
        <w:rPr>
          <w:sz w:val="20"/>
          <w:szCs w:val="20"/>
        </w:rPr>
        <w:t>, RSO 1990, c P.33, s 120(1)(a)(i) [</w:t>
      </w:r>
      <w:r w:rsidRPr="00A74633">
        <w:rPr>
          <w:i/>
          <w:iCs/>
          <w:sz w:val="20"/>
          <w:szCs w:val="20"/>
        </w:rPr>
        <w:t>POA</w:t>
      </w:r>
      <w:r w:rsidRPr="00A74633">
        <w:rPr>
          <w:sz w:val="20"/>
          <w:szCs w:val="20"/>
        </w:rPr>
        <w:t xml:space="preserve">]. </w:t>
      </w:r>
    </w:p>
    <w:p w14:paraId="0F4546C0" w14:textId="38DA43FB" w:rsidR="006B7401" w:rsidRDefault="00A74633" w:rsidP="00A74633">
      <w:pPr>
        <w:pStyle w:val="WSParaNum"/>
        <w:numPr>
          <w:ilvl w:val="0"/>
          <w:numId w:val="0"/>
        </w:numPr>
        <w:spacing w:before="0" w:after="0" w:line="240" w:lineRule="auto"/>
        <w:ind w:firstLine="720"/>
        <w:rPr>
          <w:sz w:val="20"/>
          <w:szCs w:val="20"/>
        </w:rPr>
      </w:pPr>
      <w:r w:rsidRPr="00A74633">
        <w:rPr>
          <w:i/>
          <w:iCs/>
          <w:sz w:val="20"/>
          <w:szCs w:val="20"/>
        </w:rPr>
        <w:t>Villaroman</w:t>
      </w:r>
      <w:r w:rsidRPr="00A74633">
        <w:rPr>
          <w:sz w:val="20"/>
          <w:szCs w:val="20"/>
        </w:rPr>
        <w:t xml:space="preserve">, </w:t>
      </w:r>
      <w:r w:rsidRPr="00BA1664">
        <w:rPr>
          <w:i/>
          <w:iCs/>
          <w:sz w:val="20"/>
          <w:szCs w:val="20"/>
        </w:rPr>
        <w:t>supra</w:t>
      </w:r>
      <w:r w:rsidRPr="00A74633">
        <w:rPr>
          <w:sz w:val="20"/>
          <w:szCs w:val="20"/>
        </w:rPr>
        <w:t xml:space="preserve"> para 19. </w:t>
      </w:r>
    </w:p>
    <w:p w14:paraId="5C67F69C" w14:textId="77777777" w:rsidR="00A74633" w:rsidRPr="00062108" w:rsidRDefault="00A74633" w:rsidP="00A74633">
      <w:pPr>
        <w:pStyle w:val="WSParaNum"/>
        <w:numPr>
          <w:ilvl w:val="0"/>
          <w:numId w:val="0"/>
        </w:numPr>
        <w:spacing w:before="0" w:after="0" w:line="240" w:lineRule="auto"/>
        <w:ind w:firstLine="720"/>
        <w:rPr>
          <w:sz w:val="20"/>
          <w:szCs w:val="20"/>
        </w:rPr>
      </w:pPr>
    </w:p>
    <w:p w14:paraId="04D85D2A" w14:textId="5712A0FC" w:rsidR="006F0F0C" w:rsidRDefault="006F0F0C" w:rsidP="00A74633">
      <w:pPr>
        <w:pStyle w:val="WSParaNum"/>
      </w:pPr>
      <w:r w:rsidRPr="00062108">
        <w:lastRenderedPageBreak/>
        <w:t>The Trial Justice used circumstantial evidence of sightings in 2007, 2017, and 2020 to infer that Blanding’s Turtles were also living in the Ci</w:t>
      </w:r>
      <w:r w:rsidR="00951E49">
        <w:t>r</w:t>
      </w:r>
      <w:r w:rsidRPr="00062108">
        <w:t xml:space="preserve">cle Lake area during the time of the offence from June </w:t>
      </w:r>
      <w:r w:rsidR="00F50655">
        <w:t>1 –</w:t>
      </w:r>
      <w:r w:rsidR="003A7C1F">
        <w:t xml:space="preserve"> </w:t>
      </w:r>
      <w:r w:rsidR="00F50655" w:rsidRPr="00062108">
        <w:t>August</w:t>
      </w:r>
      <w:r w:rsidR="00F50655">
        <w:t xml:space="preserve"> 5,</w:t>
      </w:r>
      <w:r w:rsidRPr="00062108">
        <w:t xml:space="preserve"> 2018. However, this was not the only reasonable inference available on the evidence. </w:t>
      </w:r>
      <w:r>
        <w:t xml:space="preserve">The </w:t>
      </w:r>
      <w:r w:rsidR="001B4B84">
        <w:t>ONCJ</w:t>
      </w:r>
      <w:r>
        <w:t xml:space="preserve"> correctly determined that it </w:t>
      </w:r>
      <w:r w:rsidRPr="00062108">
        <w:t xml:space="preserve">was also available to the Trial Justice to reasonably infer that there were </w:t>
      </w:r>
      <w:r w:rsidRPr="009307A9">
        <w:rPr>
          <w:i/>
          <w:iCs/>
        </w:rPr>
        <w:t xml:space="preserve">no </w:t>
      </w:r>
      <w:r w:rsidRPr="00062108">
        <w:t xml:space="preserve">Blanding’s Turtles living in the Circle Lake area at the time of the offence </w:t>
      </w:r>
      <w:r>
        <w:t xml:space="preserve">and this </w:t>
      </w:r>
      <w:r w:rsidRPr="00062108">
        <w:t xml:space="preserve">alternative inference is enough to raise a doubt of CHL’s </w:t>
      </w:r>
      <w:r>
        <w:t xml:space="preserve">guilt. </w:t>
      </w:r>
    </w:p>
    <w:p w14:paraId="7B7AC063" w14:textId="51B11D3E" w:rsidR="006F0F0C" w:rsidRDefault="006F0F0C" w:rsidP="006B7401">
      <w:pPr>
        <w:pStyle w:val="WSParaNum"/>
        <w:numPr>
          <w:ilvl w:val="0"/>
          <w:numId w:val="7"/>
        </w:numPr>
        <w:tabs>
          <w:tab w:val="num" w:pos="2705"/>
        </w:tabs>
        <w:spacing w:before="0" w:after="0"/>
      </w:pPr>
      <w:r>
        <w:t xml:space="preserve">Other </w:t>
      </w:r>
      <w:r w:rsidR="006F2998" w:rsidRPr="006F2998">
        <w:t>evidence that supports a reasonable inference that raises a doubt of CHL’s guilt includes the “Wallace Road Report” that was prepared in November 2017. The report stated that there were no observations of any species at risk, which would include Blanding’s Turtles near the Site. This evidence supports the reasonable inference that there were no Blanding’s Turtles in the area at the time of the offence.</w:t>
      </w:r>
    </w:p>
    <w:p w14:paraId="6900A232" w14:textId="6D2EC51B" w:rsidR="006F0F0C" w:rsidRDefault="001B4B84" w:rsidP="00FB2CE0">
      <w:pPr>
        <w:pStyle w:val="WSParaNum"/>
        <w:numPr>
          <w:ilvl w:val="0"/>
          <w:numId w:val="0"/>
        </w:numPr>
        <w:spacing w:before="0" w:after="0" w:line="240" w:lineRule="auto"/>
        <w:ind w:left="720"/>
        <w:rPr>
          <w:sz w:val="20"/>
          <w:szCs w:val="20"/>
        </w:rPr>
      </w:pPr>
      <w:r>
        <w:rPr>
          <w:i/>
          <w:iCs/>
          <w:sz w:val="20"/>
          <w:szCs w:val="20"/>
        </w:rPr>
        <w:t>ONCJ</w:t>
      </w:r>
      <w:r w:rsidR="00754AFB">
        <w:rPr>
          <w:i/>
          <w:iCs/>
          <w:sz w:val="20"/>
          <w:szCs w:val="20"/>
        </w:rPr>
        <w:t xml:space="preserve"> Reasons</w:t>
      </w:r>
      <w:r w:rsidR="0042172A">
        <w:rPr>
          <w:sz w:val="20"/>
          <w:szCs w:val="20"/>
        </w:rPr>
        <w:t xml:space="preserve">, </w:t>
      </w:r>
      <w:r w:rsidR="0042172A">
        <w:rPr>
          <w:i/>
          <w:iCs/>
          <w:sz w:val="20"/>
          <w:szCs w:val="20"/>
        </w:rPr>
        <w:t xml:space="preserve">supra </w:t>
      </w:r>
      <w:r w:rsidR="0042172A">
        <w:rPr>
          <w:sz w:val="20"/>
          <w:szCs w:val="20"/>
        </w:rPr>
        <w:t xml:space="preserve">para </w:t>
      </w:r>
      <w:r w:rsidR="003A7C1F">
        <w:rPr>
          <w:sz w:val="20"/>
          <w:szCs w:val="20"/>
        </w:rPr>
        <w:t>8</w:t>
      </w:r>
      <w:r w:rsidR="0042172A">
        <w:rPr>
          <w:sz w:val="20"/>
          <w:szCs w:val="20"/>
        </w:rPr>
        <w:t xml:space="preserve"> at 7, 15–16.</w:t>
      </w:r>
    </w:p>
    <w:p w14:paraId="02D6CC90" w14:textId="77777777" w:rsidR="006B7401" w:rsidRPr="003132FF" w:rsidRDefault="006B7401" w:rsidP="006B7401">
      <w:pPr>
        <w:pStyle w:val="WSParaNum"/>
        <w:numPr>
          <w:ilvl w:val="0"/>
          <w:numId w:val="0"/>
        </w:numPr>
        <w:spacing w:before="0" w:after="0" w:line="240" w:lineRule="auto"/>
        <w:ind w:firstLine="720"/>
        <w:rPr>
          <w:sz w:val="20"/>
          <w:szCs w:val="20"/>
        </w:rPr>
      </w:pPr>
    </w:p>
    <w:p w14:paraId="585B4E66" w14:textId="757E3ACC" w:rsidR="006F0F0C" w:rsidRDefault="006F0F0C" w:rsidP="006F0F0C">
      <w:pPr>
        <w:pStyle w:val="WSParaNum"/>
        <w:numPr>
          <w:ilvl w:val="0"/>
          <w:numId w:val="7"/>
        </w:numPr>
        <w:spacing w:before="0" w:after="0"/>
      </w:pPr>
      <w:r>
        <w:t xml:space="preserve">Additionally, two pieces of evidence show that the grubbing work conducted by CHL occurred </w:t>
      </w:r>
      <w:r w:rsidRPr="00471CA8">
        <w:rPr>
          <w:i/>
          <w:iCs/>
        </w:rPr>
        <w:t>outside</w:t>
      </w:r>
      <w:r>
        <w:t xml:space="preserve"> of the area recognized as Blanding’s Turtle habitat. </w:t>
      </w:r>
      <w:r w:rsidR="006F2998" w:rsidRPr="006F2998">
        <w:t xml:space="preserve">First, CHL’s grubbing work in 2018 was conducted outside of the hatched area indicated in the stop order issued to CHL </w:t>
      </w:r>
      <w:r w:rsidR="00F50655">
        <w:t>i</w:t>
      </w:r>
      <w:r w:rsidR="006F2998" w:rsidRPr="006F2998">
        <w:t>n March</w:t>
      </w:r>
      <w:r w:rsidR="00F50655">
        <w:t xml:space="preserve">, </w:t>
      </w:r>
      <w:r w:rsidR="006F2998" w:rsidRPr="006F2998">
        <w:t>2017 by the MNRF. Second, CHL’s work did not cross the physical boundary delineating the 30-m</w:t>
      </w:r>
      <w:r w:rsidR="00F50655">
        <w:t>eter</w:t>
      </w:r>
      <w:r w:rsidR="006F2998" w:rsidRPr="006F2998">
        <w:t xml:space="preserve"> buffer zone around the lake at the Site. Therefore, it is reasonable to infer that the area where the work was conducted was not Blanding’s Turtle habitat because in November 2017, only 7 months prior to the alleged offence date, it had not been recognized by the MNRF or Mr. Snell as such.     </w:t>
      </w:r>
    </w:p>
    <w:p w14:paraId="41DB9105" w14:textId="58CC1D2C" w:rsidR="006F0F0C" w:rsidRDefault="001B4B84" w:rsidP="006F0F0C">
      <w:pPr>
        <w:pStyle w:val="WSParaNum"/>
        <w:numPr>
          <w:ilvl w:val="0"/>
          <w:numId w:val="0"/>
        </w:numPr>
        <w:spacing w:before="0" w:after="0" w:line="240" w:lineRule="auto"/>
        <w:ind w:firstLine="720"/>
        <w:rPr>
          <w:sz w:val="20"/>
          <w:szCs w:val="20"/>
        </w:rPr>
      </w:pPr>
      <w:r>
        <w:rPr>
          <w:i/>
          <w:iCs/>
          <w:sz w:val="20"/>
          <w:szCs w:val="20"/>
        </w:rPr>
        <w:t>ONCJ</w:t>
      </w:r>
      <w:r w:rsidR="006F0F0C">
        <w:rPr>
          <w:i/>
          <w:iCs/>
          <w:sz w:val="20"/>
          <w:szCs w:val="20"/>
        </w:rPr>
        <w:t xml:space="preserve"> Reasons</w:t>
      </w:r>
      <w:r w:rsidR="00754AFB">
        <w:rPr>
          <w:sz w:val="20"/>
          <w:szCs w:val="20"/>
        </w:rPr>
        <w:t xml:space="preserve">, </w:t>
      </w:r>
      <w:r w:rsidR="00754AFB">
        <w:rPr>
          <w:i/>
          <w:iCs/>
          <w:sz w:val="20"/>
          <w:szCs w:val="20"/>
        </w:rPr>
        <w:t xml:space="preserve">supra </w:t>
      </w:r>
      <w:r w:rsidR="00754AFB" w:rsidRPr="00754AFB">
        <w:rPr>
          <w:sz w:val="20"/>
          <w:szCs w:val="20"/>
        </w:rPr>
        <w:t xml:space="preserve">para </w:t>
      </w:r>
      <w:r w:rsidR="002268EB">
        <w:rPr>
          <w:sz w:val="20"/>
          <w:szCs w:val="20"/>
        </w:rPr>
        <w:t>8</w:t>
      </w:r>
      <w:r w:rsidR="00754AFB">
        <w:rPr>
          <w:sz w:val="20"/>
          <w:szCs w:val="20"/>
        </w:rPr>
        <w:t xml:space="preserve"> </w:t>
      </w:r>
      <w:r w:rsidR="006F0F0C">
        <w:rPr>
          <w:sz w:val="20"/>
          <w:szCs w:val="20"/>
        </w:rPr>
        <w:t xml:space="preserve">at 16. </w:t>
      </w:r>
    </w:p>
    <w:p w14:paraId="0996D420" w14:textId="77777777" w:rsidR="006B7401" w:rsidRPr="003132FF" w:rsidRDefault="006B7401" w:rsidP="006B7401">
      <w:pPr>
        <w:pStyle w:val="WSParaNum"/>
        <w:numPr>
          <w:ilvl w:val="0"/>
          <w:numId w:val="0"/>
        </w:numPr>
        <w:spacing w:before="0" w:after="0" w:line="240" w:lineRule="auto"/>
        <w:rPr>
          <w:sz w:val="20"/>
          <w:szCs w:val="20"/>
        </w:rPr>
      </w:pPr>
    </w:p>
    <w:p w14:paraId="1F575139" w14:textId="4F192657" w:rsidR="006F0F0C" w:rsidRPr="00801C5A" w:rsidRDefault="00951E49" w:rsidP="00754AFB">
      <w:pPr>
        <w:pStyle w:val="WSParaNum"/>
        <w:tabs>
          <w:tab w:val="num" w:pos="2705"/>
        </w:tabs>
        <w:spacing w:before="0" w:after="0"/>
      </w:pPr>
      <w:r>
        <w:t>Contrary</w:t>
      </w:r>
      <w:r w:rsidR="006F0F0C">
        <w:t xml:space="preserve"> to the principles established by </w:t>
      </w:r>
      <w:r w:rsidR="006F0F0C" w:rsidRPr="00062108">
        <w:rPr>
          <w:i/>
          <w:iCs/>
        </w:rPr>
        <w:t>Villaroman</w:t>
      </w:r>
      <w:r w:rsidR="006F0F0C">
        <w:t>, t</w:t>
      </w:r>
      <w:r w:rsidR="006F0F0C" w:rsidRPr="00801C5A">
        <w:t>h</w:t>
      </w:r>
      <w:r w:rsidR="006F0F0C">
        <w:t>e Trial Justice disregarded th</w:t>
      </w:r>
      <w:r w:rsidR="006F0F0C" w:rsidRPr="00801C5A">
        <w:t xml:space="preserve">is additional </w:t>
      </w:r>
      <w:r w:rsidR="006F0F0C">
        <w:t xml:space="preserve">site-specific </w:t>
      </w:r>
      <w:r w:rsidR="006F0F0C" w:rsidRPr="00801C5A">
        <w:t xml:space="preserve">evidence </w:t>
      </w:r>
      <w:r w:rsidR="002268EB">
        <w:t>which</w:t>
      </w:r>
      <w:r w:rsidR="006F0F0C" w:rsidRPr="00801C5A">
        <w:t xml:space="preserve"> gives rise to the reasonable inference that there were no Blanding’s Turtles living in the Circle Lake area </w:t>
      </w:r>
      <w:r w:rsidR="006F0F0C">
        <w:t xml:space="preserve">at the time of the offence. Thus, the </w:t>
      </w:r>
      <w:r w:rsidR="001B4B84">
        <w:t>ONCJ</w:t>
      </w:r>
      <w:r w:rsidR="006F0F0C">
        <w:t xml:space="preserve"> correctly determined that the available evidence gives rise to a reasonable doubt and</w:t>
      </w:r>
      <w:r w:rsidR="006F0F0C" w:rsidRPr="00801C5A">
        <w:t xml:space="preserve"> </w:t>
      </w:r>
      <w:r w:rsidR="00F50655">
        <w:t xml:space="preserve">that </w:t>
      </w:r>
      <w:r w:rsidR="006F0F0C" w:rsidRPr="00801C5A">
        <w:t>the conviction was “unreasonable” or “not supported by the evidence”, pursuant to</w:t>
      </w:r>
      <w:r w:rsidR="006B7401">
        <w:t xml:space="preserve"> the</w:t>
      </w:r>
      <w:r w:rsidR="006F0F0C">
        <w:t xml:space="preserve"> </w:t>
      </w:r>
      <w:r w:rsidR="006B7401">
        <w:rPr>
          <w:i/>
          <w:iCs/>
        </w:rPr>
        <w:t>POA</w:t>
      </w:r>
      <w:r w:rsidR="006B7401">
        <w:t>.</w:t>
      </w:r>
      <w:r w:rsidR="006F0F0C">
        <w:t xml:space="preserve"> </w:t>
      </w:r>
    </w:p>
    <w:p w14:paraId="5CEA426D" w14:textId="2DB59288" w:rsidR="006F0F0C" w:rsidRDefault="006F0F0C" w:rsidP="006B7401">
      <w:pPr>
        <w:pStyle w:val="WSParaNum"/>
        <w:numPr>
          <w:ilvl w:val="0"/>
          <w:numId w:val="0"/>
        </w:numPr>
        <w:spacing w:before="0" w:after="0" w:line="240" w:lineRule="auto"/>
        <w:ind w:firstLine="720"/>
        <w:rPr>
          <w:sz w:val="20"/>
          <w:szCs w:val="20"/>
        </w:rPr>
      </w:pPr>
      <w:r w:rsidRPr="00062108">
        <w:rPr>
          <w:i/>
          <w:iCs/>
          <w:sz w:val="20"/>
          <w:szCs w:val="20"/>
        </w:rPr>
        <w:t>Villaroman</w:t>
      </w:r>
      <w:r w:rsidRPr="00062108">
        <w:rPr>
          <w:sz w:val="20"/>
          <w:szCs w:val="20"/>
        </w:rPr>
        <w:t xml:space="preserve">, </w:t>
      </w:r>
      <w:r w:rsidRPr="00BA1664">
        <w:rPr>
          <w:i/>
          <w:iCs/>
          <w:sz w:val="20"/>
          <w:szCs w:val="20"/>
        </w:rPr>
        <w:t>supra</w:t>
      </w:r>
      <w:r w:rsidRPr="00062108">
        <w:rPr>
          <w:sz w:val="20"/>
          <w:szCs w:val="20"/>
        </w:rPr>
        <w:t xml:space="preserve"> para </w:t>
      </w:r>
      <w:r w:rsidR="00DF64F0">
        <w:rPr>
          <w:sz w:val="20"/>
          <w:szCs w:val="20"/>
        </w:rPr>
        <w:t>19</w:t>
      </w:r>
      <w:r w:rsidRPr="00062108">
        <w:rPr>
          <w:sz w:val="20"/>
          <w:szCs w:val="20"/>
        </w:rPr>
        <w:t xml:space="preserve">. </w:t>
      </w:r>
    </w:p>
    <w:p w14:paraId="686E1437" w14:textId="1BEADFFF" w:rsidR="006B7401" w:rsidRPr="006B7401" w:rsidRDefault="006B7401" w:rsidP="00981D2F">
      <w:pPr>
        <w:pStyle w:val="WSParaNum"/>
        <w:numPr>
          <w:ilvl w:val="0"/>
          <w:numId w:val="0"/>
        </w:numPr>
        <w:spacing w:before="0" w:after="0" w:line="240" w:lineRule="auto"/>
        <w:ind w:firstLine="720"/>
        <w:rPr>
          <w:sz w:val="20"/>
          <w:szCs w:val="20"/>
        </w:rPr>
      </w:pPr>
      <w:r>
        <w:rPr>
          <w:i/>
          <w:iCs/>
          <w:sz w:val="20"/>
          <w:szCs w:val="20"/>
        </w:rPr>
        <w:t>POA</w:t>
      </w:r>
      <w:r>
        <w:rPr>
          <w:sz w:val="20"/>
          <w:szCs w:val="20"/>
        </w:rPr>
        <w:t xml:space="preserve">, </w:t>
      </w:r>
      <w:r>
        <w:rPr>
          <w:i/>
          <w:iCs/>
          <w:sz w:val="20"/>
          <w:szCs w:val="20"/>
        </w:rPr>
        <w:t xml:space="preserve">supra </w:t>
      </w:r>
      <w:r>
        <w:rPr>
          <w:sz w:val="20"/>
          <w:szCs w:val="20"/>
        </w:rPr>
        <w:t xml:space="preserve">para </w:t>
      </w:r>
      <w:r w:rsidR="002268EB">
        <w:rPr>
          <w:sz w:val="20"/>
          <w:szCs w:val="20"/>
        </w:rPr>
        <w:t>2</w:t>
      </w:r>
      <w:r w:rsidR="00120A36">
        <w:rPr>
          <w:sz w:val="20"/>
          <w:szCs w:val="20"/>
        </w:rPr>
        <w:t>0</w:t>
      </w:r>
      <w:r>
        <w:rPr>
          <w:sz w:val="20"/>
          <w:szCs w:val="20"/>
        </w:rPr>
        <w:t>, s 120(1)(a)(i).</w:t>
      </w:r>
    </w:p>
    <w:p w14:paraId="3561F9EC" w14:textId="3AA88D03" w:rsidR="006F0F0C" w:rsidRPr="00633712" w:rsidRDefault="006F0F0C" w:rsidP="00562AC6">
      <w:pPr>
        <w:pStyle w:val="Heading3"/>
        <w:rPr>
          <w:i/>
          <w:iCs/>
        </w:rPr>
      </w:pPr>
      <w:bookmarkStart w:id="15" w:name="_Toc220051339"/>
      <w:r w:rsidRPr="00562AC6">
        <w:lastRenderedPageBreak/>
        <w:t xml:space="preserve">The </w:t>
      </w:r>
      <w:r w:rsidR="001B4B84" w:rsidRPr="00562AC6">
        <w:t>ONCJ</w:t>
      </w:r>
      <w:r w:rsidRPr="00562AC6">
        <w:t xml:space="preserve"> Correctly Applied Section 2(2) of the </w:t>
      </w:r>
      <w:r w:rsidRPr="00633712">
        <w:rPr>
          <w:i/>
          <w:iCs/>
        </w:rPr>
        <w:t>ESA</w:t>
      </w:r>
      <w:bookmarkEnd w:id="15"/>
    </w:p>
    <w:p w14:paraId="6B81F361" w14:textId="0750FA23" w:rsidR="006F0F0C" w:rsidRDefault="006F0F0C" w:rsidP="003842EB">
      <w:pPr>
        <w:pStyle w:val="WSParaNum"/>
        <w:spacing w:before="0" w:after="0"/>
      </w:pPr>
      <w:r w:rsidRPr="003132FF">
        <w:t xml:space="preserve">Section 2(2) of the </w:t>
      </w:r>
      <w:r w:rsidRPr="003132FF">
        <w:rPr>
          <w:i/>
          <w:iCs/>
        </w:rPr>
        <w:t>ESA</w:t>
      </w:r>
      <w:r w:rsidRPr="003132FF">
        <w:t xml:space="preserve"> defined habitat to exclude “an area where the species formerly occurred or has the potential to be reintroduced unless existing members of the species depend on that area to carry on their life processes”. </w:t>
      </w:r>
    </w:p>
    <w:p w14:paraId="458DB080" w14:textId="6403D863" w:rsidR="003842EB" w:rsidRDefault="00C643E7" w:rsidP="003842EB">
      <w:pPr>
        <w:pStyle w:val="WSParaNum"/>
        <w:numPr>
          <w:ilvl w:val="0"/>
          <w:numId w:val="0"/>
        </w:numPr>
        <w:spacing w:before="0" w:after="0" w:line="240" w:lineRule="auto"/>
        <w:ind w:firstLine="720"/>
        <w:rPr>
          <w:sz w:val="20"/>
          <w:szCs w:val="20"/>
        </w:rPr>
      </w:pPr>
      <w:r w:rsidRPr="00C643E7">
        <w:rPr>
          <w:i/>
          <w:iCs/>
          <w:sz w:val="20"/>
          <w:szCs w:val="20"/>
        </w:rPr>
        <w:t>ESA</w:t>
      </w:r>
      <w:r w:rsidRPr="00C643E7">
        <w:rPr>
          <w:sz w:val="20"/>
          <w:szCs w:val="20"/>
        </w:rPr>
        <w:t xml:space="preserve">, </w:t>
      </w:r>
      <w:r w:rsidRPr="00C643E7">
        <w:rPr>
          <w:i/>
          <w:iCs/>
          <w:sz w:val="20"/>
          <w:szCs w:val="20"/>
        </w:rPr>
        <w:t xml:space="preserve">supra </w:t>
      </w:r>
      <w:r w:rsidRPr="00C643E7">
        <w:rPr>
          <w:sz w:val="20"/>
          <w:szCs w:val="20"/>
        </w:rPr>
        <w:t>para 1, s 2(2).</w:t>
      </w:r>
    </w:p>
    <w:p w14:paraId="20283081" w14:textId="77777777" w:rsidR="003842EB" w:rsidRPr="00C643E7" w:rsidRDefault="003842EB" w:rsidP="003842EB">
      <w:pPr>
        <w:pStyle w:val="WSParaNum"/>
        <w:numPr>
          <w:ilvl w:val="0"/>
          <w:numId w:val="0"/>
        </w:numPr>
        <w:spacing w:before="0" w:after="0" w:line="240" w:lineRule="auto"/>
        <w:rPr>
          <w:sz w:val="20"/>
          <w:szCs w:val="20"/>
        </w:rPr>
      </w:pPr>
    </w:p>
    <w:p w14:paraId="5CCD5650" w14:textId="53C9A4C6" w:rsidR="00C643E7" w:rsidRPr="003132FF" w:rsidRDefault="00C643E7" w:rsidP="003842EB">
      <w:pPr>
        <w:pStyle w:val="WSParaNum"/>
        <w:spacing w:before="0" w:after="0"/>
      </w:pPr>
      <w:r w:rsidRPr="003132FF">
        <w:t>The Respondent disagree</w:t>
      </w:r>
      <w:r>
        <w:t>s</w:t>
      </w:r>
      <w:r w:rsidRPr="003132FF">
        <w:t xml:space="preserve"> with the Appellant</w:t>
      </w:r>
      <w:r>
        <w:t>’s</w:t>
      </w:r>
      <w:r w:rsidRPr="003132FF">
        <w:t xml:space="preserve"> </w:t>
      </w:r>
      <w:r>
        <w:t>submission</w:t>
      </w:r>
      <w:r w:rsidRPr="003132FF">
        <w:t xml:space="preserve"> that the </w:t>
      </w:r>
      <w:r>
        <w:t>ONCJ</w:t>
      </w:r>
      <w:r w:rsidRPr="003132FF">
        <w:t xml:space="preserve"> misapplied section 2(2) of the </w:t>
      </w:r>
      <w:r w:rsidRPr="003132FF">
        <w:rPr>
          <w:i/>
          <w:iCs/>
        </w:rPr>
        <w:t xml:space="preserve">ESA </w:t>
      </w:r>
      <w:r w:rsidRPr="003132FF">
        <w:t xml:space="preserve">by characterizing </w:t>
      </w:r>
      <w:r>
        <w:t>CHL’s property</w:t>
      </w:r>
      <w:r w:rsidRPr="003132FF">
        <w:t xml:space="preserve"> as an area where the Blanding’s Turtles formerly occurred</w:t>
      </w:r>
      <w:r w:rsidRPr="003132FF">
        <w:rPr>
          <w:i/>
          <w:iCs/>
        </w:rPr>
        <w:t xml:space="preserve">. </w:t>
      </w:r>
      <w:r>
        <w:t>The Respondent submits that this characterization was not an error</w:t>
      </w:r>
      <w:r w:rsidR="00F8331D">
        <w:t>. There</w:t>
      </w:r>
      <w:r w:rsidRPr="003132FF">
        <w:t xml:space="preserve"> was </w:t>
      </w:r>
      <w:r>
        <w:t>available evidence, such as the Wallace Road Report,</w:t>
      </w:r>
      <w:r w:rsidRPr="003132FF">
        <w:t xml:space="preserve"> to reasonably infer that there were no Blanding’s Turtles in the area at the time of the offence</w:t>
      </w:r>
      <w:r w:rsidR="00F8331D">
        <w:t xml:space="preserve">. Furthermore, the evidence that the Crown adduced at trial was insufficient to </w:t>
      </w:r>
      <w:r w:rsidR="00F8331D" w:rsidRPr="00F8331D">
        <w:rPr>
          <w:i/>
          <w:iCs/>
        </w:rPr>
        <w:t>prove</w:t>
      </w:r>
      <w:r w:rsidR="00F8331D">
        <w:t xml:space="preserve"> Blanding’s Turtles were in </w:t>
      </w:r>
      <w:r w:rsidR="00F50655">
        <w:t xml:space="preserve">the area in </w:t>
      </w:r>
      <w:r w:rsidR="00F8331D">
        <w:t xml:space="preserve">2018. </w:t>
      </w:r>
      <w:r w:rsidRPr="003132FF">
        <w:t xml:space="preserve">Therefore, the </w:t>
      </w:r>
      <w:r>
        <w:t>ONCJ</w:t>
      </w:r>
      <w:r w:rsidRPr="003132FF">
        <w:t xml:space="preserve"> correctly </w:t>
      </w:r>
      <w:r>
        <w:t xml:space="preserve">applied section 2(2) and </w:t>
      </w:r>
      <w:r w:rsidRPr="003132FF">
        <w:t>excluded the Site as habitat</w:t>
      </w:r>
      <w:r>
        <w:t>.</w:t>
      </w:r>
    </w:p>
    <w:p w14:paraId="4C752011" w14:textId="7E88022B" w:rsidR="00C643E7" w:rsidRPr="00C643E7" w:rsidRDefault="00C643E7" w:rsidP="00C643E7">
      <w:pPr>
        <w:pStyle w:val="WSParaNum"/>
        <w:numPr>
          <w:ilvl w:val="0"/>
          <w:numId w:val="0"/>
        </w:numPr>
        <w:spacing w:before="0" w:after="0" w:line="240" w:lineRule="auto"/>
        <w:ind w:firstLine="720"/>
        <w:rPr>
          <w:sz w:val="20"/>
          <w:szCs w:val="20"/>
        </w:rPr>
      </w:pPr>
      <w:r w:rsidRPr="00C643E7">
        <w:rPr>
          <w:sz w:val="20"/>
          <w:szCs w:val="20"/>
        </w:rPr>
        <w:t>Willms &amp; Shier Moot Team 2026-01</w:t>
      </w:r>
      <w:r w:rsidR="00BA1664">
        <w:rPr>
          <w:sz w:val="20"/>
          <w:szCs w:val="20"/>
        </w:rPr>
        <w:t xml:space="preserve"> </w:t>
      </w:r>
      <w:r w:rsidRPr="00C643E7">
        <w:rPr>
          <w:sz w:val="20"/>
          <w:szCs w:val="20"/>
        </w:rPr>
        <w:t>Appellant Factum at para 35 [Appellant Factum].</w:t>
      </w:r>
    </w:p>
    <w:p w14:paraId="0C6CB664" w14:textId="03F4F5FB" w:rsidR="006D72C8" w:rsidRPr="006D72C8" w:rsidRDefault="00C643E7" w:rsidP="003842EB">
      <w:pPr>
        <w:pStyle w:val="WSParaNum"/>
        <w:numPr>
          <w:ilvl w:val="0"/>
          <w:numId w:val="0"/>
        </w:numPr>
        <w:spacing w:before="0" w:after="0" w:line="240" w:lineRule="auto"/>
        <w:ind w:firstLine="720"/>
        <w:rPr>
          <w:sz w:val="20"/>
          <w:szCs w:val="20"/>
        </w:rPr>
      </w:pPr>
      <w:r w:rsidRPr="00120A36">
        <w:rPr>
          <w:i/>
          <w:iCs/>
          <w:sz w:val="20"/>
          <w:szCs w:val="20"/>
        </w:rPr>
        <w:t>ONCJ Reasons</w:t>
      </w:r>
      <w:r w:rsidRPr="00C643E7">
        <w:rPr>
          <w:sz w:val="20"/>
          <w:szCs w:val="20"/>
        </w:rPr>
        <w:t xml:space="preserve">, </w:t>
      </w:r>
      <w:r w:rsidRPr="00BA1664">
        <w:rPr>
          <w:i/>
          <w:iCs/>
          <w:sz w:val="20"/>
          <w:szCs w:val="20"/>
        </w:rPr>
        <w:t>supra</w:t>
      </w:r>
      <w:r w:rsidRPr="00C643E7">
        <w:rPr>
          <w:sz w:val="20"/>
          <w:szCs w:val="20"/>
        </w:rPr>
        <w:t xml:space="preserve"> para 8 at 8.  </w:t>
      </w:r>
    </w:p>
    <w:p w14:paraId="7F970BD2" w14:textId="6AF71472" w:rsidR="006F0F0C" w:rsidRPr="00562AC6" w:rsidRDefault="006F0F0C" w:rsidP="003842EB">
      <w:pPr>
        <w:pStyle w:val="Heading3"/>
      </w:pPr>
      <w:bookmarkStart w:id="16" w:name="_Toc220051340"/>
      <w:r w:rsidRPr="00562AC6">
        <w:t xml:space="preserve">Less Weight Should be Attributed to the Evidence of Sightings Before and After the Time of the </w:t>
      </w:r>
      <w:r w:rsidR="003842EB">
        <w:t>Offence</w:t>
      </w:r>
      <w:bookmarkEnd w:id="16"/>
    </w:p>
    <w:p w14:paraId="05291D3E" w14:textId="79AD65F8" w:rsidR="006F0F0C" w:rsidRDefault="003842EB" w:rsidP="003842EB">
      <w:pPr>
        <w:pStyle w:val="WSParaNum"/>
        <w:numPr>
          <w:ilvl w:val="0"/>
          <w:numId w:val="0"/>
        </w:numPr>
        <w:spacing w:before="0" w:after="0"/>
      </w:pPr>
      <w:r>
        <w:t>27</w:t>
      </w:r>
      <w:r>
        <w:tab/>
      </w:r>
      <w:r w:rsidR="006F0F0C">
        <w:t>The Supreme Court of Canada has held that an appellate court may overturn the discretionary decisions of a trial judge, such as decisions regarding the weight given to evidence at trial, if the</w:t>
      </w:r>
      <w:r w:rsidR="006F0F0C" w:rsidRPr="00A015A4">
        <w:t xml:space="preserve"> </w:t>
      </w:r>
      <w:r w:rsidR="006F0F0C">
        <w:t>“</w:t>
      </w:r>
      <w:r w:rsidR="006F0F0C" w:rsidRPr="00A015A4">
        <w:t>judge has clearly misdirected himself or herself on the facts or the law, proceeded arbitrarily, or if the decision is so clearly wrong as to amount to an injustice</w:t>
      </w:r>
      <w:r w:rsidR="006F0F0C">
        <w:t>”</w:t>
      </w:r>
      <w:r w:rsidR="0007124A">
        <w:t>.</w:t>
      </w:r>
    </w:p>
    <w:p w14:paraId="155386DA" w14:textId="77777777" w:rsidR="006F0F0C" w:rsidRDefault="006F0F0C" w:rsidP="006B7401">
      <w:pPr>
        <w:pStyle w:val="WSParaNum"/>
        <w:numPr>
          <w:ilvl w:val="0"/>
          <w:numId w:val="0"/>
        </w:numPr>
        <w:spacing w:before="0" w:after="0" w:line="240" w:lineRule="auto"/>
        <w:ind w:firstLine="720"/>
        <w:rPr>
          <w:sz w:val="20"/>
          <w:szCs w:val="20"/>
        </w:rPr>
      </w:pPr>
      <w:r w:rsidRPr="007E5003">
        <w:rPr>
          <w:i/>
          <w:iCs/>
          <w:sz w:val="20"/>
          <w:szCs w:val="20"/>
        </w:rPr>
        <w:t>Canada (Attorney General) v Fontaine</w:t>
      </w:r>
      <w:r w:rsidRPr="00A015A4">
        <w:rPr>
          <w:sz w:val="20"/>
          <w:szCs w:val="20"/>
        </w:rPr>
        <w:t>, 2017 SCC 47</w:t>
      </w:r>
      <w:r>
        <w:rPr>
          <w:sz w:val="20"/>
          <w:szCs w:val="20"/>
        </w:rPr>
        <w:t xml:space="preserve"> at para 36 [</w:t>
      </w:r>
      <w:r>
        <w:rPr>
          <w:i/>
          <w:iCs/>
          <w:sz w:val="20"/>
          <w:szCs w:val="20"/>
        </w:rPr>
        <w:t>Fontaine</w:t>
      </w:r>
      <w:r>
        <w:rPr>
          <w:sz w:val="20"/>
          <w:szCs w:val="20"/>
        </w:rPr>
        <w:t>].</w:t>
      </w:r>
    </w:p>
    <w:p w14:paraId="6D0EAE6E" w14:textId="77777777" w:rsidR="003842EB" w:rsidRDefault="003842EB" w:rsidP="006B7401">
      <w:pPr>
        <w:pStyle w:val="WSParaNum"/>
        <w:numPr>
          <w:ilvl w:val="0"/>
          <w:numId w:val="0"/>
        </w:numPr>
        <w:spacing w:before="0" w:after="0" w:line="240" w:lineRule="auto"/>
        <w:ind w:firstLine="720"/>
        <w:rPr>
          <w:sz w:val="20"/>
          <w:szCs w:val="20"/>
        </w:rPr>
      </w:pPr>
    </w:p>
    <w:p w14:paraId="40691CEE" w14:textId="7B2BB623" w:rsidR="006F0F0C" w:rsidRDefault="003842EB" w:rsidP="003842EB">
      <w:pPr>
        <w:pStyle w:val="WSParaNum"/>
        <w:numPr>
          <w:ilvl w:val="0"/>
          <w:numId w:val="0"/>
        </w:numPr>
        <w:spacing w:before="0" w:after="0"/>
      </w:pPr>
      <w:r>
        <w:t>28</w:t>
      </w:r>
      <w:r>
        <w:tab/>
      </w:r>
      <w:r w:rsidR="00F8331D">
        <w:t>The</w:t>
      </w:r>
      <w:r w:rsidR="006F0F0C">
        <w:t xml:space="preserve"> Trial Justice failed to consider evidence supporting the reasonable inference that there were no Blanding’s Turtles living in the Circle Lake Area at the time of the offence</w:t>
      </w:r>
      <w:r w:rsidR="009307A9">
        <w:t xml:space="preserve"> in 2018</w:t>
      </w:r>
      <w:r w:rsidR="006F0F0C">
        <w:t>. This oversight shows that the Trial Justice “</w:t>
      </w:r>
      <w:r w:rsidR="006F0F0C" w:rsidRPr="007E5003">
        <w:t xml:space="preserve">has clearly misdirected himself or herself on the facts or the law, proceeded arbitrarily, or </w:t>
      </w:r>
      <w:r w:rsidR="006F0F0C">
        <w:t>[that]</w:t>
      </w:r>
      <w:r w:rsidR="006F0F0C" w:rsidRPr="007E5003">
        <w:t xml:space="preserve"> the decision is so clearly wrong as to amount to an injustice”.</w:t>
      </w:r>
      <w:r w:rsidR="006F0F0C">
        <w:t xml:space="preserve"> Therefore, the </w:t>
      </w:r>
      <w:r w:rsidR="001B4B84">
        <w:t>ONCJ</w:t>
      </w:r>
      <w:r w:rsidR="006F0F0C">
        <w:t xml:space="preserve"> did not err in overturning the Trial Justice’s discretionary weighing of the evidence at trial and attaching less weight to the sightings before and after the offence date. </w:t>
      </w:r>
    </w:p>
    <w:p w14:paraId="1B87B818" w14:textId="2538FAF9" w:rsidR="006F0F0C" w:rsidRDefault="006F0F0C" w:rsidP="006B7401">
      <w:pPr>
        <w:pStyle w:val="WSParaNum"/>
        <w:numPr>
          <w:ilvl w:val="0"/>
          <w:numId w:val="0"/>
        </w:numPr>
        <w:spacing w:before="0" w:after="0" w:line="240" w:lineRule="auto"/>
        <w:ind w:firstLine="720"/>
        <w:rPr>
          <w:sz w:val="20"/>
          <w:szCs w:val="20"/>
        </w:rPr>
      </w:pPr>
      <w:r w:rsidRPr="007E5003">
        <w:rPr>
          <w:i/>
          <w:iCs/>
          <w:sz w:val="20"/>
          <w:szCs w:val="20"/>
        </w:rPr>
        <w:t>Fontaine</w:t>
      </w:r>
      <w:r w:rsidR="00754AFB">
        <w:rPr>
          <w:sz w:val="20"/>
          <w:szCs w:val="20"/>
        </w:rPr>
        <w:t xml:space="preserve">, </w:t>
      </w:r>
      <w:r w:rsidR="00754AFB">
        <w:rPr>
          <w:i/>
          <w:iCs/>
          <w:sz w:val="20"/>
          <w:szCs w:val="20"/>
        </w:rPr>
        <w:t xml:space="preserve">supra </w:t>
      </w:r>
      <w:r w:rsidR="00754AFB">
        <w:rPr>
          <w:sz w:val="20"/>
          <w:szCs w:val="20"/>
        </w:rPr>
        <w:t xml:space="preserve">para </w:t>
      </w:r>
      <w:r w:rsidR="009307A9">
        <w:rPr>
          <w:sz w:val="20"/>
          <w:szCs w:val="20"/>
        </w:rPr>
        <w:t>2</w:t>
      </w:r>
      <w:r w:rsidR="007409E4">
        <w:rPr>
          <w:sz w:val="20"/>
          <w:szCs w:val="20"/>
        </w:rPr>
        <w:t>7</w:t>
      </w:r>
      <w:r w:rsidR="00754AFB">
        <w:rPr>
          <w:sz w:val="20"/>
          <w:szCs w:val="20"/>
        </w:rPr>
        <w:t xml:space="preserve"> </w:t>
      </w:r>
      <w:r w:rsidRPr="007E5003">
        <w:rPr>
          <w:sz w:val="20"/>
          <w:szCs w:val="20"/>
        </w:rPr>
        <w:t>at para 36.</w:t>
      </w:r>
    </w:p>
    <w:p w14:paraId="1C139523" w14:textId="77777777" w:rsidR="006B7401" w:rsidRDefault="006B7401" w:rsidP="006B7401">
      <w:pPr>
        <w:pStyle w:val="WSParaNum"/>
        <w:numPr>
          <w:ilvl w:val="0"/>
          <w:numId w:val="0"/>
        </w:numPr>
        <w:spacing w:before="0" w:after="0" w:line="240" w:lineRule="auto"/>
        <w:rPr>
          <w:sz w:val="20"/>
          <w:szCs w:val="20"/>
        </w:rPr>
      </w:pPr>
    </w:p>
    <w:p w14:paraId="40AE3E32" w14:textId="56F74D08" w:rsidR="006F0F0C" w:rsidRDefault="00FA64D1" w:rsidP="003842EB">
      <w:pPr>
        <w:pStyle w:val="WSParaNum"/>
        <w:numPr>
          <w:ilvl w:val="0"/>
          <w:numId w:val="18"/>
        </w:numPr>
        <w:spacing w:before="0" w:after="0"/>
      </w:pPr>
      <w:r>
        <w:lastRenderedPageBreak/>
        <w:t>The Respondent accepts that an</w:t>
      </w:r>
      <w:r w:rsidR="006F0F0C">
        <w:t xml:space="preserve"> expert opinion formed on the basis of hearsay evidence is admissible. Therefore, Mr. Snell’s expert opinion was admissible even though he partially relied on the reported sightings from before and after the offence date.</w:t>
      </w:r>
    </w:p>
    <w:p w14:paraId="7794D6F5" w14:textId="23FCDEBC" w:rsidR="006F0F0C" w:rsidRDefault="006F0F0C" w:rsidP="006B7401">
      <w:pPr>
        <w:pStyle w:val="WSParaNum"/>
        <w:numPr>
          <w:ilvl w:val="0"/>
          <w:numId w:val="0"/>
        </w:numPr>
        <w:spacing w:before="0" w:after="0" w:line="240" w:lineRule="auto"/>
        <w:ind w:firstLine="720"/>
        <w:rPr>
          <w:sz w:val="20"/>
          <w:szCs w:val="20"/>
        </w:rPr>
      </w:pPr>
      <w:r w:rsidRPr="00174633">
        <w:rPr>
          <w:i/>
          <w:iCs/>
          <w:sz w:val="20"/>
          <w:szCs w:val="20"/>
        </w:rPr>
        <w:t>R v Abbey</w:t>
      </w:r>
      <w:r w:rsidRPr="00174633">
        <w:rPr>
          <w:sz w:val="20"/>
          <w:szCs w:val="20"/>
        </w:rPr>
        <w:t xml:space="preserve">, </w:t>
      </w:r>
      <w:r w:rsidR="00FB2CE0" w:rsidRPr="00FB2CE0">
        <w:rPr>
          <w:sz w:val="20"/>
          <w:szCs w:val="20"/>
        </w:rPr>
        <w:t>1982 CanLII 25 (SCC)</w:t>
      </w:r>
      <w:r w:rsidR="00FB2CE0">
        <w:rPr>
          <w:sz w:val="20"/>
          <w:szCs w:val="20"/>
        </w:rPr>
        <w:t xml:space="preserve"> </w:t>
      </w:r>
      <w:r w:rsidRPr="00174633">
        <w:rPr>
          <w:sz w:val="20"/>
          <w:szCs w:val="20"/>
        </w:rPr>
        <w:t>at 42</w:t>
      </w:r>
      <w:r w:rsidR="00754AFB">
        <w:rPr>
          <w:sz w:val="20"/>
          <w:szCs w:val="20"/>
        </w:rPr>
        <w:t>–</w:t>
      </w:r>
      <w:r w:rsidRPr="00174633">
        <w:rPr>
          <w:sz w:val="20"/>
          <w:szCs w:val="20"/>
        </w:rPr>
        <w:t>43</w:t>
      </w:r>
      <w:r>
        <w:rPr>
          <w:sz w:val="20"/>
          <w:szCs w:val="20"/>
        </w:rPr>
        <w:t>.</w:t>
      </w:r>
    </w:p>
    <w:p w14:paraId="4B81B6F0" w14:textId="719DC8EA" w:rsidR="006F0F0C" w:rsidRDefault="006F0F0C" w:rsidP="006B7401">
      <w:pPr>
        <w:pStyle w:val="WSParaNum"/>
        <w:numPr>
          <w:ilvl w:val="0"/>
          <w:numId w:val="0"/>
        </w:numPr>
        <w:spacing w:before="0" w:after="0" w:line="240" w:lineRule="auto"/>
        <w:ind w:left="720"/>
        <w:rPr>
          <w:sz w:val="20"/>
          <w:szCs w:val="20"/>
        </w:rPr>
      </w:pPr>
      <w:r w:rsidRPr="00174633">
        <w:rPr>
          <w:i/>
          <w:iCs/>
          <w:sz w:val="20"/>
          <w:szCs w:val="20"/>
        </w:rPr>
        <w:t>Ontario (Attorney General) v. 855 Darby Road, Welland (In Rem)</w:t>
      </w:r>
      <w:r w:rsidRPr="00174633">
        <w:rPr>
          <w:sz w:val="20"/>
          <w:szCs w:val="20"/>
        </w:rPr>
        <w:t>, 2019 ONCA 31</w:t>
      </w:r>
      <w:r>
        <w:rPr>
          <w:sz w:val="20"/>
          <w:szCs w:val="20"/>
        </w:rPr>
        <w:t xml:space="preserve"> </w:t>
      </w:r>
      <w:r w:rsidRPr="00174633">
        <w:rPr>
          <w:sz w:val="20"/>
          <w:szCs w:val="20"/>
        </w:rPr>
        <w:t>at para</w:t>
      </w:r>
      <w:r w:rsidR="00754AFB">
        <w:rPr>
          <w:sz w:val="20"/>
          <w:szCs w:val="20"/>
        </w:rPr>
        <w:t xml:space="preserve"> </w:t>
      </w:r>
      <w:r w:rsidRPr="00174633">
        <w:rPr>
          <w:sz w:val="20"/>
          <w:szCs w:val="20"/>
        </w:rPr>
        <w:t>36</w:t>
      </w:r>
      <w:r>
        <w:rPr>
          <w:sz w:val="20"/>
          <w:szCs w:val="20"/>
        </w:rPr>
        <w:t xml:space="preserve"> [</w:t>
      </w:r>
      <w:r>
        <w:rPr>
          <w:i/>
          <w:iCs/>
          <w:sz w:val="20"/>
          <w:szCs w:val="20"/>
        </w:rPr>
        <w:t>Darby Road</w:t>
      </w:r>
      <w:r>
        <w:rPr>
          <w:sz w:val="20"/>
          <w:szCs w:val="20"/>
        </w:rPr>
        <w:t>]</w:t>
      </w:r>
      <w:r w:rsidRPr="00174633">
        <w:rPr>
          <w:sz w:val="20"/>
          <w:szCs w:val="20"/>
        </w:rPr>
        <w:t>.</w:t>
      </w:r>
    </w:p>
    <w:p w14:paraId="7E91DCA2" w14:textId="77777777" w:rsidR="006B7401" w:rsidRPr="006B7401" w:rsidRDefault="006B7401" w:rsidP="006B7401">
      <w:pPr>
        <w:pStyle w:val="WSParaNum"/>
        <w:numPr>
          <w:ilvl w:val="0"/>
          <w:numId w:val="0"/>
        </w:numPr>
        <w:spacing w:before="0" w:after="0" w:line="240" w:lineRule="auto"/>
        <w:ind w:left="720"/>
        <w:rPr>
          <w:sz w:val="20"/>
          <w:szCs w:val="20"/>
        </w:rPr>
      </w:pPr>
    </w:p>
    <w:p w14:paraId="4A53E68F" w14:textId="2E64E77D" w:rsidR="006F0F0C" w:rsidRDefault="006F0F0C" w:rsidP="006F0F0C">
      <w:pPr>
        <w:pStyle w:val="WSParaNum"/>
        <w:numPr>
          <w:ilvl w:val="0"/>
          <w:numId w:val="8"/>
        </w:numPr>
        <w:spacing w:before="0" w:after="0"/>
      </w:pPr>
      <w:r>
        <w:t>Notwithstanding the admissibility of Mr. Snell’s expert opinion, the hearsay basis of that opinion affects the weight that may be attributed to it. In general, “</w:t>
      </w:r>
      <w:r w:rsidRPr="000217BE">
        <w:t>the more the expert relies on facts not proved in evidence the less weight the jury may attribute to the opinion</w:t>
      </w:r>
      <w:r w:rsidR="009B0A26">
        <w:t>”.</w:t>
      </w:r>
      <w:r>
        <w:t xml:space="preserve"> Additionally, “[b]efore any weight can be given to an expert’s opinion, the facts upon which the opinion is based must be found to exist”. </w:t>
      </w:r>
    </w:p>
    <w:p w14:paraId="0FC0DFD5" w14:textId="0F19EB2D" w:rsidR="006F0F0C" w:rsidRDefault="006F0F0C" w:rsidP="006B7401">
      <w:pPr>
        <w:pStyle w:val="WSParaNum"/>
        <w:numPr>
          <w:ilvl w:val="0"/>
          <w:numId w:val="0"/>
        </w:numPr>
        <w:spacing w:before="0" w:after="0" w:line="240" w:lineRule="auto"/>
        <w:ind w:left="720"/>
        <w:rPr>
          <w:sz w:val="20"/>
          <w:szCs w:val="20"/>
        </w:rPr>
      </w:pPr>
      <w:r w:rsidRPr="000217BE">
        <w:rPr>
          <w:i/>
          <w:iCs/>
          <w:sz w:val="20"/>
          <w:szCs w:val="20"/>
        </w:rPr>
        <w:t>R v Lavallée</w:t>
      </w:r>
      <w:r w:rsidRPr="000217BE">
        <w:rPr>
          <w:sz w:val="20"/>
          <w:szCs w:val="20"/>
        </w:rPr>
        <w:t xml:space="preserve">, </w:t>
      </w:r>
      <w:r w:rsidR="00FB2CE0" w:rsidRPr="00FB2CE0">
        <w:rPr>
          <w:sz w:val="20"/>
          <w:szCs w:val="20"/>
        </w:rPr>
        <w:t>1990 CanLII 95 (SCC)</w:t>
      </w:r>
      <w:r w:rsidR="00FB2CE0">
        <w:rPr>
          <w:sz w:val="20"/>
          <w:szCs w:val="20"/>
        </w:rPr>
        <w:t xml:space="preserve"> </w:t>
      </w:r>
      <w:r>
        <w:rPr>
          <w:sz w:val="20"/>
          <w:szCs w:val="20"/>
        </w:rPr>
        <w:t>at 894</w:t>
      </w:r>
      <w:r w:rsidR="00754AFB">
        <w:rPr>
          <w:sz w:val="20"/>
          <w:szCs w:val="20"/>
        </w:rPr>
        <w:t>,</w:t>
      </w:r>
      <w:r>
        <w:rPr>
          <w:sz w:val="20"/>
          <w:szCs w:val="20"/>
        </w:rPr>
        <w:t xml:space="preserve"> 897.</w:t>
      </w:r>
    </w:p>
    <w:p w14:paraId="3EA3F7D3" w14:textId="6AF6670E" w:rsidR="006F0F0C" w:rsidRDefault="006F0F0C" w:rsidP="006B7401">
      <w:pPr>
        <w:pStyle w:val="WSParaNum"/>
        <w:numPr>
          <w:ilvl w:val="0"/>
          <w:numId w:val="0"/>
        </w:numPr>
        <w:spacing w:before="0" w:after="0" w:line="240" w:lineRule="auto"/>
        <w:ind w:left="720"/>
        <w:rPr>
          <w:sz w:val="20"/>
          <w:szCs w:val="20"/>
        </w:rPr>
      </w:pPr>
      <w:r w:rsidRPr="000217BE">
        <w:rPr>
          <w:i/>
          <w:iCs/>
          <w:sz w:val="20"/>
          <w:szCs w:val="20"/>
        </w:rPr>
        <w:t>Darby Road</w:t>
      </w:r>
      <w:r w:rsidR="00754AFB">
        <w:rPr>
          <w:sz w:val="20"/>
          <w:szCs w:val="20"/>
        </w:rPr>
        <w:t xml:space="preserve">, </w:t>
      </w:r>
      <w:r w:rsidR="00754AFB">
        <w:rPr>
          <w:i/>
          <w:iCs/>
          <w:sz w:val="20"/>
          <w:szCs w:val="20"/>
        </w:rPr>
        <w:t xml:space="preserve">supra </w:t>
      </w:r>
      <w:r w:rsidR="00754AFB">
        <w:rPr>
          <w:sz w:val="20"/>
          <w:szCs w:val="20"/>
        </w:rPr>
        <w:t xml:space="preserve">para </w:t>
      </w:r>
      <w:r w:rsidR="007409E4">
        <w:rPr>
          <w:sz w:val="20"/>
          <w:szCs w:val="20"/>
        </w:rPr>
        <w:t>29</w:t>
      </w:r>
      <w:r w:rsidR="00754AFB">
        <w:rPr>
          <w:sz w:val="20"/>
          <w:szCs w:val="20"/>
        </w:rPr>
        <w:t xml:space="preserve"> </w:t>
      </w:r>
      <w:r w:rsidRPr="000217BE">
        <w:rPr>
          <w:sz w:val="20"/>
          <w:szCs w:val="20"/>
        </w:rPr>
        <w:t>at para. 36.</w:t>
      </w:r>
    </w:p>
    <w:p w14:paraId="06A219ED" w14:textId="77777777" w:rsidR="006B7401" w:rsidRPr="00471CA8" w:rsidRDefault="006B7401" w:rsidP="006B7401">
      <w:pPr>
        <w:pStyle w:val="WSParaNum"/>
        <w:numPr>
          <w:ilvl w:val="0"/>
          <w:numId w:val="0"/>
        </w:numPr>
        <w:spacing w:before="0" w:after="0" w:line="240" w:lineRule="auto"/>
        <w:rPr>
          <w:sz w:val="20"/>
          <w:szCs w:val="20"/>
        </w:rPr>
      </w:pPr>
    </w:p>
    <w:p w14:paraId="336733CB" w14:textId="33D5D68D" w:rsidR="006F0F0C" w:rsidRDefault="006F0F0C" w:rsidP="006F0F0C">
      <w:pPr>
        <w:pStyle w:val="WSParaNum"/>
        <w:numPr>
          <w:ilvl w:val="0"/>
          <w:numId w:val="8"/>
        </w:numPr>
        <w:spacing w:before="0" w:after="0"/>
      </w:pPr>
      <w:r>
        <w:t>Th</w:t>
      </w:r>
      <w:r w:rsidRPr="00464BAF">
        <w:t xml:space="preserve">e </w:t>
      </w:r>
      <w:r w:rsidR="001B4B84">
        <w:t>ONCJ</w:t>
      </w:r>
      <w:r w:rsidRPr="00464BAF">
        <w:t xml:space="preserve"> correctly determined that</w:t>
      </w:r>
      <w:r>
        <w:t xml:space="preserve"> </w:t>
      </w:r>
      <w:r w:rsidRPr="00464BAF">
        <w:t xml:space="preserve">less weight ought to be attributed to </w:t>
      </w:r>
      <w:r>
        <w:t>Mr. Snell’s expert</w:t>
      </w:r>
      <w:r w:rsidRPr="00464BAF">
        <w:t xml:space="preserve"> opinion</w:t>
      </w:r>
      <w:r>
        <w:t xml:space="preserve"> given that </w:t>
      </w:r>
      <w:r w:rsidR="007809E5">
        <w:t>his</w:t>
      </w:r>
      <w:r>
        <w:t xml:space="preserve"> opinion was formed partially on the basis of</w:t>
      </w:r>
      <w:r w:rsidR="007809E5">
        <w:t xml:space="preserve"> hearsay evidence</w:t>
      </w:r>
      <w:r w:rsidR="004C6803">
        <w:t>,</w:t>
      </w:r>
      <w:r w:rsidR="007809E5">
        <w:t xml:space="preserve"> i.e.,</w:t>
      </w:r>
      <w:r>
        <w:t xml:space="preserve"> the reported sightings of Blanding’s </w:t>
      </w:r>
      <w:r w:rsidR="007809E5">
        <w:t>T</w:t>
      </w:r>
      <w:r>
        <w:t xml:space="preserve">urtles in the area before and after the offence date. Aside from Mr. Snell’s </w:t>
      </w:r>
      <w:r w:rsidR="00F50655">
        <w:t>testimony</w:t>
      </w:r>
      <w:r>
        <w:t xml:space="preserve">, there was no admissible evidence adduced at trial to confirm </w:t>
      </w:r>
      <w:r w:rsidR="00F50655">
        <w:t xml:space="preserve">his opinion </w:t>
      </w:r>
      <w:r>
        <w:t xml:space="preserve">that there were Blanding’s </w:t>
      </w:r>
      <w:r w:rsidR="007809E5">
        <w:t>T</w:t>
      </w:r>
      <w:r>
        <w:t xml:space="preserve">urtles in the area in 2018. On this basis, the </w:t>
      </w:r>
      <w:r w:rsidR="001B4B84">
        <w:t>ONCJ</w:t>
      </w:r>
      <w:r>
        <w:t xml:space="preserve"> correctly determined that the conviction was “unsupported by the evidence” pursuant to section 120(1)(a)(i) of the </w:t>
      </w:r>
      <w:r w:rsidRPr="00471CA8">
        <w:rPr>
          <w:i/>
          <w:iCs/>
        </w:rPr>
        <w:t>POA</w:t>
      </w:r>
      <w:r>
        <w:t>.</w:t>
      </w:r>
    </w:p>
    <w:p w14:paraId="193AB9EE" w14:textId="552A3987" w:rsidR="006F0F0C" w:rsidRPr="003132FF" w:rsidRDefault="00754AFB" w:rsidP="006F0F0C">
      <w:pPr>
        <w:pStyle w:val="WSParaNum"/>
        <w:numPr>
          <w:ilvl w:val="0"/>
          <w:numId w:val="0"/>
        </w:numPr>
        <w:spacing w:before="0" w:after="0" w:line="240" w:lineRule="auto"/>
        <w:ind w:left="720"/>
        <w:rPr>
          <w:sz w:val="20"/>
          <w:szCs w:val="20"/>
        </w:rPr>
      </w:pPr>
      <w:r>
        <w:rPr>
          <w:i/>
          <w:iCs/>
          <w:sz w:val="20"/>
          <w:szCs w:val="20"/>
        </w:rPr>
        <w:t>ONCA Reasons</w:t>
      </w:r>
      <w:r w:rsidR="00A212E0">
        <w:rPr>
          <w:sz w:val="20"/>
          <w:szCs w:val="20"/>
        </w:rPr>
        <w:t xml:space="preserve">, </w:t>
      </w:r>
      <w:r w:rsidR="00A212E0">
        <w:rPr>
          <w:i/>
          <w:iCs/>
          <w:sz w:val="20"/>
          <w:szCs w:val="20"/>
        </w:rPr>
        <w:t xml:space="preserve">supra </w:t>
      </w:r>
      <w:r w:rsidR="00A212E0">
        <w:rPr>
          <w:sz w:val="20"/>
          <w:szCs w:val="20"/>
        </w:rPr>
        <w:t xml:space="preserve">para </w:t>
      </w:r>
      <w:r w:rsidR="007809E5">
        <w:rPr>
          <w:sz w:val="20"/>
          <w:szCs w:val="20"/>
        </w:rPr>
        <w:t>13</w:t>
      </w:r>
      <w:r w:rsidR="00A212E0">
        <w:rPr>
          <w:sz w:val="20"/>
          <w:szCs w:val="20"/>
        </w:rPr>
        <w:t xml:space="preserve"> at para 6</w:t>
      </w:r>
      <w:r w:rsidR="006F0F0C">
        <w:rPr>
          <w:sz w:val="20"/>
          <w:szCs w:val="20"/>
        </w:rPr>
        <w:t>.</w:t>
      </w:r>
    </w:p>
    <w:p w14:paraId="7CFBA85D" w14:textId="3DB18AB5" w:rsidR="006F0F0C" w:rsidRDefault="006F0F0C" w:rsidP="006F0F0C">
      <w:pPr>
        <w:pStyle w:val="WSParaNum"/>
        <w:numPr>
          <w:ilvl w:val="0"/>
          <w:numId w:val="0"/>
        </w:numPr>
        <w:spacing w:before="0" w:after="0" w:line="240" w:lineRule="auto"/>
        <w:ind w:left="720"/>
        <w:rPr>
          <w:sz w:val="20"/>
          <w:szCs w:val="20"/>
        </w:rPr>
      </w:pPr>
      <w:r w:rsidRPr="00464BAF">
        <w:rPr>
          <w:i/>
          <w:iCs/>
          <w:sz w:val="20"/>
          <w:szCs w:val="20"/>
        </w:rPr>
        <w:t>POA</w:t>
      </w:r>
      <w:r>
        <w:rPr>
          <w:sz w:val="20"/>
          <w:szCs w:val="20"/>
        </w:rPr>
        <w:t xml:space="preserve">, </w:t>
      </w:r>
      <w:r w:rsidR="007809E5">
        <w:rPr>
          <w:i/>
          <w:iCs/>
          <w:sz w:val="20"/>
          <w:szCs w:val="20"/>
        </w:rPr>
        <w:t xml:space="preserve">supra </w:t>
      </w:r>
      <w:r w:rsidR="007809E5">
        <w:rPr>
          <w:sz w:val="20"/>
          <w:szCs w:val="20"/>
        </w:rPr>
        <w:t>para 2</w:t>
      </w:r>
      <w:r w:rsidR="00120A36">
        <w:rPr>
          <w:sz w:val="20"/>
          <w:szCs w:val="20"/>
        </w:rPr>
        <w:t>0</w:t>
      </w:r>
      <w:r w:rsidR="007809E5">
        <w:rPr>
          <w:sz w:val="20"/>
          <w:szCs w:val="20"/>
        </w:rPr>
        <w:t xml:space="preserve">, </w:t>
      </w:r>
      <w:r w:rsidRPr="00464BAF">
        <w:rPr>
          <w:sz w:val="20"/>
          <w:szCs w:val="20"/>
        </w:rPr>
        <w:t>s 120(1)(a)(i).</w:t>
      </w:r>
    </w:p>
    <w:p w14:paraId="5D76EDDF" w14:textId="77777777" w:rsidR="006F0F0C" w:rsidRDefault="006F0F0C" w:rsidP="006F0F0C">
      <w:pPr>
        <w:pStyle w:val="WSParaNum"/>
        <w:numPr>
          <w:ilvl w:val="0"/>
          <w:numId w:val="0"/>
        </w:numPr>
        <w:spacing w:before="0" w:after="0" w:line="240" w:lineRule="auto"/>
        <w:rPr>
          <w:sz w:val="20"/>
          <w:szCs w:val="20"/>
        </w:rPr>
      </w:pPr>
    </w:p>
    <w:p w14:paraId="3690680B" w14:textId="7C28F67B" w:rsidR="006F0F0C" w:rsidRDefault="006F0F0C" w:rsidP="006F0F0C">
      <w:pPr>
        <w:pStyle w:val="WSParaNum"/>
        <w:numPr>
          <w:ilvl w:val="0"/>
          <w:numId w:val="8"/>
        </w:numPr>
        <w:spacing w:before="0" w:after="0"/>
      </w:pPr>
      <w:r w:rsidRPr="005648CE">
        <w:t xml:space="preserve">The </w:t>
      </w:r>
      <w:r w:rsidR="001B4B84">
        <w:t>ONCJ</w:t>
      </w:r>
      <w:r w:rsidRPr="005648CE">
        <w:t xml:space="preserve">’s determination </w:t>
      </w:r>
      <w:r>
        <w:t xml:space="preserve">also aligns with the evidentiary approach of courts in other provinces when deciding whether to convict for environmental offences. In </w:t>
      </w:r>
      <w:r w:rsidRPr="00471CA8">
        <w:rPr>
          <w:i/>
          <w:iCs/>
        </w:rPr>
        <w:t xml:space="preserve">R v Douglas et </w:t>
      </w:r>
      <w:r w:rsidRPr="00FA64D1">
        <w:rPr>
          <w:i/>
          <w:iCs/>
        </w:rPr>
        <w:t>al</w:t>
      </w:r>
      <w:r>
        <w:t xml:space="preserve">, the Provincial Court of British Columbia (the “BCPC”) concluded that guilt was not proven beyond a reasonable doubt for the offence of grubbing work that altered, disrupted, or destroyed fish habitat contrary to section 35(1) of the </w:t>
      </w:r>
      <w:r w:rsidRPr="00471CA8">
        <w:rPr>
          <w:i/>
          <w:iCs/>
        </w:rPr>
        <w:t>Fisheries Act</w:t>
      </w:r>
      <w:r>
        <w:t xml:space="preserve">, </w:t>
      </w:r>
      <w:r w:rsidRPr="005648CE">
        <w:t>R.S.C., 1985, c. F-14</w:t>
      </w:r>
      <w:r>
        <w:t xml:space="preserve">. In that case, the </w:t>
      </w:r>
      <w:r w:rsidRPr="00062108">
        <w:t xml:space="preserve">expert witnesses </w:t>
      </w:r>
      <w:r>
        <w:t>based their</w:t>
      </w:r>
      <w:r w:rsidRPr="00062108">
        <w:t xml:space="preserve"> opinions on photographic evidence, their experiences in other locations, and on the reading of applicable literature. </w:t>
      </w:r>
      <w:r>
        <w:t>The BCPC was not satisfied that those testimonies proved that fish habitat had actually been harmed because there was no meaningful, direct evidence to confirm their testimonies.</w:t>
      </w:r>
    </w:p>
    <w:p w14:paraId="1F86702C" w14:textId="3CDFD8F9" w:rsidR="006F0F0C" w:rsidRDefault="006F0F0C" w:rsidP="006B7401">
      <w:pPr>
        <w:pStyle w:val="WSParaNum"/>
        <w:numPr>
          <w:ilvl w:val="0"/>
          <w:numId w:val="0"/>
        </w:numPr>
        <w:spacing w:before="0" w:after="0" w:line="240" w:lineRule="auto"/>
        <w:ind w:firstLine="720"/>
        <w:rPr>
          <w:sz w:val="20"/>
          <w:szCs w:val="20"/>
        </w:rPr>
      </w:pPr>
      <w:r w:rsidRPr="00DC274D">
        <w:rPr>
          <w:i/>
          <w:iCs/>
          <w:sz w:val="20"/>
          <w:szCs w:val="20"/>
        </w:rPr>
        <w:t>R v Douglas et al</w:t>
      </w:r>
      <w:r w:rsidRPr="00DC274D">
        <w:rPr>
          <w:sz w:val="20"/>
          <w:szCs w:val="20"/>
        </w:rPr>
        <w:t>, 2004 BCPC 279</w:t>
      </w:r>
      <w:r>
        <w:rPr>
          <w:sz w:val="20"/>
          <w:szCs w:val="20"/>
        </w:rPr>
        <w:t xml:space="preserve"> at paras 205</w:t>
      </w:r>
      <w:r w:rsidR="007809E5">
        <w:rPr>
          <w:sz w:val="20"/>
          <w:szCs w:val="20"/>
        </w:rPr>
        <w:t>–</w:t>
      </w:r>
      <w:r>
        <w:rPr>
          <w:sz w:val="20"/>
          <w:szCs w:val="20"/>
        </w:rPr>
        <w:t>6</w:t>
      </w:r>
      <w:r w:rsidR="00754AFB">
        <w:rPr>
          <w:sz w:val="20"/>
          <w:szCs w:val="20"/>
        </w:rPr>
        <w:t xml:space="preserve"> [</w:t>
      </w:r>
      <w:r w:rsidR="00754AFB">
        <w:rPr>
          <w:i/>
          <w:iCs/>
          <w:sz w:val="20"/>
          <w:szCs w:val="20"/>
        </w:rPr>
        <w:t>Douglas</w:t>
      </w:r>
      <w:r w:rsidR="00754AFB">
        <w:rPr>
          <w:sz w:val="20"/>
          <w:szCs w:val="20"/>
        </w:rPr>
        <w:t>]</w:t>
      </w:r>
      <w:r>
        <w:rPr>
          <w:sz w:val="20"/>
          <w:szCs w:val="20"/>
        </w:rPr>
        <w:t>.</w:t>
      </w:r>
    </w:p>
    <w:p w14:paraId="327CA7A8" w14:textId="77777777" w:rsidR="006B7401" w:rsidRPr="00062108" w:rsidRDefault="006B7401" w:rsidP="006B7401">
      <w:pPr>
        <w:pStyle w:val="WSParaNum"/>
        <w:numPr>
          <w:ilvl w:val="0"/>
          <w:numId w:val="0"/>
        </w:numPr>
        <w:spacing w:before="0" w:after="0" w:line="240" w:lineRule="auto"/>
        <w:rPr>
          <w:sz w:val="20"/>
          <w:szCs w:val="20"/>
        </w:rPr>
      </w:pPr>
    </w:p>
    <w:p w14:paraId="0389FC70" w14:textId="02881999" w:rsidR="006F0F0C" w:rsidRDefault="006F0F0C" w:rsidP="009307A9">
      <w:pPr>
        <w:pStyle w:val="WSParaNum"/>
        <w:numPr>
          <w:ilvl w:val="0"/>
          <w:numId w:val="8"/>
        </w:numPr>
        <w:spacing w:before="0" w:after="0"/>
      </w:pPr>
      <w:r>
        <w:lastRenderedPageBreak/>
        <w:t xml:space="preserve">The </w:t>
      </w:r>
      <w:r w:rsidR="001B4B84">
        <w:t>ONCJ</w:t>
      </w:r>
      <w:r>
        <w:t xml:space="preserve">’s approach aligns with the BCPC’s approach because like the expert witnesses in </w:t>
      </w:r>
      <w:r w:rsidRPr="009307A9">
        <w:rPr>
          <w:i/>
          <w:iCs/>
        </w:rPr>
        <w:t>Douglas</w:t>
      </w:r>
      <w:r>
        <w:t xml:space="preserve">, Mr. Snell’s testimony was largely based on photographic evidence, experience at other locations, and scientific literature. Mr. Snell’s testimony was also not confirmed by any meaningful, direct evidence such as a survey </w:t>
      </w:r>
      <w:r w:rsidR="007809E5">
        <w:t>at the Site</w:t>
      </w:r>
      <w:r>
        <w:t xml:space="preserve">. Therefore, the </w:t>
      </w:r>
      <w:r w:rsidR="001B4B84">
        <w:t>ONCJ</w:t>
      </w:r>
      <w:r>
        <w:t xml:space="preserve"> was correct in concluding that the photographic evidence was insufficient to prove guilt beyond a reasonable doubt, especially in light of the </w:t>
      </w:r>
      <w:r w:rsidR="007809E5">
        <w:t xml:space="preserve">available </w:t>
      </w:r>
      <w:r>
        <w:t xml:space="preserve">site-specific evidence that gives rise to </w:t>
      </w:r>
      <w:r w:rsidR="007809E5">
        <w:t>the reasonable inference that there were no Blanding’s Turtles in the area in 2018</w:t>
      </w:r>
      <w:r>
        <w:t xml:space="preserve">. </w:t>
      </w:r>
    </w:p>
    <w:p w14:paraId="5FA60DDB" w14:textId="5BD8862E" w:rsidR="006F0F0C" w:rsidRDefault="006F0F0C" w:rsidP="006F0F0C">
      <w:pPr>
        <w:pStyle w:val="WSParaNum"/>
        <w:numPr>
          <w:ilvl w:val="0"/>
          <w:numId w:val="0"/>
        </w:numPr>
        <w:spacing w:before="0" w:after="0" w:line="240" w:lineRule="auto"/>
        <w:ind w:left="720"/>
        <w:rPr>
          <w:sz w:val="20"/>
          <w:szCs w:val="20"/>
        </w:rPr>
      </w:pPr>
      <w:r>
        <w:rPr>
          <w:i/>
          <w:iCs/>
          <w:sz w:val="20"/>
          <w:szCs w:val="20"/>
        </w:rPr>
        <w:t>ONCA Reasons</w:t>
      </w:r>
      <w:r>
        <w:rPr>
          <w:sz w:val="20"/>
          <w:szCs w:val="20"/>
        </w:rPr>
        <w:t xml:space="preserve">, </w:t>
      </w:r>
      <w:r>
        <w:rPr>
          <w:i/>
          <w:iCs/>
          <w:sz w:val="20"/>
          <w:szCs w:val="20"/>
        </w:rPr>
        <w:t xml:space="preserve">supra </w:t>
      </w:r>
      <w:r>
        <w:rPr>
          <w:sz w:val="20"/>
          <w:szCs w:val="20"/>
        </w:rPr>
        <w:t xml:space="preserve">para </w:t>
      </w:r>
      <w:r w:rsidR="007809E5">
        <w:rPr>
          <w:sz w:val="20"/>
          <w:szCs w:val="20"/>
        </w:rPr>
        <w:t>13</w:t>
      </w:r>
      <w:r>
        <w:rPr>
          <w:sz w:val="20"/>
          <w:szCs w:val="20"/>
        </w:rPr>
        <w:t xml:space="preserve"> at para 6.</w:t>
      </w:r>
    </w:p>
    <w:p w14:paraId="006E7B1B" w14:textId="5245E553" w:rsidR="006F0F0C" w:rsidRPr="003132FF" w:rsidRDefault="001B4B84" w:rsidP="006F0F0C">
      <w:pPr>
        <w:pStyle w:val="WSParaNum"/>
        <w:numPr>
          <w:ilvl w:val="0"/>
          <w:numId w:val="0"/>
        </w:numPr>
        <w:spacing w:before="0" w:after="0" w:line="240" w:lineRule="auto"/>
        <w:ind w:left="720"/>
        <w:rPr>
          <w:sz w:val="20"/>
          <w:szCs w:val="20"/>
        </w:rPr>
      </w:pPr>
      <w:r>
        <w:rPr>
          <w:i/>
          <w:iCs/>
          <w:sz w:val="20"/>
          <w:szCs w:val="20"/>
        </w:rPr>
        <w:t>ONCJ</w:t>
      </w:r>
      <w:r w:rsidR="006F0F0C">
        <w:rPr>
          <w:i/>
          <w:iCs/>
          <w:sz w:val="20"/>
          <w:szCs w:val="20"/>
        </w:rPr>
        <w:t xml:space="preserve"> Reasons</w:t>
      </w:r>
      <w:r w:rsidR="006F0F0C">
        <w:rPr>
          <w:sz w:val="20"/>
          <w:szCs w:val="20"/>
        </w:rPr>
        <w:t xml:space="preserve">, </w:t>
      </w:r>
      <w:r w:rsidR="006F0F0C">
        <w:rPr>
          <w:i/>
          <w:iCs/>
          <w:sz w:val="20"/>
          <w:szCs w:val="20"/>
        </w:rPr>
        <w:t>supra</w:t>
      </w:r>
      <w:r w:rsidR="006F0F0C">
        <w:rPr>
          <w:sz w:val="20"/>
          <w:szCs w:val="20"/>
        </w:rPr>
        <w:t xml:space="preserve"> para </w:t>
      </w:r>
      <w:r w:rsidR="007809E5">
        <w:rPr>
          <w:sz w:val="20"/>
          <w:szCs w:val="20"/>
        </w:rPr>
        <w:t>8</w:t>
      </w:r>
      <w:r w:rsidR="006F0F0C">
        <w:rPr>
          <w:sz w:val="20"/>
          <w:szCs w:val="20"/>
        </w:rPr>
        <w:t xml:space="preserve"> at 12. </w:t>
      </w:r>
    </w:p>
    <w:p w14:paraId="32819163" w14:textId="170760AF" w:rsidR="00B544B6" w:rsidRDefault="006F0F0C" w:rsidP="00F97ECB">
      <w:pPr>
        <w:pStyle w:val="WSParaNum"/>
        <w:numPr>
          <w:ilvl w:val="0"/>
          <w:numId w:val="0"/>
        </w:numPr>
        <w:spacing w:before="0" w:after="0" w:line="240" w:lineRule="auto"/>
        <w:ind w:left="720"/>
        <w:rPr>
          <w:sz w:val="20"/>
          <w:szCs w:val="20"/>
        </w:rPr>
      </w:pPr>
      <w:r w:rsidRPr="00062108">
        <w:rPr>
          <w:i/>
          <w:iCs/>
          <w:sz w:val="20"/>
          <w:szCs w:val="20"/>
        </w:rPr>
        <w:t>Douglas</w:t>
      </w:r>
      <w:r>
        <w:rPr>
          <w:sz w:val="20"/>
          <w:szCs w:val="20"/>
        </w:rPr>
        <w:t xml:space="preserve">, </w:t>
      </w:r>
      <w:r>
        <w:rPr>
          <w:i/>
          <w:iCs/>
          <w:sz w:val="20"/>
          <w:szCs w:val="20"/>
        </w:rPr>
        <w:t xml:space="preserve">supra </w:t>
      </w:r>
      <w:r>
        <w:rPr>
          <w:sz w:val="20"/>
          <w:szCs w:val="20"/>
        </w:rPr>
        <w:t xml:space="preserve">para </w:t>
      </w:r>
      <w:r w:rsidR="007809E5">
        <w:rPr>
          <w:sz w:val="20"/>
          <w:szCs w:val="20"/>
        </w:rPr>
        <w:t>3</w:t>
      </w:r>
      <w:r w:rsidR="007409E4">
        <w:rPr>
          <w:sz w:val="20"/>
          <w:szCs w:val="20"/>
        </w:rPr>
        <w:t>2</w:t>
      </w:r>
      <w:r w:rsidRPr="00DC274D">
        <w:rPr>
          <w:sz w:val="20"/>
          <w:szCs w:val="20"/>
        </w:rPr>
        <w:t>.</w:t>
      </w:r>
    </w:p>
    <w:p w14:paraId="554436B8" w14:textId="081CC6A5" w:rsidR="0034630D" w:rsidRPr="00562AC6" w:rsidRDefault="0034630D" w:rsidP="00562AC6">
      <w:pPr>
        <w:pStyle w:val="Heading2"/>
      </w:pPr>
      <w:bookmarkStart w:id="17" w:name="_Toc220051341"/>
      <w:r w:rsidRPr="00562AC6">
        <w:t xml:space="preserve">Issue 2: The Trial Justice Erred in Relying on the General Habitat Description </w:t>
      </w:r>
      <w:r w:rsidR="007809E5">
        <w:t>for the</w:t>
      </w:r>
      <w:r w:rsidRPr="00562AC6">
        <w:t xml:space="preserve"> Blanding’s Turtle Because it is not a Legal Instrument or Legal Document</w:t>
      </w:r>
      <w:bookmarkEnd w:id="17"/>
      <w:r w:rsidRPr="00562AC6">
        <w:t xml:space="preserve"> </w:t>
      </w:r>
    </w:p>
    <w:p w14:paraId="34F40A76" w14:textId="39F69E5B" w:rsidR="0034630D" w:rsidRDefault="0034630D" w:rsidP="0034630D">
      <w:pPr>
        <w:pStyle w:val="WSParaNum"/>
        <w:numPr>
          <w:ilvl w:val="0"/>
          <w:numId w:val="8"/>
        </w:numPr>
        <w:spacing w:before="0" w:after="0"/>
      </w:pPr>
      <w:r>
        <w:t>The Respondent submit</w:t>
      </w:r>
      <w:r w:rsidR="008106A7">
        <w:t>s</w:t>
      </w:r>
      <w:r>
        <w:t xml:space="preserve"> that the Trial Justice erred by placing too much weight on the General Habitat Description (</w:t>
      </w:r>
      <w:r w:rsidR="007809E5">
        <w:t xml:space="preserve">the </w:t>
      </w:r>
      <w:r>
        <w:t>“GHD”). The Appellant correctly state</w:t>
      </w:r>
      <w:r w:rsidR="007809E5">
        <w:t>s</w:t>
      </w:r>
      <w:r>
        <w:t xml:space="preserve"> that the GHD was properly admitted into trial. However, they misinterpreted the </w:t>
      </w:r>
      <w:r w:rsidR="001B4B84">
        <w:t>ONCJ</w:t>
      </w:r>
      <w:r>
        <w:t xml:space="preserve">’s conclusion that the Trial Justice “erred by placing any weight on the GHD”, as stated </w:t>
      </w:r>
      <w:r w:rsidR="00F67204">
        <w:t>by the Ontario Court of Appeal (“ONCA”)</w:t>
      </w:r>
      <w:r>
        <w:t xml:space="preserve">. Rather, the </w:t>
      </w:r>
      <w:r w:rsidR="001B4B84">
        <w:t>ONCJ</w:t>
      </w:r>
      <w:r>
        <w:t xml:space="preserve"> took issue with the amount of weight afforded to it.</w:t>
      </w:r>
      <w:r w:rsidRPr="005C2216">
        <w:t xml:space="preserve"> </w:t>
      </w:r>
      <w:r>
        <w:t>Therefore, this issue involves the improper weighing of evidence, not its admissibility.</w:t>
      </w:r>
    </w:p>
    <w:p w14:paraId="11420DA3" w14:textId="54A3B777" w:rsidR="0034630D" w:rsidRDefault="0034630D" w:rsidP="0034630D">
      <w:pPr>
        <w:pStyle w:val="WSParaNum"/>
        <w:numPr>
          <w:ilvl w:val="0"/>
          <w:numId w:val="0"/>
        </w:numPr>
        <w:spacing w:before="0" w:after="0" w:line="240" w:lineRule="auto"/>
        <w:ind w:left="720"/>
        <w:rPr>
          <w:sz w:val="20"/>
          <w:szCs w:val="20"/>
        </w:rPr>
      </w:pPr>
      <w:r>
        <w:rPr>
          <w:sz w:val="20"/>
          <w:szCs w:val="20"/>
        </w:rPr>
        <w:t xml:space="preserve">Appellant Factum, </w:t>
      </w:r>
      <w:r w:rsidRPr="006B7401">
        <w:rPr>
          <w:i/>
          <w:iCs/>
          <w:sz w:val="20"/>
          <w:szCs w:val="20"/>
        </w:rPr>
        <w:t>supra</w:t>
      </w:r>
      <w:r>
        <w:rPr>
          <w:sz w:val="20"/>
          <w:szCs w:val="20"/>
        </w:rPr>
        <w:t xml:space="preserve"> para </w:t>
      </w:r>
      <w:r w:rsidR="007809E5">
        <w:rPr>
          <w:sz w:val="20"/>
          <w:szCs w:val="20"/>
        </w:rPr>
        <w:t>2</w:t>
      </w:r>
      <w:r w:rsidR="00120A36">
        <w:rPr>
          <w:sz w:val="20"/>
          <w:szCs w:val="20"/>
        </w:rPr>
        <w:t>6</w:t>
      </w:r>
      <w:r>
        <w:rPr>
          <w:sz w:val="20"/>
          <w:szCs w:val="20"/>
        </w:rPr>
        <w:t xml:space="preserve"> </w:t>
      </w:r>
      <w:r w:rsidRPr="006B7401">
        <w:rPr>
          <w:sz w:val="20"/>
          <w:szCs w:val="20"/>
        </w:rPr>
        <w:t>at</w:t>
      </w:r>
      <w:r>
        <w:rPr>
          <w:sz w:val="20"/>
          <w:szCs w:val="20"/>
        </w:rPr>
        <w:t xml:space="preserve"> para 39.</w:t>
      </w:r>
    </w:p>
    <w:p w14:paraId="2E11E59B" w14:textId="49FD7F4F" w:rsidR="0034630D" w:rsidRDefault="0034630D" w:rsidP="0034630D">
      <w:pPr>
        <w:pStyle w:val="WSParaNum"/>
        <w:numPr>
          <w:ilvl w:val="0"/>
          <w:numId w:val="0"/>
        </w:numPr>
        <w:spacing w:before="0" w:after="0" w:line="240" w:lineRule="auto"/>
        <w:ind w:left="720"/>
        <w:rPr>
          <w:sz w:val="20"/>
          <w:szCs w:val="20"/>
        </w:rPr>
      </w:pPr>
      <w:r w:rsidRPr="000308BF">
        <w:rPr>
          <w:i/>
          <w:iCs/>
          <w:sz w:val="20"/>
          <w:szCs w:val="20"/>
        </w:rPr>
        <w:t>ONCA Reasons</w:t>
      </w:r>
      <w:r>
        <w:rPr>
          <w:sz w:val="20"/>
          <w:szCs w:val="20"/>
        </w:rPr>
        <w:t xml:space="preserve">, </w:t>
      </w:r>
      <w:r>
        <w:rPr>
          <w:i/>
          <w:iCs/>
          <w:sz w:val="20"/>
          <w:szCs w:val="20"/>
        </w:rPr>
        <w:t xml:space="preserve">supra </w:t>
      </w:r>
      <w:r>
        <w:rPr>
          <w:sz w:val="20"/>
          <w:szCs w:val="20"/>
        </w:rPr>
        <w:t xml:space="preserve">para </w:t>
      </w:r>
      <w:r w:rsidR="007809E5">
        <w:rPr>
          <w:sz w:val="20"/>
          <w:szCs w:val="20"/>
        </w:rPr>
        <w:t>13</w:t>
      </w:r>
      <w:r>
        <w:rPr>
          <w:sz w:val="20"/>
          <w:szCs w:val="20"/>
        </w:rPr>
        <w:t xml:space="preserve"> </w:t>
      </w:r>
      <w:r w:rsidRPr="009B1D60">
        <w:rPr>
          <w:sz w:val="20"/>
          <w:szCs w:val="20"/>
        </w:rPr>
        <w:t>at para 44.</w:t>
      </w:r>
    </w:p>
    <w:p w14:paraId="7FA23868" w14:textId="77777777" w:rsidR="0034630D" w:rsidRDefault="0034630D" w:rsidP="0034630D">
      <w:pPr>
        <w:rPr>
          <w:sz w:val="20"/>
          <w:szCs w:val="20"/>
        </w:rPr>
      </w:pPr>
    </w:p>
    <w:p w14:paraId="0D5AEA77" w14:textId="7D35296D" w:rsidR="0034630D" w:rsidRPr="008C3D34" w:rsidRDefault="0034630D" w:rsidP="0034630D">
      <w:pPr>
        <w:pStyle w:val="WSParaNum"/>
        <w:numPr>
          <w:ilvl w:val="0"/>
          <w:numId w:val="6"/>
        </w:numPr>
        <w:spacing w:before="0" w:after="0"/>
      </w:pPr>
      <w:r>
        <w:t xml:space="preserve">The Trial Justice’s reliance on the GHD amounts to a palpable and overriding error for a few reasons. First, it was </w:t>
      </w:r>
      <w:r w:rsidR="008106A7">
        <w:t>a</w:t>
      </w:r>
      <w:r>
        <w:t xml:space="preserve"> primary piece of evidence relied upon in the Trial Justice’s conclusion that the </w:t>
      </w:r>
      <w:r w:rsidR="00DF64F0">
        <w:t>Site</w:t>
      </w:r>
      <w:r>
        <w:t xml:space="preserve"> was Blanding’s Turtle habitat. This is not a strong evidentiary basis to ground the Trial Justice’s conclusion, which must be proven beyond a reasonable doubt. Furthermore, the GHD should not be determinative of CHL’s conviction as it is not a legally binding instrument. These errors amount to a palpable and overriding error warranting appellate intervention.</w:t>
      </w:r>
    </w:p>
    <w:p w14:paraId="73E1944B" w14:textId="77777777" w:rsidR="0034630D" w:rsidRPr="00562AC6" w:rsidRDefault="0034630D" w:rsidP="00562AC6">
      <w:pPr>
        <w:pStyle w:val="Heading3"/>
      </w:pPr>
      <w:bookmarkStart w:id="18" w:name="_Toc220051342"/>
      <w:r w:rsidRPr="00562AC6">
        <w:t>The General Habitat Description is Not a Legal Instrument or Legal Document</w:t>
      </w:r>
      <w:bookmarkEnd w:id="18"/>
      <w:r w:rsidRPr="00562AC6">
        <w:t xml:space="preserve"> </w:t>
      </w:r>
    </w:p>
    <w:p w14:paraId="300302E0" w14:textId="77777777" w:rsidR="0034630D" w:rsidRDefault="0034630D" w:rsidP="0034630D">
      <w:pPr>
        <w:pStyle w:val="WSParaNum"/>
        <w:spacing w:before="0" w:after="0"/>
      </w:pPr>
      <w:r>
        <w:t xml:space="preserve">Whether the GHD is a “legal instrument” or “legal document” depends on whether it is “legislative in nature”. </w:t>
      </w:r>
    </w:p>
    <w:p w14:paraId="7E9207FD" w14:textId="6D94D0BD" w:rsidR="0034630D" w:rsidRDefault="0034630D" w:rsidP="0034630D">
      <w:pPr>
        <w:pStyle w:val="WSParaNum"/>
        <w:spacing w:before="0" w:after="0"/>
      </w:pPr>
      <w:r>
        <w:lastRenderedPageBreak/>
        <w:t>The Supreme Court of Canada has articulated the difference between “legislative in nature” and “administrative in nature”</w:t>
      </w:r>
      <w:r>
        <w:rPr>
          <w:i/>
          <w:iCs/>
        </w:rPr>
        <w:t xml:space="preserve">. </w:t>
      </w:r>
      <w:r>
        <w:t xml:space="preserve">Documents that are legislative in nature “establish a norm or standard of </w:t>
      </w:r>
      <w:r w:rsidRPr="009B1D60">
        <w:t>general application</w:t>
      </w:r>
      <w:r>
        <w:t xml:space="preserve"> that has been enacted by a government entity pursuant to a </w:t>
      </w:r>
      <w:r w:rsidRPr="009B1D60">
        <w:t>law-making authority</w:t>
      </w:r>
      <w:r>
        <w:t xml:space="preserve">”. These are binding rules that create legal rights and obligations for those </w:t>
      </w:r>
      <w:r w:rsidR="00DF64F0">
        <w:t xml:space="preserve">to </w:t>
      </w:r>
      <w:r>
        <w:t xml:space="preserve">whom it applies. </w:t>
      </w:r>
    </w:p>
    <w:p w14:paraId="73D10EB2" w14:textId="3C10C7ED" w:rsidR="0034630D" w:rsidRDefault="0034630D" w:rsidP="0034630D">
      <w:pPr>
        <w:pStyle w:val="WSParaNum"/>
        <w:numPr>
          <w:ilvl w:val="0"/>
          <w:numId w:val="0"/>
        </w:numPr>
        <w:spacing w:before="0" w:after="0" w:line="240" w:lineRule="auto"/>
        <w:ind w:left="720"/>
        <w:rPr>
          <w:sz w:val="20"/>
          <w:szCs w:val="20"/>
        </w:rPr>
      </w:pPr>
      <w:r w:rsidRPr="009B1D60">
        <w:rPr>
          <w:i/>
          <w:iCs/>
          <w:sz w:val="20"/>
          <w:szCs w:val="20"/>
        </w:rPr>
        <w:t xml:space="preserve">Greater Vancouver Transportation Authority v Canadian Federation of Students – British Columbia Component, </w:t>
      </w:r>
      <w:r w:rsidRPr="009B1D60">
        <w:rPr>
          <w:sz w:val="20"/>
          <w:szCs w:val="20"/>
        </w:rPr>
        <w:t>2009 SCC 31 at para 64 [</w:t>
      </w:r>
      <w:r w:rsidRPr="009B1D60">
        <w:rPr>
          <w:i/>
          <w:iCs/>
          <w:sz w:val="20"/>
          <w:szCs w:val="20"/>
        </w:rPr>
        <w:t>Greater Vancouver</w:t>
      </w:r>
      <w:r w:rsidRPr="009B1D60">
        <w:rPr>
          <w:sz w:val="20"/>
          <w:szCs w:val="20"/>
        </w:rPr>
        <w:t>].</w:t>
      </w:r>
    </w:p>
    <w:p w14:paraId="302BDF67" w14:textId="77777777" w:rsidR="0034630D" w:rsidRPr="00132120" w:rsidRDefault="0034630D" w:rsidP="0034630D">
      <w:pPr>
        <w:pStyle w:val="WSParaNum"/>
        <w:numPr>
          <w:ilvl w:val="0"/>
          <w:numId w:val="0"/>
        </w:numPr>
        <w:spacing w:before="0" w:after="0" w:line="240" w:lineRule="auto"/>
        <w:ind w:left="720"/>
        <w:rPr>
          <w:sz w:val="20"/>
          <w:szCs w:val="20"/>
        </w:rPr>
      </w:pPr>
    </w:p>
    <w:p w14:paraId="362DBE99" w14:textId="77777777" w:rsidR="0034630D" w:rsidRPr="004D2D86" w:rsidRDefault="0034630D" w:rsidP="0034630D">
      <w:pPr>
        <w:pStyle w:val="WSParaNum"/>
        <w:spacing w:before="0" w:after="0"/>
      </w:pPr>
      <w:r>
        <w:t xml:space="preserve">Conversely, documents that are merely “administrative in nature” are those whose focus is on the internal management of the entity that created them. They do not require express statutory authority, nor do they establish legal rights or obligations. </w:t>
      </w:r>
      <w:r w:rsidRPr="004D2D86">
        <w:t xml:space="preserve">Examples of documents that are “administrative in nature” include internal governmental policy guidelines, non-binding international agreements, and expert evidence. </w:t>
      </w:r>
    </w:p>
    <w:p w14:paraId="13F5B7B2" w14:textId="399E2624" w:rsidR="0034630D" w:rsidRDefault="0034630D" w:rsidP="0034630D">
      <w:pPr>
        <w:pStyle w:val="WSParaNum"/>
        <w:numPr>
          <w:ilvl w:val="0"/>
          <w:numId w:val="0"/>
        </w:numPr>
        <w:spacing w:before="0" w:after="0" w:line="240" w:lineRule="auto"/>
        <w:ind w:left="720"/>
        <w:rPr>
          <w:sz w:val="20"/>
          <w:szCs w:val="20"/>
        </w:rPr>
      </w:pPr>
      <w:r w:rsidRPr="004D2D86">
        <w:rPr>
          <w:i/>
          <w:iCs/>
          <w:sz w:val="20"/>
          <w:szCs w:val="20"/>
        </w:rPr>
        <w:t xml:space="preserve">Greater Vancouver, supra </w:t>
      </w:r>
      <w:r w:rsidRPr="004D2D86">
        <w:rPr>
          <w:sz w:val="20"/>
          <w:szCs w:val="20"/>
        </w:rPr>
        <w:t xml:space="preserve">para </w:t>
      </w:r>
      <w:r w:rsidR="008611ED">
        <w:rPr>
          <w:sz w:val="20"/>
          <w:szCs w:val="20"/>
        </w:rPr>
        <w:t>3</w:t>
      </w:r>
      <w:r w:rsidR="000A768A">
        <w:rPr>
          <w:sz w:val="20"/>
          <w:szCs w:val="20"/>
        </w:rPr>
        <w:t>7</w:t>
      </w:r>
      <w:r w:rsidRPr="004D2D86">
        <w:rPr>
          <w:i/>
          <w:iCs/>
          <w:sz w:val="20"/>
          <w:szCs w:val="20"/>
        </w:rPr>
        <w:t xml:space="preserve"> </w:t>
      </w:r>
      <w:r w:rsidRPr="004D2D86">
        <w:rPr>
          <w:sz w:val="20"/>
          <w:szCs w:val="20"/>
        </w:rPr>
        <w:t>at para 63.</w:t>
      </w:r>
    </w:p>
    <w:p w14:paraId="6F5B2EE7" w14:textId="21EA81DD" w:rsidR="008611ED" w:rsidRPr="004D2D86" w:rsidRDefault="008611ED" w:rsidP="008611ED">
      <w:pPr>
        <w:pStyle w:val="WSParaNum"/>
        <w:numPr>
          <w:ilvl w:val="0"/>
          <w:numId w:val="0"/>
        </w:numPr>
        <w:spacing w:before="0" w:after="0" w:line="240" w:lineRule="auto"/>
        <w:ind w:left="720"/>
        <w:rPr>
          <w:sz w:val="20"/>
          <w:szCs w:val="20"/>
        </w:rPr>
      </w:pPr>
      <w:r w:rsidRPr="0088292B">
        <w:rPr>
          <w:i/>
          <w:iCs/>
          <w:sz w:val="20"/>
          <w:szCs w:val="20"/>
        </w:rPr>
        <w:t xml:space="preserve">Friends of the Oldman River Society v Canada (Minister of Transport), </w:t>
      </w:r>
      <w:r w:rsidRPr="0088292B">
        <w:rPr>
          <w:sz w:val="20"/>
          <w:szCs w:val="20"/>
        </w:rPr>
        <w:t>1992 CanLII 110 (SCC)</w:t>
      </w:r>
      <w:r>
        <w:rPr>
          <w:sz w:val="20"/>
          <w:szCs w:val="20"/>
        </w:rPr>
        <w:t xml:space="preserve"> at para 45</w:t>
      </w:r>
      <w:r>
        <w:rPr>
          <w:i/>
          <w:iCs/>
          <w:sz w:val="20"/>
          <w:szCs w:val="20"/>
        </w:rPr>
        <w:t xml:space="preserve"> </w:t>
      </w:r>
      <w:r>
        <w:rPr>
          <w:sz w:val="20"/>
          <w:szCs w:val="20"/>
        </w:rPr>
        <w:t>[</w:t>
      </w:r>
      <w:r>
        <w:rPr>
          <w:i/>
          <w:iCs/>
          <w:sz w:val="20"/>
          <w:szCs w:val="20"/>
        </w:rPr>
        <w:t>Oldman River</w:t>
      </w:r>
      <w:r>
        <w:rPr>
          <w:sz w:val="20"/>
          <w:szCs w:val="20"/>
        </w:rPr>
        <w:t>].</w:t>
      </w:r>
    </w:p>
    <w:p w14:paraId="6E4B9E60" w14:textId="77777777" w:rsidR="0034630D" w:rsidRPr="004D2D86" w:rsidRDefault="0034630D" w:rsidP="0034630D">
      <w:pPr>
        <w:pStyle w:val="WSParaNum"/>
        <w:numPr>
          <w:ilvl w:val="0"/>
          <w:numId w:val="0"/>
        </w:numPr>
        <w:spacing w:before="0" w:after="0" w:line="240" w:lineRule="auto"/>
        <w:ind w:firstLine="720"/>
        <w:rPr>
          <w:sz w:val="20"/>
          <w:szCs w:val="20"/>
        </w:rPr>
      </w:pPr>
      <w:r w:rsidRPr="004D2D86">
        <w:rPr>
          <w:i/>
          <w:iCs/>
          <w:sz w:val="20"/>
          <w:szCs w:val="20"/>
        </w:rPr>
        <w:t>Quebec (Attorney General) v 9147-0732 Quebec inc</w:t>
      </w:r>
      <w:r w:rsidRPr="004D2D86">
        <w:rPr>
          <w:sz w:val="20"/>
          <w:szCs w:val="20"/>
        </w:rPr>
        <w:t>., 2020 SCC 32 at para 35 [</w:t>
      </w:r>
      <w:r w:rsidRPr="004D2D86">
        <w:rPr>
          <w:i/>
          <w:iCs/>
          <w:sz w:val="20"/>
          <w:szCs w:val="20"/>
        </w:rPr>
        <w:t>Quebec AG 2020</w:t>
      </w:r>
      <w:r w:rsidRPr="004D2D86">
        <w:rPr>
          <w:sz w:val="20"/>
          <w:szCs w:val="20"/>
        </w:rPr>
        <w:t>].</w:t>
      </w:r>
    </w:p>
    <w:p w14:paraId="52F37EDC" w14:textId="22A2FBC3" w:rsidR="0034630D" w:rsidRDefault="0034630D" w:rsidP="0034630D">
      <w:pPr>
        <w:pStyle w:val="WSParaNum"/>
        <w:numPr>
          <w:ilvl w:val="0"/>
          <w:numId w:val="0"/>
        </w:numPr>
        <w:spacing w:before="0" w:after="0" w:line="240" w:lineRule="auto"/>
        <w:ind w:firstLine="720"/>
        <w:rPr>
          <w:sz w:val="20"/>
          <w:szCs w:val="20"/>
        </w:rPr>
      </w:pPr>
      <w:r w:rsidRPr="004D2D86">
        <w:rPr>
          <w:i/>
          <w:iCs/>
          <w:sz w:val="20"/>
          <w:szCs w:val="20"/>
        </w:rPr>
        <w:t xml:space="preserve">Dorion v Roberge, </w:t>
      </w:r>
      <w:r w:rsidR="008611ED" w:rsidRPr="008611ED">
        <w:rPr>
          <w:sz w:val="20"/>
          <w:szCs w:val="20"/>
        </w:rPr>
        <w:t>1991 CanLII 83 (SCC)</w:t>
      </w:r>
      <w:r w:rsidR="008611ED">
        <w:rPr>
          <w:sz w:val="20"/>
          <w:szCs w:val="20"/>
        </w:rPr>
        <w:t xml:space="preserve"> </w:t>
      </w:r>
      <w:r w:rsidRPr="004D2D86">
        <w:rPr>
          <w:sz w:val="20"/>
          <w:szCs w:val="20"/>
        </w:rPr>
        <w:t>at para 176.</w:t>
      </w:r>
    </w:p>
    <w:p w14:paraId="6256A71F" w14:textId="77777777" w:rsidR="0034630D" w:rsidRPr="00981D2F" w:rsidRDefault="0034630D" w:rsidP="0034630D">
      <w:pPr>
        <w:pStyle w:val="WSParaNum"/>
        <w:numPr>
          <w:ilvl w:val="0"/>
          <w:numId w:val="0"/>
        </w:numPr>
        <w:spacing w:before="0" w:after="0" w:line="240" w:lineRule="auto"/>
        <w:rPr>
          <w:sz w:val="20"/>
          <w:szCs w:val="20"/>
        </w:rPr>
      </w:pPr>
    </w:p>
    <w:p w14:paraId="31562B00" w14:textId="2244217B" w:rsidR="0034630D" w:rsidRPr="009B1D60" w:rsidRDefault="0034630D" w:rsidP="0034630D">
      <w:pPr>
        <w:pStyle w:val="WSParaNum"/>
        <w:spacing w:before="0" w:after="0"/>
      </w:pPr>
      <w:r>
        <w:t xml:space="preserve">The GHD is not “legislative in nature” because it was not made pursuant to a statutory authority and does not confer legal rights or obligations. It is meant to provide “clarity on the area of habitat protected for a species based on the general habitat definition” found in the </w:t>
      </w:r>
      <w:r>
        <w:rPr>
          <w:i/>
          <w:iCs/>
        </w:rPr>
        <w:t xml:space="preserve">ESA. </w:t>
      </w:r>
      <w:r>
        <w:t xml:space="preserve">While it was produced by a government entity (the Ministry of the Environment, Conservation and Parks), it was not made pursuant to any law-making authority. In other words, it uses the habitat definition in the </w:t>
      </w:r>
      <w:r>
        <w:rPr>
          <w:i/>
          <w:iCs/>
        </w:rPr>
        <w:t>ESA,</w:t>
      </w:r>
      <w:r>
        <w:t xml:space="preserve"> </w:t>
      </w:r>
      <w:r w:rsidRPr="003E1AED">
        <w:t xml:space="preserve">but it was not enacted pursuant </w:t>
      </w:r>
      <w:r w:rsidR="008106A7">
        <w:t xml:space="preserve">to the </w:t>
      </w:r>
      <w:r w:rsidR="008106A7">
        <w:rPr>
          <w:i/>
          <w:iCs/>
        </w:rPr>
        <w:t>ESA</w:t>
      </w:r>
      <w:r w:rsidRPr="003E1AED">
        <w:rPr>
          <w:i/>
          <w:iCs/>
        </w:rPr>
        <w:t>.</w:t>
      </w:r>
      <w:r>
        <w:rPr>
          <w:i/>
          <w:iCs/>
        </w:rPr>
        <w:t xml:space="preserve"> </w:t>
      </w:r>
    </w:p>
    <w:p w14:paraId="51BC7791" w14:textId="77777777" w:rsidR="0034630D" w:rsidRDefault="0034630D" w:rsidP="0034630D">
      <w:pPr>
        <w:pStyle w:val="WSParaNum"/>
        <w:numPr>
          <w:ilvl w:val="0"/>
          <w:numId w:val="0"/>
        </w:numPr>
        <w:spacing w:before="0" w:after="0" w:line="240" w:lineRule="auto"/>
        <w:ind w:left="720"/>
        <w:rPr>
          <w:sz w:val="20"/>
          <w:szCs w:val="20"/>
        </w:rPr>
      </w:pPr>
      <w:r w:rsidRPr="001F08EB">
        <w:rPr>
          <w:sz w:val="20"/>
          <w:szCs w:val="20"/>
        </w:rPr>
        <w:t>Ontario, Ministry of the Environment, Conservation and Parks</w:t>
      </w:r>
      <w:r>
        <w:rPr>
          <w:sz w:val="20"/>
          <w:szCs w:val="20"/>
        </w:rPr>
        <w:t xml:space="preserve"> (MECP)</w:t>
      </w:r>
      <w:r w:rsidRPr="001F08EB">
        <w:rPr>
          <w:sz w:val="20"/>
          <w:szCs w:val="20"/>
        </w:rPr>
        <w:t xml:space="preserve">, </w:t>
      </w:r>
      <w:r w:rsidRPr="001F08EB">
        <w:rPr>
          <w:i/>
          <w:iCs/>
          <w:sz w:val="20"/>
          <w:szCs w:val="20"/>
        </w:rPr>
        <w:t xml:space="preserve">General Habitat Description for the Blanding’s </w:t>
      </w:r>
      <w:r>
        <w:rPr>
          <w:i/>
          <w:iCs/>
          <w:sz w:val="20"/>
          <w:szCs w:val="20"/>
        </w:rPr>
        <w:t>Turtle</w:t>
      </w:r>
      <w:r w:rsidRPr="001F08EB">
        <w:rPr>
          <w:i/>
          <w:iCs/>
          <w:sz w:val="20"/>
          <w:szCs w:val="20"/>
        </w:rPr>
        <w:t xml:space="preserve"> (Emydoidea blandingii), </w:t>
      </w:r>
      <w:r w:rsidRPr="001F08EB">
        <w:rPr>
          <w:sz w:val="20"/>
          <w:szCs w:val="20"/>
        </w:rPr>
        <w:t>(Toronto: MECP, 2013).</w:t>
      </w:r>
    </w:p>
    <w:p w14:paraId="4643C3FA" w14:textId="7F1A27A4" w:rsidR="0034630D" w:rsidRDefault="001B4B84" w:rsidP="0034630D">
      <w:pPr>
        <w:pStyle w:val="WSParaNum"/>
        <w:numPr>
          <w:ilvl w:val="0"/>
          <w:numId w:val="0"/>
        </w:numPr>
        <w:spacing w:before="0" w:after="0" w:line="240" w:lineRule="auto"/>
        <w:ind w:left="720"/>
        <w:rPr>
          <w:sz w:val="20"/>
          <w:szCs w:val="20"/>
        </w:rPr>
      </w:pPr>
      <w:r>
        <w:rPr>
          <w:i/>
          <w:iCs/>
          <w:sz w:val="20"/>
          <w:szCs w:val="20"/>
        </w:rPr>
        <w:t>ONCJ</w:t>
      </w:r>
      <w:r w:rsidR="0034630D" w:rsidRPr="000308BF">
        <w:rPr>
          <w:i/>
          <w:iCs/>
          <w:sz w:val="20"/>
          <w:szCs w:val="20"/>
        </w:rPr>
        <w:t xml:space="preserve"> Reasons</w:t>
      </w:r>
      <w:r w:rsidR="0034630D">
        <w:rPr>
          <w:sz w:val="20"/>
          <w:szCs w:val="20"/>
        </w:rPr>
        <w:t xml:space="preserve">, </w:t>
      </w:r>
      <w:r w:rsidR="0034630D">
        <w:rPr>
          <w:i/>
          <w:iCs/>
          <w:sz w:val="20"/>
          <w:szCs w:val="20"/>
        </w:rPr>
        <w:t xml:space="preserve">supra </w:t>
      </w:r>
      <w:r w:rsidR="0034630D">
        <w:rPr>
          <w:sz w:val="20"/>
          <w:szCs w:val="20"/>
        </w:rPr>
        <w:t xml:space="preserve">para </w:t>
      </w:r>
      <w:r w:rsidR="008611ED">
        <w:rPr>
          <w:sz w:val="20"/>
          <w:szCs w:val="20"/>
        </w:rPr>
        <w:t>8</w:t>
      </w:r>
      <w:r w:rsidR="0034630D" w:rsidRPr="009B1D60">
        <w:rPr>
          <w:sz w:val="20"/>
          <w:szCs w:val="20"/>
        </w:rPr>
        <w:t xml:space="preserve"> at 5.</w:t>
      </w:r>
    </w:p>
    <w:p w14:paraId="30C2208B" w14:textId="77777777" w:rsidR="0034630D" w:rsidRPr="009B1D60" w:rsidRDefault="0034630D" w:rsidP="0034630D">
      <w:pPr>
        <w:pStyle w:val="WSParaNum"/>
        <w:numPr>
          <w:ilvl w:val="0"/>
          <w:numId w:val="0"/>
        </w:numPr>
        <w:spacing w:before="0" w:after="0"/>
        <w:ind w:left="720"/>
        <w:rPr>
          <w:sz w:val="20"/>
          <w:szCs w:val="20"/>
        </w:rPr>
      </w:pPr>
    </w:p>
    <w:p w14:paraId="22673C5B" w14:textId="4101F8DE" w:rsidR="0034630D" w:rsidRDefault="0034630D" w:rsidP="0034630D">
      <w:pPr>
        <w:pStyle w:val="WSParaNum"/>
        <w:spacing w:before="0" w:after="0"/>
      </w:pPr>
      <w:r>
        <w:t>Furthermore, the GHD provides “generic non-specific information about areas which may potentially provide suitable habitat” for Blanding’s Turtle</w:t>
      </w:r>
      <w:r w:rsidR="008611ED">
        <w:t>s</w:t>
      </w:r>
      <w:r>
        <w:t>. This suggests it is meant to provide guidance to decision-makers but does not impose specific requirements or obligations on them. There is also no mandatory language in the GHD such as “shall” or “must” that indicate</w:t>
      </w:r>
      <w:r w:rsidR="008611ED">
        <w:t>s</w:t>
      </w:r>
      <w:r>
        <w:t xml:space="preserve"> a clear intention to bind those to whom it applies. </w:t>
      </w:r>
    </w:p>
    <w:p w14:paraId="6D8329F3" w14:textId="57C7A44D" w:rsidR="0034630D" w:rsidRPr="001F08EB" w:rsidRDefault="001B4B84" w:rsidP="0034630D">
      <w:pPr>
        <w:pStyle w:val="WSParaNum"/>
        <w:numPr>
          <w:ilvl w:val="0"/>
          <w:numId w:val="0"/>
        </w:numPr>
        <w:spacing w:before="0" w:after="0" w:line="240" w:lineRule="auto"/>
        <w:ind w:left="720"/>
        <w:rPr>
          <w:sz w:val="20"/>
          <w:szCs w:val="20"/>
        </w:rPr>
      </w:pPr>
      <w:r>
        <w:rPr>
          <w:i/>
          <w:iCs/>
          <w:sz w:val="20"/>
          <w:szCs w:val="20"/>
        </w:rPr>
        <w:t>ONCJ</w:t>
      </w:r>
      <w:r w:rsidR="0034630D" w:rsidRPr="000308BF">
        <w:rPr>
          <w:i/>
          <w:iCs/>
          <w:sz w:val="20"/>
          <w:szCs w:val="20"/>
        </w:rPr>
        <w:t xml:space="preserve"> Reasons</w:t>
      </w:r>
      <w:r w:rsidR="0034630D">
        <w:rPr>
          <w:sz w:val="20"/>
          <w:szCs w:val="20"/>
        </w:rPr>
        <w:t xml:space="preserve">, </w:t>
      </w:r>
      <w:r w:rsidR="0034630D">
        <w:rPr>
          <w:i/>
          <w:iCs/>
          <w:sz w:val="20"/>
          <w:szCs w:val="20"/>
        </w:rPr>
        <w:t xml:space="preserve">supra </w:t>
      </w:r>
      <w:r w:rsidR="0034630D">
        <w:rPr>
          <w:sz w:val="20"/>
          <w:szCs w:val="20"/>
        </w:rPr>
        <w:t xml:space="preserve">para </w:t>
      </w:r>
      <w:r w:rsidR="008611ED">
        <w:rPr>
          <w:sz w:val="20"/>
          <w:szCs w:val="20"/>
        </w:rPr>
        <w:t>8</w:t>
      </w:r>
      <w:r w:rsidR="0034630D">
        <w:rPr>
          <w:sz w:val="20"/>
          <w:szCs w:val="20"/>
        </w:rPr>
        <w:t xml:space="preserve"> at 8.</w:t>
      </w:r>
    </w:p>
    <w:p w14:paraId="38BBC2B1" w14:textId="7B75B09F" w:rsidR="0034630D" w:rsidRDefault="0034630D" w:rsidP="0034630D">
      <w:pPr>
        <w:pStyle w:val="WSParaNum"/>
        <w:numPr>
          <w:ilvl w:val="0"/>
          <w:numId w:val="0"/>
        </w:numPr>
        <w:spacing w:before="0" w:after="0" w:line="240" w:lineRule="auto"/>
        <w:ind w:left="720"/>
        <w:rPr>
          <w:sz w:val="20"/>
          <w:szCs w:val="20"/>
        </w:rPr>
      </w:pPr>
      <w:r w:rsidRPr="0088292B">
        <w:rPr>
          <w:i/>
          <w:iCs/>
          <w:sz w:val="20"/>
          <w:szCs w:val="20"/>
        </w:rPr>
        <w:t xml:space="preserve">Oldman </w:t>
      </w:r>
      <w:r w:rsidRPr="008611ED">
        <w:rPr>
          <w:i/>
          <w:iCs/>
          <w:sz w:val="20"/>
          <w:szCs w:val="20"/>
        </w:rPr>
        <w:t>River</w:t>
      </w:r>
      <w:r w:rsidR="008611ED">
        <w:rPr>
          <w:sz w:val="20"/>
          <w:szCs w:val="20"/>
        </w:rPr>
        <w:t xml:space="preserve">, </w:t>
      </w:r>
      <w:r w:rsidR="008611ED">
        <w:rPr>
          <w:i/>
          <w:iCs/>
          <w:sz w:val="20"/>
          <w:szCs w:val="20"/>
        </w:rPr>
        <w:t xml:space="preserve">supra </w:t>
      </w:r>
      <w:r w:rsidR="008611ED">
        <w:rPr>
          <w:sz w:val="20"/>
          <w:szCs w:val="20"/>
        </w:rPr>
        <w:t>para 3</w:t>
      </w:r>
      <w:r w:rsidR="000A768A">
        <w:rPr>
          <w:sz w:val="20"/>
          <w:szCs w:val="20"/>
        </w:rPr>
        <w:t>8</w:t>
      </w:r>
      <w:r w:rsidR="008611ED">
        <w:rPr>
          <w:sz w:val="20"/>
          <w:szCs w:val="20"/>
        </w:rPr>
        <w:t xml:space="preserve"> </w:t>
      </w:r>
      <w:r w:rsidRPr="008611ED">
        <w:rPr>
          <w:sz w:val="20"/>
          <w:szCs w:val="20"/>
        </w:rPr>
        <w:t>at</w:t>
      </w:r>
      <w:r>
        <w:rPr>
          <w:sz w:val="20"/>
          <w:szCs w:val="20"/>
        </w:rPr>
        <w:t xml:space="preserve"> para 4</w:t>
      </w:r>
      <w:r w:rsidR="008611ED">
        <w:rPr>
          <w:sz w:val="20"/>
          <w:szCs w:val="20"/>
        </w:rPr>
        <w:t>3.</w:t>
      </w:r>
    </w:p>
    <w:p w14:paraId="54F56D62" w14:textId="77777777" w:rsidR="0034630D" w:rsidRPr="001F08EB" w:rsidRDefault="0034630D" w:rsidP="0034630D">
      <w:pPr>
        <w:pStyle w:val="WSParaNum"/>
        <w:numPr>
          <w:ilvl w:val="0"/>
          <w:numId w:val="0"/>
        </w:numPr>
        <w:spacing w:before="0" w:after="0" w:line="240" w:lineRule="auto"/>
        <w:ind w:left="720"/>
        <w:rPr>
          <w:sz w:val="20"/>
          <w:szCs w:val="20"/>
        </w:rPr>
      </w:pPr>
    </w:p>
    <w:p w14:paraId="1628D439" w14:textId="77777777" w:rsidR="0034630D" w:rsidRDefault="0034630D" w:rsidP="0034630D">
      <w:pPr>
        <w:pStyle w:val="WSParaNum"/>
        <w:spacing w:before="0" w:after="0"/>
      </w:pPr>
      <w:r>
        <w:lastRenderedPageBreak/>
        <w:t xml:space="preserve">In contrast, instruments that are legislative in nature must be prescribed by statute. In the </w:t>
      </w:r>
      <w:r>
        <w:rPr>
          <w:i/>
          <w:iCs/>
        </w:rPr>
        <w:t xml:space="preserve">ESA, </w:t>
      </w:r>
      <w:r>
        <w:t xml:space="preserve">for example, an instrument is an “agreement, permit, licence, order, approved plan or other similar document”. In the </w:t>
      </w:r>
      <w:r>
        <w:rPr>
          <w:i/>
          <w:iCs/>
        </w:rPr>
        <w:t xml:space="preserve">Environmental Protection Act, </w:t>
      </w:r>
      <w:r>
        <w:t xml:space="preserve">a “prescribed instrument” is “a document of legal effect that is issued or otherwise created under a prescribed provision of an Act...” in relation to environmental compliance approvals. These are made pursuant to a statutory authority and confer legal rights or obligations on the holder. </w:t>
      </w:r>
    </w:p>
    <w:p w14:paraId="376252F8" w14:textId="68B6598B" w:rsidR="0034630D" w:rsidRDefault="0034630D" w:rsidP="0034630D">
      <w:pPr>
        <w:pStyle w:val="WSParaNum"/>
        <w:numPr>
          <w:ilvl w:val="0"/>
          <w:numId w:val="0"/>
        </w:numPr>
        <w:spacing w:before="0" w:after="0" w:line="240" w:lineRule="auto"/>
        <w:ind w:left="720"/>
        <w:rPr>
          <w:sz w:val="20"/>
          <w:szCs w:val="20"/>
        </w:rPr>
      </w:pPr>
      <w:r w:rsidRPr="009B1D60">
        <w:rPr>
          <w:i/>
          <w:iCs/>
          <w:sz w:val="20"/>
          <w:szCs w:val="20"/>
        </w:rPr>
        <w:t xml:space="preserve">ESA, </w:t>
      </w:r>
      <w:r w:rsidRPr="00BD092F">
        <w:rPr>
          <w:i/>
          <w:iCs/>
          <w:sz w:val="20"/>
          <w:szCs w:val="20"/>
        </w:rPr>
        <w:t xml:space="preserve">supra </w:t>
      </w:r>
      <w:r>
        <w:rPr>
          <w:sz w:val="20"/>
          <w:szCs w:val="20"/>
        </w:rPr>
        <w:t xml:space="preserve">para </w:t>
      </w:r>
      <w:r w:rsidR="008611ED">
        <w:rPr>
          <w:sz w:val="20"/>
          <w:szCs w:val="20"/>
        </w:rPr>
        <w:t>1</w:t>
      </w:r>
      <w:r>
        <w:rPr>
          <w:sz w:val="20"/>
          <w:szCs w:val="20"/>
        </w:rPr>
        <w:t xml:space="preserve">, </w:t>
      </w:r>
      <w:r w:rsidRPr="00BD092F">
        <w:rPr>
          <w:sz w:val="20"/>
          <w:szCs w:val="20"/>
        </w:rPr>
        <w:t>s</w:t>
      </w:r>
      <w:r w:rsidRPr="009B1D60">
        <w:rPr>
          <w:sz w:val="20"/>
          <w:szCs w:val="20"/>
        </w:rPr>
        <w:t xml:space="preserve"> 18(1).</w:t>
      </w:r>
    </w:p>
    <w:p w14:paraId="2684DE49" w14:textId="70D63426" w:rsidR="0034630D" w:rsidRPr="009B1D60" w:rsidRDefault="0034630D" w:rsidP="0034630D">
      <w:pPr>
        <w:pStyle w:val="WSParaNum"/>
        <w:numPr>
          <w:ilvl w:val="0"/>
          <w:numId w:val="0"/>
        </w:numPr>
        <w:spacing w:before="0" w:after="0" w:line="240" w:lineRule="auto"/>
        <w:ind w:left="720"/>
        <w:rPr>
          <w:sz w:val="20"/>
          <w:szCs w:val="20"/>
        </w:rPr>
      </w:pPr>
      <w:r>
        <w:rPr>
          <w:i/>
          <w:iCs/>
          <w:sz w:val="20"/>
          <w:szCs w:val="20"/>
        </w:rPr>
        <w:t xml:space="preserve">Environmental Protection Act, </w:t>
      </w:r>
      <w:r>
        <w:rPr>
          <w:sz w:val="20"/>
          <w:szCs w:val="20"/>
        </w:rPr>
        <w:t>RSO 1990, c E.19, s 20.1.</w:t>
      </w:r>
    </w:p>
    <w:p w14:paraId="52506BF0" w14:textId="23E86E16" w:rsidR="0034630D" w:rsidRPr="00562AC6" w:rsidRDefault="0034630D" w:rsidP="00562AC6">
      <w:pPr>
        <w:pStyle w:val="Heading3"/>
      </w:pPr>
      <w:bookmarkStart w:id="19" w:name="_Toc220051343"/>
      <w:r w:rsidRPr="00562AC6">
        <w:t xml:space="preserve">Trial </w:t>
      </w:r>
      <w:r w:rsidR="008611ED">
        <w:t xml:space="preserve">Judges </w:t>
      </w:r>
      <w:r w:rsidRPr="00562AC6">
        <w:t>Have Discretion to Weigh Evidence</w:t>
      </w:r>
      <w:bookmarkEnd w:id="19"/>
      <w:r w:rsidRPr="00562AC6">
        <w:t xml:space="preserve"> </w:t>
      </w:r>
    </w:p>
    <w:p w14:paraId="7249B2B9" w14:textId="55FDC775" w:rsidR="0034630D" w:rsidRDefault="0034630D" w:rsidP="0034630D">
      <w:pPr>
        <w:pStyle w:val="WSParaNum"/>
        <w:spacing w:before="0" w:after="0"/>
      </w:pPr>
      <w:r>
        <w:t xml:space="preserve">Trial </w:t>
      </w:r>
      <w:r w:rsidR="008611ED">
        <w:t>j</w:t>
      </w:r>
      <w:r>
        <w:t>u</w:t>
      </w:r>
      <w:r w:rsidR="008611ED">
        <w:t>dges</w:t>
      </w:r>
      <w:r>
        <w:t xml:space="preserve"> have broad discretion to decide the weight to be given to evidence. Trial </w:t>
      </w:r>
      <w:r w:rsidR="008611ED">
        <w:t>judges</w:t>
      </w:r>
      <w:r>
        <w:t xml:space="preserve"> are afforded deference as they are “better situated to make factual findings owing to his or her extensive exposure to the evidence, the advantage of hearing testimony </w:t>
      </w:r>
      <w:r>
        <w:rPr>
          <w:i/>
          <w:iCs/>
        </w:rPr>
        <w:t xml:space="preserve">viva voce, </w:t>
      </w:r>
      <w:r>
        <w:t>and the judge’s familiarity with the case as a whole”</w:t>
      </w:r>
      <w:r w:rsidR="0007124A">
        <w:t>.</w:t>
      </w:r>
    </w:p>
    <w:p w14:paraId="105A4990" w14:textId="0E0A3E1C" w:rsidR="0034630D" w:rsidRDefault="0034630D" w:rsidP="0034630D">
      <w:pPr>
        <w:pStyle w:val="WSParaNum"/>
        <w:numPr>
          <w:ilvl w:val="0"/>
          <w:numId w:val="0"/>
        </w:numPr>
        <w:tabs>
          <w:tab w:val="left" w:pos="3969"/>
        </w:tabs>
        <w:spacing w:before="0" w:after="0" w:line="240" w:lineRule="auto"/>
        <w:ind w:left="720"/>
        <w:rPr>
          <w:sz w:val="20"/>
          <w:szCs w:val="20"/>
        </w:rPr>
      </w:pPr>
      <w:r w:rsidRPr="00495150">
        <w:rPr>
          <w:i/>
          <w:iCs/>
          <w:sz w:val="20"/>
          <w:szCs w:val="20"/>
        </w:rPr>
        <w:t>Housen</w:t>
      </w:r>
      <w:r>
        <w:rPr>
          <w:i/>
          <w:iCs/>
          <w:sz w:val="20"/>
          <w:szCs w:val="20"/>
        </w:rPr>
        <w:t>, supra</w:t>
      </w:r>
      <w:r w:rsidRPr="00495150">
        <w:rPr>
          <w:i/>
          <w:iCs/>
          <w:sz w:val="20"/>
          <w:szCs w:val="20"/>
        </w:rPr>
        <w:t xml:space="preserve"> </w:t>
      </w:r>
      <w:r>
        <w:rPr>
          <w:sz w:val="20"/>
          <w:szCs w:val="20"/>
        </w:rPr>
        <w:t xml:space="preserve">para </w:t>
      </w:r>
      <w:r w:rsidR="008611ED">
        <w:rPr>
          <w:sz w:val="20"/>
          <w:szCs w:val="20"/>
        </w:rPr>
        <w:t>1</w:t>
      </w:r>
      <w:r w:rsidR="006806CF">
        <w:rPr>
          <w:sz w:val="20"/>
          <w:szCs w:val="20"/>
        </w:rPr>
        <w:t>6</w:t>
      </w:r>
      <w:r>
        <w:rPr>
          <w:sz w:val="20"/>
          <w:szCs w:val="20"/>
        </w:rPr>
        <w:t xml:space="preserve"> </w:t>
      </w:r>
      <w:r w:rsidRPr="00495150">
        <w:rPr>
          <w:sz w:val="20"/>
          <w:szCs w:val="20"/>
        </w:rPr>
        <w:t>at para 18.</w:t>
      </w:r>
    </w:p>
    <w:p w14:paraId="72C4D16E" w14:textId="77777777" w:rsidR="0034630D" w:rsidRDefault="0034630D" w:rsidP="0034630D">
      <w:pPr>
        <w:pStyle w:val="WSParaNum"/>
        <w:numPr>
          <w:ilvl w:val="0"/>
          <w:numId w:val="0"/>
        </w:numPr>
        <w:tabs>
          <w:tab w:val="left" w:pos="3969"/>
        </w:tabs>
        <w:spacing w:before="0" w:after="0" w:line="240" w:lineRule="auto"/>
        <w:rPr>
          <w:sz w:val="20"/>
          <w:szCs w:val="20"/>
        </w:rPr>
      </w:pPr>
    </w:p>
    <w:p w14:paraId="03A36B0A" w14:textId="3B097314" w:rsidR="0034630D" w:rsidRDefault="0034630D" w:rsidP="0034630D">
      <w:pPr>
        <w:pStyle w:val="WSParaNum"/>
        <w:spacing w:before="0" w:after="0"/>
      </w:pPr>
      <w:r>
        <w:t xml:space="preserve">Appellate courts can only overturn factual findings of a </w:t>
      </w:r>
      <w:r w:rsidR="008611ED">
        <w:t>t</w:t>
      </w:r>
      <w:r>
        <w:t xml:space="preserve">rial </w:t>
      </w:r>
      <w:r w:rsidR="008611ED">
        <w:t>judge</w:t>
      </w:r>
      <w:r>
        <w:t xml:space="preserve"> if is there is a palpable and overriding error. This is a high standard to meet: the error must be “plainly seen” and be “determinative of the outcome of the case”. </w:t>
      </w:r>
    </w:p>
    <w:p w14:paraId="2F4E1EB3" w14:textId="494E5A07" w:rsidR="0034630D" w:rsidRPr="00A602F1" w:rsidRDefault="0034630D" w:rsidP="0034630D">
      <w:pPr>
        <w:pStyle w:val="WSParaNum"/>
        <w:numPr>
          <w:ilvl w:val="0"/>
          <w:numId w:val="0"/>
        </w:numPr>
        <w:spacing w:before="0" w:after="0" w:line="240" w:lineRule="auto"/>
        <w:ind w:left="720"/>
        <w:rPr>
          <w:sz w:val="20"/>
          <w:szCs w:val="20"/>
        </w:rPr>
      </w:pPr>
      <w:r>
        <w:rPr>
          <w:i/>
          <w:iCs/>
          <w:sz w:val="20"/>
          <w:szCs w:val="20"/>
        </w:rPr>
        <w:t xml:space="preserve">Housen, supra </w:t>
      </w:r>
      <w:r>
        <w:rPr>
          <w:sz w:val="20"/>
          <w:szCs w:val="20"/>
        </w:rPr>
        <w:t xml:space="preserve">para </w:t>
      </w:r>
      <w:r w:rsidR="008611ED">
        <w:rPr>
          <w:sz w:val="20"/>
          <w:szCs w:val="20"/>
        </w:rPr>
        <w:t>1</w:t>
      </w:r>
      <w:r w:rsidR="006806CF">
        <w:rPr>
          <w:sz w:val="20"/>
          <w:szCs w:val="20"/>
        </w:rPr>
        <w:t>6</w:t>
      </w:r>
      <w:r>
        <w:rPr>
          <w:sz w:val="20"/>
          <w:szCs w:val="20"/>
        </w:rPr>
        <w:t xml:space="preserve"> at para 6.</w:t>
      </w:r>
    </w:p>
    <w:p w14:paraId="62FC781D" w14:textId="6A9DA8E1" w:rsidR="0034630D" w:rsidRDefault="0034630D" w:rsidP="0034630D">
      <w:pPr>
        <w:pStyle w:val="WSParaNum"/>
        <w:numPr>
          <w:ilvl w:val="0"/>
          <w:numId w:val="0"/>
        </w:numPr>
        <w:spacing w:before="0" w:after="0" w:line="240" w:lineRule="auto"/>
        <w:ind w:left="720"/>
        <w:rPr>
          <w:sz w:val="20"/>
          <w:szCs w:val="20"/>
        </w:rPr>
      </w:pPr>
      <w:r w:rsidRPr="00D13DA0">
        <w:rPr>
          <w:i/>
          <w:iCs/>
          <w:sz w:val="20"/>
          <w:szCs w:val="20"/>
        </w:rPr>
        <w:t>Salomon</w:t>
      </w:r>
      <w:r w:rsidR="006806CF">
        <w:rPr>
          <w:i/>
          <w:iCs/>
          <w:sz w:val="20"/>
          <w:szCs w:val="20"/>
        </w:rPr>
        <w:t xml:space="preserve">, supra </w:t>
      </w:r>
      <w:r w:rsidR="006806CF">
        <w:rPr>
          <w:sz w:val="20"/>
          <w:szCs w:val="20"/>
        </w:rPr>
        <w:t>para 17</w:t>
      </w:r>
      <w:r w:rsidRPr="00D13DA0">
        <w:rPr>
          <w:i/>
          <w:iCs/>
          <w:sz w:val="20"/>
          <w:szCs w:val="20"/>
        </w:rPr>
        <w:t xml:space="preserve"> </w:t>
      </w:r>
      <w:r w:rsidRPr="00D13DA0">
        <w:rPr>
          <w:sz w:val="20"/>
          <w:szCs w:val="20"/>
        </w:rPr>
        <w:t>at para 33.</w:t>
      </w:r>
    </w:p>
    <w:p w14:paraId="0A98EE7E" w14:textId="77777777" w:rsidR="0034630D" w:rsidRDefault="0034630D" w:rsidP="0034630D">
      <w:pPr>
        <w:pStyle w:val="WSParaNum"/>
        <w:numPr>
          <w:ilvl w:val="0"/>
          <w:numId w:val="0"/>
        </w:numPr>
        <w:spacing w:before="0" w:after="0" w:line="240" w:lineRule="auto"/>
        <w:rPr>
          <w:sz w:val="20"/>
          <w:szCs w:val="20"/>
        </w:rPr>
      </w:pPr>
    </w:p>
    <w:p w14:paraId="28021837" w14:textId="25B26FB6" w:rsidR="0034630D" w:rsidRPr="009B1D60" w:rsidRDefault="0034630D" w:rsidP="0034630D">
      <w:pPr>
        <w:pStyle w:val="WSParaNum"/>
        <w:spacing w:before="0" w:after="0"/>
      </w:pPr>
      <w:r>
        <w:t xml:space="preserve">While a “difference of opinion over the weight to be assigned to underlying facts” generally does not constitute </w:t>
      </w:r>
      <w:r w:rsidR="008611ED">
        <w:t xml:space="preserve">a </w:t>
      </w:r>
      <w:r>
        <w:t xml:space="preserve">palpable and overriding error, if the </w:t>
      </w:r>
      <w:r w:rsidR="008611ED">
        <w:t>t</w:t>
      </w:r>
      <w:r>
        <w:t xml:space="preserve">rial </w:t>
      </w:r>
      <w:r w:rsidR="008611ED">
        <w:t xml:space="preserve">judge </w:t>
      </w:r>
      <w:r>
        <w:t xml:space="preserve">has “clearly misdirected” themselves on the facts, appellate courts may intervene. </w:t>
      </w:r>
    </w:p>
    <w:p w14:paraId="7367B18C" w14:textId="7D739944" w:rsidR="0034630D" w:rsidRPr="00F84CC8" w:rsidRDefault="0034630D" w:rsidP="0034630D">
      <w:pPr>
        <w:pStyle w:val="WSParaNum"/>
        <w:numPr>
          <w:ilvl w:val="0"/>
          <w:numId w:val="0"/>
        </w:numPr>
        <w:spacing w:before="0" w:after="0" w:line="240" w:lineRule="auto"/>
        <w:ind w:firstLine="720"/>
        <w:rPr>
          <w:sz w:val="20"/>
          <w:szCs w:val="20"/>
        </w:rPr>
      </w:pPr>
      <w:r w:rsidRPr="00F84CC8">
        <w:rPr>
          <w:i/>
          <w:iCs/>
          <w:sz w:val="20"/>
          <w:szCs w:val="20"/>
        </w:rPr>
        <w:t>Housen</w:t>
      </w:r>
      <w:r>
        <w:rPr>
          <w:i/>
          <w:iCs/>
          <w:sz w:val="20"/>
          <w:szCs w:val="20"/>
        </w:rPr>
        <w:t xml:space="preserve">, supra </w:t>
      </w:r>
      <w:r>
        <w:rPr>
          <w:sz w:val="20"/>
          <w:szCs w:val="20"/>
        </w:rPr>
        <w:t xml:space="preserve">para </w:t>
      </w:r>
      <w:r w:rsidR="008611ED">
        <w:rPr>
          <w:sz w:val="20"/>
          <w:szCs w:val="20"/>
        </w:rPr>
        <w:t>1</w:t>
      </w:r>
      <w:r w:rsidR="000E7D05">
        <w:rPr>
          <w:sz w:val="20"/>
          <w:szCs w:val="20"/>
        </w:rPr>
        <w:t>6</w:t>
      </w:r>
      <w:r w:rsidRPr="00F84CC8">
        <w:rPr>
          <w:i/>
          <w:iCs/>
          <w:sz w:val="20"/>
          <w:szCs w:val="20"/>
        </w:rPr>
        <w:t xml:space="preserve"> </w:t>
      </w:r>
      <w:r w:rsidRPr="00F84CC8">
        <w:rPr>
          <w:sz w:val="20"/>
          <w:szCs w:val="20"/>
        </w:rPr>
        <w:t>at para 23.</w:t>
      </w:r>
    </w:p>
    <w:p w14:paraId="3753A6EE" w14:textId="125296CA" w:rsidR="0034630D" w:rsidRPr="009B1D60" w:rsidRDefault="0034630D" w:rsidP="0034630D">
      <w:pPr>
        <w:pStyle w:val="WSParaNum"/>
        <w:numPr>
          <w:ilvl w:val="0"/>
          <w:numId w:val="0"/>
        </w:numPr>
        <w:spacing w:before="0" w:after="0" w:line="240" w:lineRule="auto"/>
        <w:ind w:left="720"/>
        <w:rPr>
          <w:sz w:val="20"/>
          <w:szCs w:val="20"/>
        </w:rPr>
      </w:pPr>
      <w:r w:rsidRPr="009B1D60">
        <w:rPr>
          <w:i/>
          <w:iCs/>
          <w:sz w:val="20"/>
          <w:szCs w:val="20"/>
        </w:rPr>
        <w:t>Fontaine</w:t>
      </w:r>
      <w:r>
        <w:rPr>
          <w:i/>
          <w:iCs/>
          <w:sz w:val="20"/>
          <w:szCs w:val="20"/>
        </w:rPr>
        <w:t xml:space="preserve">, supra </w:t>
      </w:r>
      <w:r>
        <w:rPr>
          <w:sz w:val="20"/>
          <w:szCs w:val="20"/>
        </w:rPr>
        <w:t>para</w:t>
      </w:r>
      <w:r w:rsidRPr="009B1D60">
        <w:rPr>
          <w:i/>
          <w:iCs/>
          <w:sz w:val="20"/>
          <w:szCs w:val="20"/>
        </w:rPr>
        <w:t xml:space="preserve"> </w:t>
      </w:r>
      <w:r w:rsidR="008611ED">
        <w:rPr>
          <w:sz w:val="20"/>
          <w:szCs w:val="20"/>
        </w:rPr>
        <w:t>2</w:t>
      </w:r>
      <w:r w:rsidR="000A768A">
        <w:rPr>
          <w:sz w:val="20"/>
          <w:szCs w:val="20"/>
        </w:rPr>
        <w:t>7</w:t>
      </w:r>
      <w:r>
        <w:rPr>
          <w:sz w:val="20"/>
          <w:szCs w:val="20"/>
        </w:rPr>
        <w:t xml:space="preserve"> </w:t>
      </w:r>
      <w:r w:rsidRPr="009B1D60">
        <w:rPr>
          <w:sz w:val="20"/>
          <w:szCs w:val="20"/>
        </w:rPr>
        <w:t>at para 36.</w:t>
      </w:r>
    </w:p>
    <w:p w14:paraId="1F37C8DC" w14:textId="77777777" w:rsidR="0034630D" w:rsidRPr="00562AC6" w:rsidRDefault="0034630D" w:rsidP="00562AC6">
      <w:pPr>
        <w:pStyle w:val="Heading3"/>
      </w:pPr>
      <w:bookmarkStart w:id="20" w:name="_Toc220051344"/>
      <w:r w:rsidRPr="00562AC6">
        <w:t>The Trial Justice’s Reliance on the GHD was a Palpable and Overriding Error</w:t>
      </w:r>
      <w:bookmarkEnd w:id="20"/>
    </w:p>
    <w:p w14:paraId="3A2175F1" w14:textId="77777777" w:rsidR="0034630D" w:rsidRDefault="0034630D" w:rsidP="0034630D">
      <w:pPr>
        <w:pStyle w:val="WSParaNum"/>
        <w:spacing w:before="0" w:after="0"/>
      </w:pPr>
      <w:r>
        <w:t>There is no issue with the Trial Justice relying on the GHD as a piece of evidence. However,</w:t>
      </w:r>
      <w:r w:rsidRPr="00882F52">
        <w:t xml:space="preserve"> </w:t>
      </w:r>
      <w:r>
        <w:t>the extent to which the Trial Justice relied on it to conclude that the Site was Blanding’s Turtle habitat amounted to an error of fact. The ONCJ therefore correctly found that the Trial Justice erred in “[relying] heavily on the GHD”.</w:t>
      </w:r>
    </w:p>
    <w:p w14:paraId="30B6661C" w14:textId="7EDCC889" w:rsidR="0034630D" w:rsidRPr="001A12A1" w:rsidRDefault="0034630D" w:rsidP="0034630D">
      <w:pPr>
        <w:pStyle w:val="WSParaNum"/>
        <w:numPr>
          <w:ilvl w:val="0"/>
          <w:numId w:val="0"/>
        </w:numPr>
        <w:spacing w:before="0" w:after="0" w:line="240" w:lineRule="auto"/>
        <w:ind w:firstLine="720"/>
        <w:rPr>
          <w:sz w:val="20"/>
          <w:szCs w:val="20"/>
        </w:rPr>
      </w:pPr>
      <w:r>
        <w:rPr>
          <w:i/>
          <w:iCs/>
          <w:sz w:val="20"/>
          <w:szCs w:val="20"/>
        </w:rPr>
        <w:t>ONCJ Reasons</w:t>
      </w:r>
      <w:r w:rsidR="008611ED">
        <w:rPr>
          <w:sz w:val="20"/>
          <w:szCs w:val="20"/>
        </w:rPr>
        <w:t xml:space="preserve">, </w:t>
      </w:r>
      <w:r w:rsidR="008611ED">
        <w:rPr>
          <w:i/>
          <w:iCs/>
          <w:sz w:val="20"/>
          <w:szCs w:val="20"/>
        </w:rPr>
        <w:t xml:space="preserve">supra </w:t>
      </w:r>
      <w:r w:rsidR="008611ED">
        <w:rPr>
          <w:sz w:val="20"/>
          <w:szCs w:val="20"/>
        </w:rPr>
        <w:t>para 8</w:t>
      </w:r>
      <w:r>
        <w:rPr>
          <w:i/>
          <w:iCs/>
          <w:sz w:val="20"/>
          <w:szCs w:val="20"/>
        </w:rPr>
        <w:t xml:space="preserve"> </w:t>
      </w:r>
      <w:r>
        <w:rPr>
          <w:sz w:val="20"/>
          <w:szCs w:val="20"/>
        </w:rPr>
        <w:t>at 10.</w:t>
      </w:r>
    </w:p>
    <w:p w14:paraId="6078058E" w14:textId="77777777" w:rsidR="0034630D" w:rsidRPr="0038295D" w:rsidRDefault="0034630D" w:rsidP="0034630D">
      <w:pPr>
        <w:pStyle w:val="WSParaNum"/>
        <w:numPr>
          <w:ilvl w:val="0"/>
          <w:numId w:val="0"/>
        </w:numPr>
        <w:spacing w:before="0" w:after="0" w:line="240" w:lineRule="auto"/>
        <w:rPr>
          <w:sz w:val="20"/>
          <w:szCs w:val="20"/>
        </w:rPr>
      </w:pPr>
    </w:p>
    <w:p w14:paraId="7779FA11" w14:textId="17093F3A" w:rsidR="0034630D" w:rsidRDefault="0034630D" w:rsidP="0034630D">
      <w:pPr>
        <w:pStyle w:val="WSParaNum"/>
        <w:spacing w:before="0" w:after="0"/>
      </w:pPr>
      <w:r>
        <w:lastRenderedPageBreak/>
        <w:t xml:space="preserve">Non-legal instruments or documents may “validly influence a decision-maker’s conduct”, but they cannot be </w:t>
      </w:r>
      <w:r w:rsidR="004C6803">
        <w:t>“</w:t>
      </w:r>
      <w:r>
        <w:t>determinative</w:t>
      </w:r>
      <w:r w:rsidR="004C6803">
        <w:t>”</w:t>
      </w:r>
      <w:r>
        <w:t xml:space="preserve"> in a case.</w:t>
      </w:r>
      <w:r w:rsidRPr="00656FFC">
        <w:t xml:space="preserve"> </w:t>
      </w:r>
      <w:r>
        <w:t>Binding instruments should “necessarily carry more weight” than non-binding instruments or documents.</w:t>
      </w:r>
    </w:p>
    <w:p w14:paraId="1D7B4415" w14:textId="5CB78ED8" w:rsidR="0034630D" w:rsidRPr="00B73A11" w:rsidRDefault="0034630D" w:rsidP="008611ED">
      <w:pPr>
        <w:pStyle w:val="WSParaNum"/>
        <w:numPr>
          <w:ilvl w:val="0"/>
          <w:numId w:val="0"/>
        </w:numPr>
        <w:spacing w:before="0" w:after="0" w:line="240" w:lineRule="auto"/>
        <w:ind w:left="720"/>
        <w:rPr>
          <w:sz w:val="20"/>
          <w:szCs w:val="20"/>
        </w:rPr>
      </w:pPr>
      <w:r w:rsidRPr="00B73A11">
        <w:rPr>
          <w:i/>
          <w:iCs/>
          <w:sz w:val="20"/>
          <w:szCs w:val="20"/>
        </w:rPr>
        <w:t>Thamotharem v Canada (Minister of Citizenship and Immigration)</w:t>
      </w:r>
      <w:r w:rsidRPr="00BA1664">
        <w:rPr>
          <w:sz w:val="20"/>
          <w:szCs w:val="20"/>
        </w:rPr>
        <w:t>,</w:t>
      </w:r>
      <w:r w:rsidRPr="00B73A11">
        <w:rPr>
          <w:sz w:val="20"/>
          <w:szCs w:val="20"/>
        </w:rPr>
        <w:t xml:space="preserve"> 2007 FCA 198 at para 59</w:t>
      </w:r>
      <w:r w:rsidR="00F1643D">
        <w:rPr>
          <w:sz w:val="20"/>
          <w:szCs w:val="20"/>
        </w:rPr>
        <w:t>.</w:t>
      </w:r>
    </w:p>
    <w:p w14:paraId="1CEF8E4E" w14:textId="4ECADDB6" w:rsidR="0034630D" w:rsidRDefault="0034630D" w:rsidP="0034630D">
      <w:pPr>
        <w:pStyle w:val="WSParaNum"/>
        <w:numPr>
          <w:ilvl w:val="0"/>
          <w:numId w:val="0"/>
        </w:numPr>
        <w:spacing w:before="0" w:after="0" w:line="240" w:lineRule="auto"/>
        <w:ind w:left="720"/>
        <w:rPr>
          <w:sz w:val="20"/>
          <w:szCs w:val="20"/>
        </w:rPr>
      </w:pPr>
      <w:r w:rsidRPr="009D097E">
        <w:rPr>
          <w:i/>
          <w:iCs/>
          <w:sz w:val="20"/>
          <w:szCs w:val="20"/>
        </w:rPr>
        <w:t>Quebec AG 2020</w:t>
      </w:r>
      <w:r w:rsidRPr="00BA1664">
        <w:rPr>
          <w:sz w:val="20"/>
          <w:szCs w:val="20"/>
        </w:rPr>
        <w:t>,</w:t>
      </w:r>
      <w:r>
        <w:rPr>
          <w:i/>
          <w:iCs/>
          <w:sz w:val="20"/>
          <w:szCs w:val="20"/>
        </w:rPr>
        <w:t xml:space="preserve"> supra </w:t>
      </w:r>
      <w:r>
        <w:rPr>
          <w:sz w:val="20"/>
          <w:szCs w:val="20"/>
        </w:rPr>
        <w:t>para</w:t>
      </w:r>
      <w:r w:rsidR="008611ED">
        <w:rPr>
          <w:i/>
          <w:iCs/>
          <w:sz w:val="20"/>
          <w:szCs w:val="20"/>
        </w:rPr>
        <w:t xml:space="preserve"> </w:t>
      </w:r>
      <w:r w:rsidR="000A768A">
        <w:rPr>
          <w:sz w:val="20"/>
          <w:szCs w:val="20"/>
        </w:rPr>
        <w:t>46</w:t>
      </w:r>
      <w:r>
        <w:rPr>
          <w:i/>
          <w:iCs/>
          <w:sz w:val="20"/>
          <w:szCs w:val="20"/>
        </w:rPr>
        <w:t xml:space="preserve"> </w:t>
      </w:r>
      <w:r w:rsidRPr="00B73A11">
        <w:rPr>
          <w:sz w:val="20"/>
          <w:szCs w:val="20"/>
        </w:rPr>
        <w:t>at para</w:t>
      </w:r>
      <w:r>
        <w:rPr>
          <w:sz w:val="20"/>
          <w:szCs w:val="20"/>
        </w:rPr>
        <w:t xml:space="preserve">s </w:t>
      </w:r>
      <w:r w:rsidRPr="00B73A11">
        <w:rPr>
          <w:sz w:val="20"/>
          <w:szCs w:val="20"/>
        </w:rPr>
        <w:t xml:space="preserve">35, </w:t>
      </w:r>
      <w:r>
        <w:rPr>
          <w:sz w:val="20"/>
          <w:szCs w:val="20"/>
        </w:rPr>
        <w:t>38.</w:t>
      </w:r>
    </w:p>
    <w:p w14:paraId="2D33146A" w14:textId="77777777" w:rsidR="0034630D" w:rsidRDefault="0034630D" w:rsidP="0034630D">
      <w:pPr>
        <w:pStyle w:val="WSParaNum"/>
        <w:numPr>
          <w:ilvl w:val="0"/>
          <w:numId w:val="0"/>
        </w:numPr>
        <w:spacing w:before="0" w:after="0" w:line="240" w:lineRule="auto"/>
        <w:ind w:left="720"/>
        <w:rPr>
          <w:sz w:val="20"/>
          <w:szCs w:val="20"/>
        </w:rPr>
      </w:pPr>
    </w:p>
    <w:p w14:paraId="1BA2E454" w14:textId="07E7F10F" w:rsidR="0034630D" w:rsidRDefault="0034630D" w:rsidP="0034630D">
      <w:pPr>
        <w:pStyle w:val="WSParaNum"/>
        <w:spacing w:before="0" w:after="0"/>
      </w:pPr>
      <w:r>
        <w:t xml:space="preserve">The GHD was </w:t>
      </w:r>
      <w:r w:rsidR="000E7D05">
        <w:t>the</w:t>
      </w:r>
      <w:r>
        <w:t xml:space="preserve"> primary piece of evidence relied on by the Trial Justice to conclude the Site was Blanding’s Turtle habitat. The main witness who supported this was Mr. Snell, who also relied on the GHD in </w:t>
      </w:r>
      <w:r w:rsidR="009A6A55">
        <w:t>forming his expert opinion</w:t>
      </w:r>
      <w:r>
        <w:t xml:space="preserve">. The only other evidence </w:t>
      </w:r>
      <w:r w:rsidR="004C6803">
        <w:t>corroborating</w:t>
      </w:r>
      <w:r>
        <w:t xml:space="preserve"> this conclusion were sightings before and after the </w:t>
      </w:r>
      <w:r w:rsidR="009A6A55">
        <w:t>offence date</w:t>
      </w:r>
      <w:r>
        <w:t>, and statements by</w:t>
      </w:r>
      <w:r w:rsidR="004C6803">
        <w:t xml:space="preserve"> the</w:t>
      </w:r>
      <w:r>
        <w:t xml:space="preserve"> MNRF of the “possibility” that the area was Blanding’s Turtle habitat.  </w:t>
      </w:r>
    </w:p>
    <w:p w14:paraId="531E185F" w14:textId="4E8DA711" w:rsidR="0034630D" w:rsidRPr="009B1D60" w:rsidRDefault="001B4B84" w:rsidP="0034630D">
      <w:pPr>
        <w:pStyle w:val="WSParaNum"/>
        <w:numPr>
          <w:ilvl w:val="0"/>
          <w:numId w:val="0"/>
        </w:numPr>
        <w:spacing w:before="0" w:after="0" w:line="240" w:lineRule="auto"/>
        <w:ind w:firstLine="720"/>
        <w:rPr>
          <w:sz w:val="20"/>
          <w:szCs w:val="20"/>
        </w:rPr>
      </w:pPr>
      <w:r>
        <w:rPr>
          <w:i/>
          <w:iCs/>
          <w:sz w:val="20"/>
          <w:szCs w:val="20"/>
        </w:rPr>
        <w:t>ONCJ</w:t>
      </w:r>
      <w:r w:rsidR="0034630D" w:rsidRPr="000308BF">
        <w:rPr>
          <w:i/>
          <w:iCs/>
          <w:sz w:val="20"/>
          <w:szCs w:val="20"/>
        </w:rPr>
        <w:t xml:space="preserve"> Reasons</w:t>
      </w:r>
      <w:r w:rsidR="0034630D">
        <w:rPr>
          <w:sz w:val="20"/>
          <w:szCs w:val="20"/>
        </w:rPr>
        <w:t xml:space="preserve">, </w:t>
      </w:r>
      <w:r w:rsidR="0034630D">
        <w:rPr>
          <w:i/>
          <w:iCs/>
          <w:sz w:val="20"/>
          <w:szCs w:val="20"/>
        </w:rPr>
        <w:t xml:space="preserve">supra </w:t>
      </w:r>
      <w:r w:rsidR="0034630D">
        <w:rPr>
          <w:sz w:val="20"/>
          <w:szCs w:val="20"/>
        </w:rPr>
        <w:t xml:space="preserve">para </w:t>
      </w:r>
      <w:r w:rsidR="004C6803">
        <w:rPr>
          <w:sz w:val="20"/>
          <w:szCs w:val="20"/>
        </w:rPr>
        <w:t>8</w:t>
      </w:r>
      <w:r w:rsidR="0034630D">
        <w:rPr>
          <w:sz w:val="20"/>
          <w:szCs w:val="20"/>
        </w:rPr>
        <w:t xml:space="preserve"> </w:t>
      </w:r>
      <w:r w:rsidR="0034630D" w:rsidRPr="009B1D60">
        <w:rPr>
          <w:sz w:val="20"/>
          <w:szCs w:val="20"/>
        </w:rPr>
        <w:t xml:space="preserve">at </w:t>
      </w:r>
      <w:r w:rsidR="0034630D">
        <w:rPr>
          <w:sz w:val="20"/>
          <w:szCs w:val="20"/>
        </w:rPr>
        <w:t>1</w:t>
      </w:r>
      <w:r w:rsidR="0034630D" w:rsidRPr="009B1D60">
        <w:rPr>
          <w:sz w:val="20"/>
          <w:szCs w:val="20"/>
        </w:rPr>
        <w:t>1</w:t>
      </w:r>
      <w:r w:rsidR="0034630D">
        <w:rPr>
          <w:sz w:val="20"/>
          <w:szCs w:val="20"/>
        </w:rPr>
        <w:t>–1</w:t>
      </w:r>
      <w:r w:rsidR="0034630D" w:rsidRPr="009B1D60">
        <w:rPr>
          <w:sz w:val="20"/>
          <w:szCs w:val="20"/>
        </w:rPr>
        <w:t xml:space="preserve">2, </w:t>
      </w:r>
      <w:r w:rsidR="0034630D">
        <w:rPr>
          <w:sz w:val="20"/>
          <w:szCs w:val="20"/>
        </w:rPr>
        <w:t>1</w:t>
      </w:r>
      <w:r w:rsidR="0034630D" w:rsidRPr="009B1D60">
        <w:rPr>
          <w:sz w:val="20"/>
          <w:szCs w:val="20"/>
        </w:rPr>
        <w:t>5.</w:t>
      </w:r>
    </w:p>
    <w:p w14:paraId="4499D4A5" w14:textId="7E54F5BD" w:rsidR="0034630D" w:rsidRDefault="004C6803" w:rsidP="0034630D">
      <w:pPr>
        <w:pStyle w:val="WSParaNum"/>
        <w:numPr>
          <w:ilvl w:val="0"/>
          <w:numId w:val="0"/>
        </w:numPr>
        <w:spacing w:before="0" w:after="0" w:line="240" w:lineRule="auto"/>
        <w:ind w:left="720"/>
        <w:rPr>
          <w:sz w:val="20"/>
          <w:szCs w:val="20"/>
        </w:rPr>
      </w:pPr>
      <w:r>
        <w:rPr>
          <w:i/>
          <w:iCs/>
          <w:sz w:val="20"/>
          <w:szCs w:val="20"/>
        </w:rPr>
        <w:t>Trial Reasons</w:t>
      </w:r>
      <w:r>
        <w:rPr>
          <w:sz w:val="20"/>
          <w:szCs w:val="20"/>
        </w:rPr>
        <w:t xml:space="preserve">, </w:t>
      </w:r>
      <w:r>
        <w:rPr>
          <w:i/>
          <w:iCs/>
          <w:sz w:val="20"/>
          <w:szCs w:val="20"/>
        </w:rPr>
        <w:t xml:space="preserve">supra </w:t>
      </w:r>
      <w:r>
        <w:rPr>
          <w:sz w:val="20"/>
          <w:szCs w:val="20"/>
        </w:rPr>
        <w:t xml:space="preserve">para 7 </w:t>
      </w:r>
      <w:r w:rsidR="0034630D">
        <w:rPr>
          <w:sz w:val="20"/>
          <w:szCs w:val="20"/>
        </w:rPr>
        <w:t>at 8.</w:t>
      </w:r>
    </w:p>
    <w:p w14:paraId="5C7F9981" w14:textId="77777777" w:rsidR="0034630D" w:rsidRPr="009B1D60" w:rsidRDefault="0034630D" w:rsidP="0034630D">
      <w:pPr>
        <w:pStyle w:val="WSParaNum"/>
        <w:numPr>
          <w:ilvl w:val="0"/>
          <w:numId w:val="0"/>
        </w:numPr>
        <w:spacing w:before="0" w:after="0" w:line="240" w:lineRule="auto"/>
        <w:rPr>
          <w:sz w:val="20"/>
          <w:szCs w:val="20"/>
        </w:rPr>
      </w:pPr>
    </w:p>
    <w:p w14:paraId="2630C25B" w14:textId="32F7D287" w:rsidR="0034630D" w:rsidRDefault="0034630D" w:rsidP="0034630D">
      <w:pPr>
        <w:pStyle w:val="WSParaNum"/>
        <w:spacing w:before="0" w:after="0"/>
      </w:pPr>
      <w:r>
        <w:t xml:space="preserve">Without the GHD, it is unlikely that the Trial Justice would have concluded beyond a reasonable doubt that the Site was Blanding’s Turtle habitat within the </w:t>
      </w:r>
      <w:r>
        <w:rPr>
          <w:i/>
          <w:iCs/>
        </w:rPr>
        <w:t xml:space="preserve">ESA </w:t>
      </w:r>
      <w:r>
        <w:t>definition. In this sense, the Trial Justice’s reliance on the GHD</w:t>
      </w:r>
      <w:r w:rsidR="000E7D05">
        <w:t>, a non-legal document,</w:t>
      </w:r>
      <w:r>
        <w:t xml:space="preserve"> was “determinative” of the case. Furthermore, it</w:t>
      </w:r>
      <w:r w:rsidRPr="009B1D60">
        <w:t xml:space="preserve"> “amount[</w:t>
      </w:r>
      <w:r>
        <w:t>ed</w:t>
      </w:r>
      <w:r w:rsidRPr="009B1D60">
        <w:t>] to an injustice”</w:t>
      </w:r>
      <w:r>
        <w:t xml:space="preserve"> </w:t>
      </w:r>
      <w:r w:rsidR="004C6803">
        <w:t>(</w:t>
      </w:r>
      <w:r>
        <w:t>i.e.</w:t>
      </w:r>
      <w:r w:rsidR="004C6803">
        <w:t>,</w:t>
      </w:r>
      <w:r>
        <w:t xml:space="preserve"> the wrongful conviction of CHL</w:t>
      </w:r>
      <w:r w:rsidR="004C6803">
        <w:t>)</w:t>
      </w:r>
      <w:r>
        <w:t xml:space="preserve"> as it was not strongly supported by other evidence. It</w:t>
      </w:r>
      <w:r w:rsidRPr="009B1D60">
        <w:t xml:space="preserve"> </w:t>
      </w:r>
      <w:r>
        <w:t>thus amounts to a</w:t>
      </w:r>
      <w:r w:rsidRPr="009B1D60">
        <w:t xml:space="preserve"> palpable and overriding error.</w:t>
      </w:r>
    </w:p>
    <w:p w14:paraId="379CE464" w14:textId="3A898188" w:rsidR="0034630D" w:rsidRDefault="0034630D" w:rsidP="0034630D">
      <w:pPr>
        <w:pStyle w:val="WSParaNum"/>
        <w:numPr>
          <w:ilvl w:val="0"/>
          <w:numId w:val="0"/>
        </w:numPr>
        <w:spacing w:before="0" w:after="0" w:line="240" w:lineRule="auto"/>
        <w:ind w:firstLine="720"/>
        <w:rPr>
          <w:i/>
          <w:iCs/>
          <w:sz w:val="20"/>
          <w:szCs w:val="20"/>
        </w:rPr>
      </w:pPr>
      <w:r w:rsidRPr="009D097E">
        <w:rPr>
          <w:i/>
          <w:iCs/>
          <w:sz w:val="20"/>
          <w:szCs w:val="20"/>
        </w:rPr>
        <w:t>Quebec AG 2020</w:t>
      </w:r>
      <w:r w:rsidRPr="00BA1664">
        <w:rPr>
          <w:i/>
          <w:iCs/>
          <w:sz w:val="20"/>
          <w:szCs w:val="20"/>
        </w:rPr>
        <w:t>,</w:t>
      </w:r>
      <w:r>
        <w:rPr>
          <w:i/>
          <w:iCs/>
          <w:sz w:val="20"/>
          <w:szCs w:val="20"/>
        </w:rPr>
        <w:t xml:space="preserve"> supra </w:t>
      </w:r>
      <w:r>
        <w:rPr>
          <w:sz w:val="20"/>
          <w:szCs w:val="20"/>
        </w:rPr>
        <w:t xml:space="preserve">para </w:t>
      </w:r>
      <w:r w:rsidR="004C6803">
        <w:rPr>
          <w:sz w:val="20"/>
          <w:szCs w:val="20"/>
        </w:rPr>
        <w:t>3</w:t>
      </w:r>
      <w:r w:rsidR="000A768A">
        <w:rPr>
          <w:sz w:val="20"/>
          <w:szCs w:val="20"/>
        </w:rPr>
        <w:t>8</w:t>
      </w:r>
      <w:r>
        <w:rPr>
          <w:i/>
          <w:iCs/>
          <w:sz w:val="20"/>
          <w:szCs w:val="20"/>
        </w:rPr>
        <w:t xml:space="preserve"> </w:t>
      </w:r>
      <w:r w:rsidRPr="00B73A11">
        <w:rPr>
          <w:sz w:val="20"/>
          <w:szCs w:val="20"/>
        </w:rPr>
        <w:t>at para</w:t>
      </w:r>
      <w:r>
        <w:rPr>
          <w:sz w:val="20"/>
          <w:szCs w:val="20"/>
        </w:rPr>
        <w:t xml:space="preserve"> </w:t>
      </w:r>
      <w:r w:rsidRPr="00B73A11">
        <w:rPr>
          <w:sz w:val="20"/>
          <w:szCs w:val="20"/>
        </w:rPr>
        <w:t>35</w:t>
      </w:r>
      <w:r>
        <w:rPr>
          <w:sz w:val="20"/>
          <w:szCs w:val="20"/>
        </w:rPr>
        <w:t>.</w:t>
      </w:r>
    </w:p>
    <w:p w14:paraId="2648E349" w14:textId="7586F160" w:rsidR="0034630D" w:rsidRPr="0034630D" w:rsidRDefault="0034630D" w:rsidP="0034630D">
      <w:pPr>
        <w:pStyle w:val="WSParaNum"/>
        <w:numPr>
          <w:ilvl w:val="0"/>
          <w:numId w:val="0"/>
        </w:numPr>
        <w:spacing w:before="0" w:after="0" w:line="240" w:lineRule="auto"/>
        <w:ind w:firstLine="720"/>
        <w:rPr>
          <w:sz w:val="20"/>
          <w:szCs w:val="20"/>
        </w:rPr>
      </w:pPr>
      <w:r>
        <w:rPr>
          <w:i/>
          <w:iCs/>
          <w:sz w:val="20"/>
          <w:szCs w:val="20"/>
        </w:rPr>
        <w:t>Fontaine</w:t>
      </w:r>
      <w:r w:rsidRPr="00BA1664">
        <w:rPr>
          <w:sz w:val="20"/>
          <w:szCs w:val="20"/>
        </w:rPr>
        <w:t>,</w:t>
      </w:r>
      <w:r>
        <w:rPr>
          <w:i/>
          <w:iCs/>
          <w:sz w:val="20"/>
          <w:szCs w:val="20"/>
        </w:rPr>
        <w:t xml:space="preserve"> supra </w:t>
      </w:r>
      <w:r>
        <w:rPr>
          <w:sz w:val="20"/>
          <w:szCs w:val="20"/>
        </w:rPr>
        <w:t>para</w:t>
      </w:r>
      <w:r w:rsidRPr="0038295D">
        <w:rPr>
          <w:sz w:val="20"/>
          <w:szCs w:val="20"/>
        </w:rPr>
        <w:t xml:space="preserve"> </w:t>
      </w:r>
      <w:r w:rsidR="004C6803">
        <w:rPr>
          <w:sz w:val="20"/>
          <w:szCs w:val="20"/>
        </w:rPr>
        <w:t>2</w:t>
      </w:r>
      <w:r w:rsidR="000A768A">
        <w:rPr>
          <w:sz w:val="20"/>
          <w:szCs w:val="20"/>
        </w:rPr>
        <w:t>7</w:t>
      </w:r>
      <w:r>
        <w:rPr>
          <w:sz w:val="20"/>
          <w:szCs w:val="20"/>
        </w:rPr>
        <w:t xml:space="preserve"> </w:t>
      </w:r>
      <w:r w:rsidRPr="0038295D">
        <w:rPr>
          <w:sz w:val="20"/>
          <w:szCs w:val="20"/>
        </w:rPr>
        <w:t>at para 36.</w:t>
      </w:r>
    </w:p>
    <w:p w14:paraId="302777BB" w14:textId="665B7E14" w:rsidR="006F0F0C" w:rsidRPr="00562AC6" w:rsidRDefault="006F0F0C" w:rsidP="00562AC6">
      <w:pPr>
        <w:pStyle w:val="Heading2"/>
      </w:pPr>
      <w:bookmarkStart w:id="21" w:name="_Toc220051345"/>
      <w:r w:rsidRPr="00562AC6">
        <w:t xml:space="preserve">Issue 3: The </w:t>
      </w:r>
      <w:r w:rsidR="001B4B84" w:rsidRPr="00562AC6">
        <w:t>ONCJ</w:t>
      </w:r>
      <w:r w:rsidRPr="00562AC6">
        <w:t xml:space="preserve"> Did Not Fail to Consider that the Statutory Definition of Habitat Includes Areas on Which a Species Indirectly Depends to Carry Out Life Processes</w:t>
      </w:r>
      <w:bookmarkEnd w:id="21"/>
      <w:r w:rsidRPr="00562AC6">
        <w:t xml:space="preserve"> </w:t>
      </w:r>
    </w:p>
    <w:p w14:paraId="22D43183" w14:textId="426A3839" w:rsidR="006F0F0C" w:rsidRPr="00562AC6" w:rsidRDefault="000B3D13" w:rsidP="00562AC6">
      <w:pPr>
        <w:pStyle w:val="Heading3"/>
      </w:pPr>
      <w:bookmarkStart w:id="22" w:name="_Toc220051346"/>
      <w:r w:rsidRPr="00562AC6">
        <w:t>To</w:t>
      </w:r>
      <w:r w:rsidR="006F0F0C" w:rsidRPr="00562AC6">
        <w:t xml:space="preserve"> Constitute Habitat Under the </w:t>
      </w:r>
      <w:r w:rsidR="006F0F0C" w:rsidRPr="00562AC6">
        <w:rPr>
          <w:i/>
          <w:iCs/>
        </w:rPr>
        <w:t>ESA</w:t>
      </w:r>
      <w:r w:rsidRPr="00562AC6">
        <w:t xml:space="preserve">, an Area Used By the Species Must Be Essential </w:t>
      </w:r>
      <w:r w:rsidR="00F67204">
        <w:t>t</w:t>
      </w:r>
      <w:r w:rsidRPr="00562AC6">
        <w:t>o Its Life Processes</w:t>
      </w:r>
      <w:bookmarkEnd w:id="22"/>
    </w:p>
    <w:p w14:paraId="727B91E3" w14:textId="7FFBC0D0" w:rsidR="006F0F0C" w:rsidRDefault="006F0F0C" w:rsidP="00981D2F">
      <w:pPr>
        <w:pStyle w:val="WSParaNum"/>
        <w:spacing w:before="0" w:after="0"/>
      </w:pPr>
      <w:r>
        <w:t xml:space="preserve">Section 2(1)(b) of the </w:t>
      </w:r>
      <w:r>
        <w:rPr>
          <w:i/>
          <w:iCs/>
        </w:rPr>
        <w:t>ESA</w:t>
      </w:r>
      <w:r>
        <w:t xml:space="preserve"> defines habitat as including “</w:t>
      </w:r>
      <w:r w:rsidRPr="00771EAC">
        <w:t>an area on which the species depends, directly or indirectly, to carry on its life processes</w:t>
      </w:r>
      <w:r>
        <w:t xml:space="preserve">, including life </w:t>
      </w:r>
      <w:r w:rsidRPr="00771EAC">
        <w:t>processes such as reproduction, rearing, hibernation, migration or feeding</w:t>
      </w:r>
      <w:r>
        <w:t>”. However, s</w:t>
      </w:r>
      <w:r w:rsidRPr="003132FF">
        <w:t xml:space="preserve">ection 2(2) of the </w:t>
      </w:r>
      <w:r w:rsidRPr="003132FF">
        <w:rPr>
          <w:i/>
          <w:iCs/>
        </w:rPr>
        <w:t>ESA</w:t>
      </w:r>
      <w:r w:rsidRPr="003132FF">
        <w:t xml:space="preserve"> excludes areas where a “species has form</w:t>
      </w:r>
      <w:r w:rsidR="00FA64D1">
        <w:t>erly</w:t>
      </w:r>
      <w:r w:rsidRPr="003132FF">
        <w:t xml:space="preserve"> occurred or has the potential to be introduced </w:t>
      </w:r>
      <w:r w:rsidRPr="0051423C">
        <w:t>unless existing members of the species depend on the area to carry on their life processes</w:t>
      </w:r>
      <w:r>
        <w:t xml:space="preserve">”.  </w:t>
      </w:r>
    </w:p>
    <w:p w14:paraId="29411A3A" w14:textId="0F7EC212" w:rsidR="00BD092F" w:rsidRDefault="00BD092F" w:rsidP="00BD092F">
      <w:pPr>
        <w:pStyle w:val="WSParaNum"/>
        <w:numPr>
          <w:ilvl w:val="0"/>
          <w:numId w:val="0"/>
        </w:numPr>
        <w:spacing w:before="0" w:after="0" w:line="240" w:lineRule="auto"/>
        <w:ind w:left="720"/>
        <w:rPr>
          <w:sz w:val="20"/>
          <w:szCs w:val="20"/>
        </w:rPr>
      </w:pPr>
      <w:r w:rsidRPr="00BD092F">
        <w:rPr>
          <w:i/>
          <w:iCs/>
          <w:sz w:val="20"/>
          <w:szCs w:val="20"/>
        </w:rPr>
        <w:t>ESA</w:t>
      </w:r>
      <w:r w:rsidRPr="00BD092F">
        <w:rPr>
          <w:sz w:val="20"/>
          <w:szCs w:val="20"/>
        </w:rPr>
        <w:t xml:space="preserve">, </w:t>
      </w:r>
      <w:r w:rsidRPr="00BD092F">
        <w:rPr>
          <w:i/>
          <w:iCs/>
          <w:sz w:val="20"/>
          <w:szCs w:val="20"/>
        </w:rPr>
        <w:t xml:space="preserve">supra </w:t>
      </w:r>
      <w:r w:rsidRPr="00BD092F">
        <w:rPr>
          <w:sz w:val="20"/>
          <w:szCs w:val="20"/>
        </w:rPr>
        <w:t xml:space="preserve">para </w:t>
      </w:r>
      <w:r w:rsidR="004C6803">
        <w:rPr>
          <w:sz w:val="20"/>
          <w:szCs w:val="20"/>
        </w:rPr>
        <w:t>1</w:t>
      </w:r>
      <w:r w:rsidRPr="00BD092F">
        <w:rPr>
          <w:sz w:val="20"/>
          <w:szCs w:val="20"/>
        </w:rPr>
        <w:t>, ss 2(1)(b), 2(2).</w:t>
      </w:r>
    </w:p>
    <w:p w14:paraId="0B8DD8D0" w14:textId="77777777" w:rsidR="00BD092F" w:rsidRPr="00BD092F" w:rsidRDefault="00BD092F" w:rsidP="00BD092F">
      <w:pPr>
        <w:pStyle w:val="WSParaNum"/>
        <w:numPr>
          <w:ilvl w:val="0"/>
          <w:numId w:val="0"/>
        </w:numPr>
        <w:spacing w:before="0" w:after="0" w:line="240" w:lineRule="auto"/>
        <w:rPr>
          <w:sz w:val="20"/>
          <w:szCs w:val="20"/>
        </w:rPr>
      </w:pPr>
    </w:p>
    <w:p w14:paraId="259C657A" w14:textId="3A0A5973" w:rsidR="00235F15" w:rsidRDefault="006F0F0C" w:rsidP="00306789">
      <w:pPr>
        <w:pStyle w:val="WSParaNum"/>
        <w:spacing w:before="0" w:after="0"/>
      </w:pPr>
      <w:r w:rsidRPr="00B022C8">
        <w:t xml:space="preserve">The </w:t>
      </w:r>
      <w:r w:rsidRPr="00B022C8">
        <w:rPr>
          <w:i/>
          <w:iCs/>
        </w:rPr>
        <w:t>ESA</w:t>
      </w:r>
      <w:r w:rsidRPr="00B022C8">
        <w:t xml:space="preserve"> does not define what constitutes direct or indirect dependence on an area pursuant to section 2(1)(b)</w:t>
      </w:r>
      <w:r>
        <w:t>. However,</w:t>
      </w:r>
      <w:r w:rsidR="00BD6834">
        <w:t xml:space="preserve"> </w:t>
      </w:r>
      <w:r w:rsidRPr="00B022C8">
        <w:t xml:space="preserve">decisions from the Ontario Environmental Review </w:t>
      </w:r>
      <w:r w:rsidRPr="00B022C8">
        <w:lastRenderedPageBreak/>
        <w:t xml:space="preserve">Tribunal (the “Tribunal”) </w:t>
      </w:r>
      <w:r w:rsidR="002F209E" w:rsidRPr="002F209E">
        <w:t xml:space="preserve">show that an area may be considered indirect habitat if </w:t>
      </w:r>
      <w:r w:rsidR="00306789">
        <w:t xml:space="preserve">(1) </w:t>
      </w:r>
      <w:r w:rsidR="002F209E" w:rsidRPr="002F209E">
        <w:t xml:space="preserve">a species depends on the area for survival and </w:t>
      </w:r>
      <w:r w:rsidR="00306789">
        <w:t xml:space="preserve">(2) </w:t>
      </w:r>
      <w:r w:rsidR="002F209E" w:rsidRPr="002F209E">
        <w:t>there are sufficient site-specific reports and expert witness testimon</w:t>
      </w:r>
      <w:r w:rsidR="006D72C8">
        <w:t>ies</w:t>
      </w:r>
      <w:r w:rsidR="002F209E" w:rsidRPr="002F209E">
        <w:t xml:space="preserve"> to prove the species’ dependence on the area</w:t>
      </w:r>
      <w:r w:rsidR="002F209E">
        <w:t xml:space="preserve">. </w:t>
      </w:r>
      <w:r w:rsidRPr="00B022C8">
        <w:t>For example</w:t>
      </w:r>
      <w:r w:rsidR="00BD6834">
        <w:t>, in</w:t>
      </w:r>
      <w:r w:rsidRPr="00306789">
        <w:rPr>
          <w:i/>
          <w:iCs/>
        </w:rPr>
        <w:t xml:space="preserve"> Cham Shan Temple v Director, Ministry of the Environment</w:t>
      </w:r>
      <w:r w:rsidRPr="00B022C8">
        <w:t xml:space="preserve">, the Tribunal concluded that an area was indirect fish habitat because site-specific reports and </w:t>
      </w:r>
      <w:r w:rsidR="003E1AED">
        <w:t xml:space="preserve">multiple </w:t>
      </w:r>
      <w:r w:rsidRPr="00B022C8">
        <w:t>expert witness testimon</w:t>
      </w:r>
      <w:r w:rsidR="003E1AED">
        <w:t>ies</w:t>
      </w:r>
      <w:r w:rsidRPr="00B022C8">
        <w:t xml:space="preserve"> demonstrated that the area was important for “maintaining groundwater quality and quantity, which is essential to brook trout survival in the recipient surface watercourses”</w:t>
      </w:r>
      <w:r w:rsidR="0007124A">
        <w:t>.</w:t>
      </w:r>
      <w:r w:rsidR="000B3D13">
        <w:t xml:space="preserve"> </w:t>
      </w:r>
    </w:p>
    <w:p w14:paraId="27817CDE" w14:textId="09704DE1" w:rsidR="00A12307" w:rsidRPr="00A12307" w:rsidRDefault="00A12307" w:rsidP="00981D2F">
      <w:pPr>
        <w:pStyle w:val="WSParaNum"/>
        <w:numPr>
          <w:ilvl w:val="0"/>
          <w:numId w:val="0"/>
        </w:numPr>
        <w:spacing w:before="0" w:after="0" w:line="240" w:lineRule="auto"/>
        <w:ind w:left="720"/>
        <w:rPr>
          <w:sz w:val="20"/>
          <w:szCs w:val="20"/>
        </w:rPr>
      </w:pPr>
      <w:r>
        <w:rPr>
          <w:i/>
          <w:iCs/>
          <w:sz w:val="20"/>
          <w:szCs w:val="20"/>
        </w:rPr>
        <w:t>ESA</w:t>
      </w:r>
      <w:r>
        <w:rPr>
          <w:sz w:val="20"/>
          <w:szCs w:val="20"/>
        </w:rPr>
        <w:t xml:space="preserve">, </w:t>
      </w:r>
      <w:r>
        <w:rPr>
          <w:i/>
          <w:iCs/>
          <w:sz w:val="20"/>
          <w:szCs w:val="20"/>
        </w:rPr>
        <w:t xml:space="preserve">supra </w:t>
      </w:r>
      <w:r>
        <w:rPr>
          <w:sz w:val="20"/>
          <w:szCs w:val="20"/>
        </w:rPr>
        <w:t xml:space="preserve">para 1, s 2(1)(b). </w:t>
      </w:r>
    </w:p>
    <w:p w14:paraId="60A62083" w14:textId="16E698D2" w:rsidR="00981D2F" w:rsidRPr="00981D2F" w:rsidRDefault="00981D2F" w:rsidP="00981D2F">
      <w:pPr>
        <w:pStyle w:val="WSParaNum"/>
        <w:numPr>
          <w:ilvl w:val="0"/>
          <w:numId w:val="0"/>
        </w:numPr>
        <w:spacing w:before="0" w:after="0" w:line="240" w:lineRule="auto"/>
        <w:ind w:left="720"/>
        <w:rPr>
          <w:sz w:val="20"/>
          <w:szCs w:val="20"/>
        </w:rPr>
      </w:pPr>
      <w:r w:rsidRPr="00BD092F">
        <w:rPr>
          <w:i/>
          <w:iCs/>
          <w:sz w:val="20"/>
          <w:szCs w:val="20"/>
        </w:rPr>
        <w:t>Cham Shan Temple v</w:t>
      </w:r>
      <w:r w:rsidR="00BD092F" w:rsidRPr="00BD092F">
        <w:rPr>
          <w:i/>
          <w:iCs/>
          <w:sz w:val="20"/>
          <w:szCs w:val="20"/>
        </w:rPr>
        <w:t xml:space="preserve"> </w:t>
      </w:r>
      <w:r w:rsidRPr="00BD092F">
        <w:rPr>
          <w:i/>
          <w:iCs/>
          <w:sz w:val="20"/>
          <w:szCs w:val="20"/>
        </w:rPr>
        <w:t>Director, Ministry of the Environment</w:t>
      </w:r>
      <w:r w:rsidR="00BD092F">
        <w:rPr>
          <w:sz w:val="20"/>
          <w:szCs w:val="20"/>
        </w:rPr>
        <w:t xml:space="preserve">, </w:t>
      </w:r>
      <w:r w:rsidR="00BD092F" w:rsidRPr="00BD092F">
        <w:rPr>
          <w:sz w:val="20"/>
          <w:szCs w:val="20"/>
        </w:rPr>
        <w:t>2015 CarswellOnt 2773, [2015] OERTD N</w:t>
      </w:r>
      <w:r w:rsidR="00BD092F">
        <w:rPr>
          <w:sz w:val="20"/>
          <w:szCs w:val="20"/>
        </w:rPr>
        <w:t>o</w:t>
      </w:r>
      <w:r w:rsidR="00BD092F" w:rsidRPr="00BD092F">
        <w:rPr>
          <w:sz w:val="20"/>
          <w:szCs w:val="20"/>
        </w:rPr>
        <w:t xml:space="preserve"> 9, 94 CELR. (3d) 175</w:t>
      </w:r>
      <w:r w:rsidR="004C6803">
        <w:rPr>
          <w:sz w:val="20"/>
          <w:szCs w:val="20"/>
        </w:rPr>
        <w:t xml:space="preserve"> [</w:t>
      </w:r>
      <w:r w:rsidR="004C6803" w:rsidRPr="006D72C8">
        <w:rPr>
          <w:i/>
          <w:iCs/>
          <w:sz w:val="20"/>
          <w:szCs w:val="20"/>
        </w:rPr>
        <w:t>Cham Shan Temple</w:t>
      </w:r>
      <w:r w:rsidR="004C6803">
        <w:rPr>
          <w:sz w:val="20"/>
          <w:szCs w:val="20"/>
        </w:rPr>
        <w:t>]</w:t>
      </w:r>
      <w:r w:rsidR="00BD092F">
        <w:rPr>
          <w:sz w:val="20"/>
          <w:szCs w:val="20"/>
        </w:rPr>
        <w:t xml:space="preserve">. </w:t>
      </w:r>
      <w:r w:rsidRPr="00981D2F">
        <w:rPr>
          <w:sz w:val="20"/>
          <w:szCs w:val="20"/>
        </w:rPr>
        <w:t xml:space="preserve"> </w:t>
      </w:r>
    </w:p>
    <w:p w14:paraId="5515B783" w14:textId="5245F495" w:rsidR="006D72C8" w:rsidRPr="00562AC6" w:rsidRDefault="00BD4335" w:rsidP="00562AC6">
      <w:pPr>
        <w:pStyle w:val="Heading3"/>
      </w:pPr>
      <w:bookmarkStart w:id="23" w:name="_Toc220051347"/>
      <w:r w:rsidRPr="00562AC6">
        <w:t>The Evidence</w:t>
      </w:r>
      <w:r w:rsidR="004C6803">
        <w:t xml:space="preserve"> at Trial</w:t>
      </w:r>
      <w:r w:rsidRPr="00562AC6">
        <w:t xml:space="preserve"> Was Insufficient to Prove the Site was Essential to the Blanding’s Turtle’s Life Processes</w:t>
      </w:r>
      <w:bookmarkEnd w:id="23"/>
    </w:p>
    <w:p w14:paraId="490EEB4F" w14:textId="4FA8DA20" w:rsidR="00981D2F" w:rsidRDefault="00981D2F" w:rsidP="00981D2F">
      <w:pPr>
        <w:pStyle w:val="WSParaNum"/>
        <w:spacing w:before="0" w:after="0"/>
      </w:pPr>
      <w:r>
        <w:t>The Trial Justice relied heavily on Mr. Snell’s testimony to convict CHL. However, as stated by the</w:t>
      </w:r>
      <w:r w:rsidR="00F67204">
        <w:t xml:space="preserve"> </w:t>
      </w:r>
      <w:r>
        <w:t>ONCA,</w:t>
      </w:r>
      <w:r w:rsidR="004C6803">
        <w:t xml:space="preserve"> </w:t>
      </w:r>
      <w:r>
        <w:t xml:space="preserve">the </w:t>
      </w:r>
      <w:r w:rsidR="001B4B84">
        <w:t>ONCJ</w:t>
      </w:r>
      <w:r w:rsidR="00FA64D1">
        <w:t xml:space="preserve"> </w:t>
      </w:r>
      <w:r>
        <w:t xml:space="preserve">took concern with Mr. Snell’s testimony because it was insufficient evidence to establish that there were </w:t>
      </w:r>
      <w:r w:rsidRPr="003132FF">
        <w:t>any</w:t>
      </w:r>
      <w:r>
        <w:t xml:space="preserve"> Blanding’s Turtles in the vicinity of Circle Lake at the time of the offence in 2018. Furthermore, Mr. Snell’s testimony was insufficient evidence to establish that the Site was being used for any life processes, either indirectly or directly.</w:t>
      </w:r>
      <w:r w:rsidR="00306789">
        <w:t xml:space="preserve"> In other words, Mr. Snell’s testimony was insufficient to prove that the Blanding’s Turtles depended on the area for survival. </w:t>
      </w:r>
    </w:p>
    <w:p w14:paraId="5C661BE6" w14:textId="0BD55111" w:rsidR="00981D2F" w:rsidRPr="00235F15" w:rsidRDefault="00981D2F" w:rsidP="00981D2F">
      <w:pPr>
        <w:pStyle w:val="WSParaNum"/>
        <w:numPr>
          <w:ilvl w:val="0"/>
          <w:numId w:val="0"/>
        </w:numPr>
        <w:spacing w:before="0" w:after="0" w:line="240" w:lineRule="auto"/>
        <w:ind w:firstLine="720"/>
        <w:rPr>
          <w:sz w:val="20"/>
          <w:szCs w:val="20"/>
        </w:rPr>
      </w:pPr>
      <w:r w:rsidRPr="00BD092F">
        <w:rPr>
          <w:i/>
          <w:iCs/>
          <w:sz w:val="20"/>
          <w:szCs w:val="20"/>
        </w:rPr>
        <w:t>Trial Reasons</w:t>
      </w:r>
      <w:r w:rsidR="00BD092F">
        <w:rPr>
          <w:sz w:val="20"/>
          <w:szCs w:val="20"/>
        </w:rPr>
        <w:t xml:space="preserve">, </w:t>
      </w:r>
      <w:r w:rsidR="00BD092F">
        <w:rPr>
          <w:i/>
          <w:iCs/>
          <w:sz w:val="20"/>
          <w:szCs w:val="20"/>
        </w:rPr>
        <w:t xml:space="preserve">supra </w:t>
      </w:r>
      <w:r w:rsidR="00BD092F">
        <w:rPr>
          <w:sz w:val="20"/>
          <w:szCs w:val="20"/>
        </w:rPr>
        <w:t xml:space="preserve">para </w:t>
      </w:r>
      <w:r w:rsidR="004C6803">
        <w:rPr>
          <w:sz w:val="20"/>
          <w:szCs w:val="20"/>
        </w:rPr>
        <w:t>7</w:t>
      </w:r>
      <w:r w:rsidR="00BD092F">
        <w:rPr>
          <w:sz w:val="20"/>
          <w:szCs w:val="20"/>
        </w:rPr>
        <w:t xml:space="preserve"> </w:t>
      </w:r>
      <w:r w:rsidRPr="00BD092F">
        <w:rPr>
          <w:sz w:val="20"/>
          <w:szCs w:val="20"/>
        </w:rPr>
        <w:t>at</w:t>
      </w:r>
      <w:r>
        <w:rPr>
          <w:sz w:val="20"/>
          <w:szCs w:val="20"/>
        </w:rPr>
        <w:t xml:space="preserve"> 6</w:t>
      </w:r>
      <w:r w:rsidR="00BD092F">
        <w:rPr>
          <w:sz w:val="20"/>
          <w:szCs w:val="20"/>
        </w:rPr>
        <w:t>–</w:t>
      </w:r>
      <w:r>
        <w:rPr>
          <w:sz w:val="20"/>
          <w:szCs w:val="20"/>
        </w:rPr>
        <w:t xml:space="preserve">8. </w:t>
      </w:r>
    </w:p>
    <w:p w14:paraId="0BD25440" w14:textId="388D2A71" w:rsidR="00981D2F" w:rsidRDefault="00981D2F" w:rsidP="00981D2F">
      <w:pPr>
        <w:pStyle w:val="WSParaNum"/>
        <w:numPr>
          <w:ilvl w:val="0"/>
          <w:numId w:val="0"/>
        </w:numPr>
        <w:spacing w:before="0" w:after="0" w:line="240" w:lineRule="auto"/>
        <w:ind w:firstLine="720"/>
        <w:rPr>
          <w:sz w:val="20"/>
          <w:szCs w:val="20"/>
        </w:rPr>
      </w:pPr>
      <w:r w:rsidRPr="00BD092F">
        <w:rPr>
          <w:i/>
          <w:iCs/>
          <w:sz w:val="20"/>
          <w:szCs w:val="20"/>
        </w:rPr>
        <w:t>ONCA Reasons</w:t>
      </w:r>
      <w:r w:rsidR="00BD092F">
        <w:rPr>
          <w:sz w:val="20"/>
          <w:szCs w:val="20"/>
        </w:rPr>
        <w:t xml:space="preserve">, </w:t>
      </w:r>
      <w:r w:rsidR="00BD092F">
        <w:rPr>
          <w:i/>
          <w:iCs/>
          <w:sz w:val="20"/>
          <w:szCs w:val="20"/>
        </w:rPr>
        <w:t xml:space="preserve">supra </w:t>
      </w:r>
      <w:r w:rsidR="00BD092F">
        <w:rPr>
          <w:sz w:val="20"/>
          <w:szCs w:val="20"/>
        </w:rPr>
        <w:t xml:space="preserve">para </w:t>
      </w:r>
      <w:r w:rsidR="004C6803">
        <w:rPr>
          <w:sz w:val="20"/>
          <w:szCs w:val="20"/>
        </w:rPr>
        <w:t>13</w:t>
      </w:r>
      <w:r w:rsidRPr="0051423C">
        <w:rPr>
          <w:sz w:val="20"/>
          <w:szCs w:val="20"/>
        </w:rPr>
        <w:t xml:space="preserve"> at para 40. </w:t>
      </w:r>
    </w:p>
    <w:p w14:paraId="70F40997" w14:textId="77777777" w:rsidR="006D72C8" w:rsidRDefault="006D72C8" w:rsidP="00981D2F">
      <w:pPr>
        <w:pStyle w:val="WSParaNum"/>
        <w:numPr>
          <w:ilvl w:val="0"/>
          <w:numId w:val="0"/>
        </w:numPr>
        <w:spacing w:before="0" w:after="0" w:line="240" w:lineRule="auto"/>
        <w:ind w:firstLine="720"/>
        <w:rPr>
          <w:sz w:val="20"/>
          <w:szCs w:val="20"/>
        </w:rPr>
      </w:pPr>
    </w:p>
    <w:p w14:paraId="77949E38" w14:textId="68176F4A" w:rsidR="006D72C8" w:rsidRDefault="006D72C8" w:rsidP="006D72C8">
      <w:pPr>
        <w:pStyle w:val="WSParaNum"/>
        <w:spacing w:before="0" w:after="0"/>
      </w:pPr>
      <w:r>
        <w:t xml:space="preserve">Therefore, the </w:t>
      </w:r>
      <w:r w:rsidR="001B4B84">
        <w:t>ONCJ</w:t>
      </w:r>
      <w:r>
        <w:t xml:space="preserve"> did not fail to consider that the statutory definition of habitat includes an area used indirectly by a species to carry out life processes. Rather</w:t>
      </w:r>
      <w:r w:rsidR="00E81AEC">
        <w:t>,</w:t>
      </w:r>
      <w:r>
        <w:t xml:space="preserve"> the </w:t>
      </w:r>
      <w:r w:rsidR="001B4B84">
        <w:t>ONCJ</w:t>
      </w:r>
      <w:r>
        <w:t xml:space="preserve"> correctly determined that the evidence adduced at trial (photographic evidence of Blanding’s Turtles sightings before and after the offence date, the GHD, and Mr. Snell’s expert testimony) was insufficient to demonstrate that Blanding’s Turtles were in the Circle Lake area at the time of the offence or were relying on the Site to carry out life processes, either directly or indirectly. Unlike in </w:t>
      </w:r>
      <w:r>
        <w:rPr>
          <w:i/>
          <w:iCs/>
        </w:rPr>
        <w:t>Cham Shan Temple</w:t>
      </w:r>
      <w:r>
        <w:t>, Mr. Snell provided neither site-specific reports confirming the species dependence on the area nor was his testimony confirmed by other witnesses.</w:t>
      </w:r>
    </w:p>
    <w:p w14:paraId="620F148F" w14:textId="0CD301CC" w:rsidR="006D72C8" w:rsidRPr="00981D2F" w:rsidRDefault="006D72C8" w:rsidP="00306789">
      <w:pPr>
        <w:pStyle w:val="WSParaNum"/>
        <w:numPr>
          <w:ilvl w:val="0"/>
          <w:numId w:val="0"/>
        </w:numPr>
        <w:spacing w:before="0" w:after="0" w:line="240" w:lineRule="auto"/>
        <w:ind w:left="720"/>
        <w:rPr>
          <w:sz w:val="20"/>
          <w:szCs w:val="20"/>
        </w:rPr>
      </w:pPr>
      <w:r w:rsidRPr="006D72C8">
        <w:rPr>
          <w:i/>
          <w:iCs/>
          <w:sz w:val="20"/>
          <w:szCs w:val="20"/>
        </w:rPr>
        <w:t>Cham Shan Temple</w:t>
      </w:r>
      <w:r w:rsidRPr="006D72C8">
        <w:rPr>
          <w:sz w:val="20"/>
          <w:szCs w:val="20"/>
        </w:rPr>
        <w:t xml:space="preserve">, </w:t>
      </w:r>
      <w:r w:rsidRPr="006D72C8">
        <w:rPr>
          <w:i/>
          <w:iCs/>
          <w:sz w:val="20"/>
          <w:szCs w:val="20"/>
        </w:rPr>
        <w:t xml:space="preserve">supra </w:t>
      </w:r>
      <w:r w:rsidRPr="006D72C8">
        <w:rPr>
          <w:sz w:val="20"/>
          <w:szCs w:val="20"/>
        </w:rPr>
        <w:t xml:space="preserve">para </w:t>
      </w:r>
      <w:r w:rsidR="004C6803">
        <w:rPr>
          <w:sz w:val="20"/>
          <w:szCs w:val="20"/>
        </w:rPr>
        <w:t>51</w:t>
      </w:r>
      <w:r w:rsidRPr="006D72C8">
        <w:rPr>
          <w:sz w:val="20"/>
          <w:szCs w:val="20"/>
        </w:rPr>
        <w:t xml:space="preserve">. </w:t>
      </w:r>
    </w:p>
    <w:p w14:paraId="481455C7" w14:textId="7F365659" w:rsidR="00981D2F" w:rsidRPr="00562AC6" w:rsidRDefault="00981D2F" w:rsidP="00562AC6">
      <w:pPr>
        <w:pStyle w:val="Heading3"/>
      </w:pPr>
      <w:bookmarkStart w:id="24" w:name="_Toc220051348"/>
      <w:r w:rsidRPr="00562AC6">
        <w:lastRenderedPageBreak/>
        <w:t>There Was No Use of the Site by the Blanding’s Turtle, Either Direct or Indirect, to Carry Out Life Processes</w:t>
      </w:r>
      <w:bookmarkEnd w:id="24"/>
    </w:p>
    <w:p w14:paraId="397185BB" w14:textId="6ABD5636" w:rsidR="00BD6834" w:rsidRPr="003E1AED" w:rsidRDefault="009307A9" w:rsidP="00981D2F">
      <w:pPr>
        <w:pStyle w:val="WSParaNum"/>
        <w:numPr>
          <w:ilvl w:val="0"/>
          <w:numId w:val="0"/>
        </w:numPr>
        <w:spacing w:before="0" w:after="0"/>
        <w:rPr>
          <w:b/>
          <w:bCs/>
        </w:rPr>
      </w:pPr>
      <w:r>
        <w:t>5</w:t>
      </w:r>
      <w:r w:rsidR="003842EB">
        <w:t>3</w:t>
      </w:r>
      <w:r w:rsidR="003842EB">
        <w:tab/>
      </w:r>
      <w:r w:rsidR="00BD6834">
        <w:t>The Respondent disagree</w:t>
      </w:r>
      <w:r w:rsidR="004C6803">
        <w:t>s</w:t>
      </w:r>
      <w:r w:rsidR="00BD6834">
        <w:t xml:space="preserve"> with the Appellant’s submission that the </w:t>
      </w:r>
      <w:r w:rsidR="001B4B84">
        <w:t>ONCJ</w:t>
      </w:r>
      <w:r w:rsidR="00BD6834">
        <w:t xml:space="preserve"> failed to consider the Blanding’s Turtles’ </w:t>
      </w:r>
      <w:r w:rsidR="00BD6834" w:rsidRPr="0051423C">
        <w:rPr>
          <w:i/>
          <w:iCs/>
        </w:rPr>
        <w:t>indirect</w:t>
      </w:r>
      <w:r w:rsidR="00BD6834">
        <w:t xml:space="preserve"> use of the Site for</w:t>
      </w:r>
      <w:r w:rsidR="00BD6834" w:rsidRPr="0051423C">
        <w:t xml:space="preserve"> </w:t>
      </w:r>
      <w:r w:rsidR="00BD6834">
        <w:t>“</w:t>
      </w:r>
      <w:r w:rsidR="00BD6834" w:rsidRPr="0051423C">
        <w:t>life processes such as mating, basking, hiding, nesting, foraging, thermoregulation, and</w:t>
      </w:r>
      <w:r w:rsidR="00BD6834">
        <w:t xml:space="preserve"> migration”. </w:t>
      </w:r>
      <w:r w:rsidR="00BD6834" w:rsidRPr="0051423C">
        <w:t>The evidence that the Appellant refer</w:t>
      </w:r>
      <w:r w:rsidR="00A12307">
        <w:t>s</w:t>
      </w:r>
      <w:r w:rsidR="00BD6834" w:rsidRPr="0051423C">
        <w:t xml:space="preserve"> to were </w:t>
      </w:r>
      <w:r w:rsidR="00BD6834">
        <w:t>conclusions that the</w:t>
      </w:r>
      <w:r w:rsidR="00BD6834" w:rsidRPr="0051423C">
        <w:t xml:space="preserve"> Trial Justice </w:t>
      </w:r>
      <w:r w:rsidR="00BD6834">
        <w:t xml:space="preserve">had </w:t>
      </w:r>
      <w:r w:rsidR="00BD6834" w:rsidRPr="0051423C">
        <w:t xml:space="preserve">erroneously </w:t>
      </w:r>
      <w:r w:rsidR="00BD6834">
        <w:t>drawn from the GHD and</w:t>
      </w:r>
      <w:r w:rsidR="00BD6834" w:rsidRPr="0051423C">
        <w:t xml:space="preserve"> Mr. Snell’s testimony</w:t>
      </w:r>
      <w:r w:rsidR="009A6A55">
        <w:t xml:space="preserve">. </w:t>
      </w:r>
      <w:r w:rsidR="00BD6834">
        <w:t>This evidence is</w:t>
      </w:r>
      <w:r w:rsidR="00B125A2">
        <w:t xml:space="preserve"> </w:t>
      </w:r>
      <w:r w:rsidR="00B125A2" w:rsidRPr="00B125A2">
        <w:t>insufficient to demonstrate that the Site amounted to habitat per s</w:t>
      </w:r>
      <w:r w:rsidR="00B125A2">
        <w:t>ection</w:t>
      </w:r>
      <w:r w:rsidR="00B125A2" w:rsidRPr="00B125A2">
        <w:t xml:space="preserve"> 2(1)(b)</w:t>
      </w:r>
      <w:r w:rsidR="00B125A2">
        <w:t xml:space="preserve"> of the </w:t>
      </w:r>
      <w:r w:rsidR="00B125A2">
        <w:rPr>
          <w:i/>
          <w:iCs/>
        </w:rPr>
        <w:t>ESA</w:t>
      </w:r>
      <w:r w:rsidR="00B125A2" w:rsidRPr="00B125A2">
        <w:t xml:space="preserve"> and so does not prove beyond a reasonable doubt that CHL damaged or destroyed Blanding’s Turtle habitat.</w:t>
      </w:r>
      <w:r w:rsidR="003E1AED">
        <w:t xml:space="preserve"> </w:t>
      </w:r>
    </w:p>
    <w:p w14:paraId="5539F88C" w14:textId="409C6549" w:rsidR="006E45E4" w:rsidRDefault="00BD6834" w:rsidP="00981D2F">
      <w:pPr>
        <w:pStyle w:val="WSParaNum"/>
        <w:numPr>
          <w:ilvl w:val="0"/>
          <w:numId w:val="0"/>
        </w:numPr>
        <w:spacing w:before="0" w:after="0" w:line="240" w:lineRule="auto"/>
        <w:ind w:firstLine="720"/>
        <w:rPr>
          <w:sz w:val="21"/>
          <w:szCs w:val="21"/>
        </w:rPr>
      </w:pPr>
      <w:r w:rsidRPr="0051423C">
        <w:rPr>
          <w:sz w:val="21"/>
          <w:szCs w:val="21"/>
        </w:rPr>
        <w:t>Appellant factum</w:t>
      </w:r>
      <w:r w:rsidR="00981D2F">
        <w:rPr>
          <w:sz w:val="21"/>
          <w:szCs w:val="21"/>
        </w:rPr>
        <w:t xml:space="preserve">, </w:t>
      </w:r>
      <w:r w:rsidR="00981D2F">
        <w:rPr>
          <w:i/>
          <w:iCs/>
          <w:sz w:val="21"/>
          <w:szCs w:val="21"/>
        </w:rPr>
        <w:t xml:space="preserve">supra </w:t>
      </w:r>
      <w:r w:rsidR="00981D2F">
        <w:rPr>
          <w:sz w:val="21"/>
          <w:szCs w:val="21"/>
        </w:rPr>
        <w:t xml:space="preserve">para </w:t>
      </w:r>
      <w:r w:rsidR="00A12307">
        <w:rPr>
          <w:sz w:val="21"/>
          <w:szCs w:val="21"/>
        </w:rPr>
        <w:t>2</w:t>
      </w:r>
      <w:r w:rsidR="00120A36">
        <w:rPr>
          <w:sz w:val="21"/>
          <w:szCs w:val="21"/>
        </w:rPr>
        <w:t>6</w:t>
      </w:r>
      <w:r w:rsidRPr="0051423C">
        <w:rPr>
          <w:sz w:val="21"/>
          <w:szCs w:val="21"/>
        </w:rPr>
        <w:t xml:space="preserve"> at para 46</w:t>
      </w:r>
      <w:r>
        <w:rPr>
          <w:sz w:val="21"/>
          <w:szCs w:val="21"/>
        </w:rPr>
        <w:t xml:space="preserve">. </w:t>
      </w:r>
    </w:p>
    <w:p w14:paraId="23D3A3EA" w14:textId="26B3DDF7" w:rsidR="00A12307" w:rsidRPr="00A12307" w:rsidRDefault="00A12307" w:rsidP="00981D2F">
      <w:pPr>
        <w:pStyle w:val="WSParaNum"/>
        <w:numPr>
          <w:ilvl w:val="0"/>
          <w:numId w:val="0"/>
        </w:numPr>
        <w:spacing w:before="0" w:after="0" w:line="240" w:lineRule="auto"/>
        <w:ind w:firstLine="720"/>
        <w:rPr>
          <w:sz w:val="21"/>
          <w:szCs w:val="21"/>
        </w:rPr>
      </w:pPr>
      <w:r>
        <w:rPr>
          <w:i/>
          <w:iCs/>
          <w:sz w:val="21"/>
          <w:szCs w:val="21"/>
        </w:rPr>
        <w:t>ESA</w:t>
      </w:r>
      <w:r>
        <w:rPr>
          <w:sz w:val="21"/>
          <w:szCs w:val="21"/>
        </w:rPr>
        <w:t xml:space="preserve">, </w:t>
      </w:r>
      <w:r>
        <w:rPr>
          <w:i/>
          <w:iCs/>
          <w:sz w:val="21"/>
          <w:szCs w:val="21"/>
        </w:rPr>
        <w:t xml:space="preserve">supra </w:t>
      </w:r>
      <w:r>
        <w:rPr>
          <w:sz w:val="21"/>
          <w:szCs w:val="21"/>
        </w:rPr>
        <w:t xml:space="preserve">para 1, s 2(1)(b). </w:t>
      </w:r>
    </w:p>
    <w:p w14:paraId="2B4AE8D4" w14:textId="77777777" w:rsidR="00981D2F" w:rsidRDefault="00981D2F" w:rsidP="00981D2F">
      <w:pPr>
        <w:pStyle w:val="WSParaNum"/>
        <w:numPr>
          <w:ilvl w:val="0"/>
          <w:numId w:val="0"/>
        </w:numPr>
        <w:spacing w:before="0" w:after="0" w:line="240" w:lineRule="auto"/>
        <w:rPr>
          <w:sz w:val="21"/>
          <w:szCs w:val="21"/>
        </w:rPr>
      </w:pPr>
    </w:p>
    <w:p w14:paraId="301F1A34" w14:textId="11C47C10" w:rsidR="00BD6834" w:rsidRPr="006E45E4" w:rsidRDefault="009307A9" w:rsidP="00981D2F">
      <w:pPr>
        <w:pStyle w:val="WSParaNum"/>
        <w:numPr>
          <w:ilvl w:val="0"/>
          <w:numId w:val="0"/>
        </w:numPr>
        <w:spacing w:before="0" w:after="0"/>
        <w:rPr>
          <w:sz w:val="21"/>
          <w:szCs w:val="21"/>
        </w:rPr>
      </w:pPr>
      <w:r w:rsidRPr="009307A9">
        <w:t>5</w:t>
      </w:r>
      <w:r w:rsidR="003842EB">
        <w:t>4</w:t>
      </w:r>
      <w:r w:rsidR="003842EB">
        <w:tab/>
      </w:r>
      <w:r w:rsidR="00BD6834">
        <w:t>The Respondent also disagree</w:t>
      </w:r>
      <w:r w:rsidR="00A12307">
        <w:t>s</w:t>
      </w:r>
      <w:r w:rsidR="00BD6834">
        <w:t xml:space="preserve"> with the Appellant’s submission that the GHD and Mr. Snell’s evidence prove that the Blanding’s Turtles </w:t>
      </w:r>
      <w:r w:rsidR="00BD6834" w:rsidRPr="00306789">
        <w:rPr>
          <w:i/>
          <w:iCs/>
        </w:rPr>
        <w:t>directly</w:t>
      </w:r>
      <w:r w:rsidR="00BD6834">
        <w:t xml:space="preserve"> relied on the Site as habitat. </w:t>
      </w:r>
      <w:r w:rsidR="00BD6834" w:rsidRPr="0051423C">
        <w:t>Mr. Snell was unable to confirm that the area was</w:t>
      </w:r>
      <w:r w:rsidR="00BD6834">
        <w:t xml:space="preserve"> habitat or was directly</w:t>
      </w:r>
      <w:r w:rsidR="00BD6834" w:rsidRPr="0051423C">
        <w:t xml:space="preserve"> used for travel purposes, nesting, or thermogenic activities. He was only able to infer that the area had </w:t>
      </w:r>
      <w:r w:rsidR="00BD6834" w:rsidRPr="0051423C">
        <w:rPr>
          <w:i/>
          <w:iCs/>
        </w:rPr>
        <w:t>potential</w:t>
      </w:r>
      <w:r w:rsidR="00BD6834" w:rsidRPr="0051423C">
        <w:t xml:space="preserve"> to be habitat because of sightings </w:t>
      </w:r>
      <w:r w:rsidR="00BD6834" w:rsidRPr="0051423C">
        <w:rPr>
          <w:bCs/>
        </w:rPr>
        <w:t>“adjacent to the subject property or within the lake itself</w:t>
      </w:r>
      <w:r w:rsidR="003E1AED">
        <w:rPr>
          <w:bCs/>
        </w:rPr>
        <w:t xml:space="preserve">” and his experience in other areas with Blanding’s Turtles. Mr. Snell’s testimony does not prove beyond a reasonable doubt that the Site was direct habitat for Blanding’s Turtles. </w:t>
      </w:r>
    </w:p>
    <w:p w14:paraId="343D11EF" w14:textId="050941C4" w:rsidR="00BD6834" w:rsidRPr="0051423C" w:rsidRDefault="00BD6834" w:rsidP="00981D2F">
      <w:pPr>
        <w:pStyle w:val="WSParaNum"/>
        <w:numPr>
          <w:ilvl w:val="0"/>
          <w:numId w:val="0"/>
        </w:numPr>
        <w:spacing w:before="0" w:after="0" w:line="240" w:lineRule="auto"/>
        <w:ind w:firstLine="720"/>
        <w:rPr>
          <w:sz w:val="20"/>
          <w:szCs w:val="20"/>
        </w:rPr>
      </w:pPr>
      <w:r w:rsidRPr="0051423C">
        <w:rPr>
          <w:sz w:val="20"/>
          <w:szCs w:val="20"/>
        </w:rPr>
        <w:t>Appellant factum</w:t>
      </w:r>
      <w:r w:rsidR="00981D2F">
        <w:rPr>
          <w:sz w:val="20"/>
          <w:szCs w:val="20"/>
        </w:rPr>
        <w:t xml:space="preserve">, </w:t>
      </w:r>
      <w:r w:rsidR="00981D2F">
        <w:rPr>
          <w:i/>
          <w:iCs/>
          <w:sz w:val="20"/>
          <w:szCs w:val="20"/>
        </w:rPr>
        <w:t xml:space="preserve">supra </w:t>
      </w:r>
      <w:r w:rsidR="00981D2F">
        <w:rPr>
          <w:sz w:val="20"/>
          <w:szCs w:val="20"/>
        </w:rPr>
        <w:t xml:space="preserve">para </w:t>
      </w:r>
      <w:r w:rsidR="00A12307">
        <w:rPr>
          <w:sz w:val="20"/>
          <w:szCs w:val="20"/>
        </w:rPr>
        <w:t>2</w:t>
      </w:r>
      <w:r w:rsidR="00120A36">
        <w:rPr>
          <w:sz w:val="20"/>
          <w:szCs w:val="20"/>
        </w:rPr>
        <w:t>6</w:t>
      </w:r>
      <w:r w:rsidR="00981D2F">
        <w:rPr>
          <w:sz w:val="20"/>
          <w:szCs w:val="20"/>
        </w:rPr>
        <w:t xml:space="preserve"> </w:t>
      </w:r>
      <w:r w:rsidRPr="0051423C">
        <w:rPr>
          <w:sz w:val="20"/>
          <w:szCs w:val="20"/>
        </w:rPr>
        <w:t>at para 48.</w:t>
      </w:r>
    </w:p>
    <w:p w14:paraId="741E073A" w14:textId="7E542F4A" w:rsidR="00981D2F" w:rsidRDefault="001B4B84" w:rsidP="00981D2F">
      <w:pPr>
        <w:pStyle w:val="WSParaNum"/>
        <w:numPr>
          <w:ilvl w:val="0"/>
          <w:numId w:val="0"/>
        </w:numPr>
        <w:spacing w:before="0" w:after="0" w:line="240" w:lineRule="auto"/>
        <w:ind w:firstLine="720"/>
        <w:rPr>
          <w:sz w:val="20"/>
          <w:szCs w:val="20"/>
        </w:rPr>
      </w:pPr>
      <w:r w:rsidRPr="00120A36">
        <w:rPr>
          <w:i/>
          <w:iCs/>
          <w:sz w:val="20"/>
          <w:szCs w:val="20"/>
        </w:rPr>
        <w:t>ONCJ</w:t>
      </w:r>
      <w:r w:rsidR="00BD6834" w:rsidRPr="00120A36">
        <w:rPr>
          <w:i/>
          <w:iCs/>
          <w:sz w:val="20"/>
          <w:szCs w:val="20"/>
        </w:rPr>
        <w:t xml:space="preserve"> </w:t>
      </w:r>
      <w:r w:rsidR="00120A36">
        <w:rPr>
          <w:i/>
          <w:iCs/>
          <w:sz w:val="20"/>
          <w:szCs w:val="20"/>
        </w:rPr>
        <w:t>R</w:t>
      </w:r>
      <w:r w:rsidR="00BD6834" w:rsidRPr="00120A36">
        <w:rPr>
          <w:i/>
          <w:iCs/>
          <w:sz w:val="20"/>
          <w:szCs w:val="20"/>
        </w:rPr>
        <w:t>easons</w:t>
      </w:r>
      <w:r w:rsidR="00981D2F">
        <w:rPr>
          <w:sz w:val="20"/>
          <w:szCs w:val="20"/>
        </w:rPr>
        <w:t xml:space="preserve">, </w:t>
      </w:r>
      <w:r w:rsidR="00981D2F">
        <w:rPr>
          <w:i/>
          <w:iCs/>
          <w:sz w:val="20"/>
          <w:szCs w:val="20"/>
        </w:rPr>
        <w:t xml:space="preserve">supra </w:t>
      </w:r>
      <w:r w:rsidR="00981D2F">
        <w:rPr>
          <w:sz w:val="20"/>
          <w:szCs w:val="20"/>
        </w:rPr>
        <w:t xml:space="preserve">para </w:t>
      </w:r>
      <w:r w:rsidR="00A12307">
        <w:rPr>
          <w:sz w:val="20"/>
          <w:szCs w:val="20"/>
        </w:rPr>
        <w:t>8</w:t>
      </w:r>
      <w:r w:rsidR="00BD6834" w:rsidRPr="0051423C">
        <w:rPr>
          <w:sz w:val="20"/>
          <w:szCs w:val="20"/>
        </w:rPr>
        <w:t xml:space="preserve"> at 13</w:t>
      </w:r>
      <w:r w:rsidR="00BD092F">
        <w:rPr>
          <w:sz w:val="20"/>
          <w:szCs w:val="20"/>
        </w:rPr>
        <w:t>–</w:t>
      </w:r>
      <w:r w:rsidR="00BD6834" w:rsidRPr="0051423C">
        <w:rPr>
          <w:sz w:val="20"/>
          <w:szCs w:val="20"/>
        </w:rPr>
        <w:t xml:space="preserve">14. </w:t>
      </w:r>
    </w:p>
    <w:p w14:paraId="755DB03A" w14:textId="77777777" w:rsidR="00981D2F" w:rsidRPr="00B022C8" w:rsidRDefault="00981D2F" w:rsidP="00981D2F">
      <w:pPr>
        <w:pStyle w:val="WSParaNum"/>
        <w:numPr>
          <w:ilvl w:val="0"/>
          <w:numId w:val="0"/>
        </w:numPr>
        <w:spacing w:before="0" w:after="0" w:line="240" w:lineRule="auto"/>
        <w:rPr>
          <w:sz w:val="20"/>
          <w:szCs w:val="20"/>
        </w:rPr>
      </w:pPr>
    </w:p>
    <w:p w14:paraId="77FCBA63" w14:textId="5501329E" w:rsidR="006F0F0C" w:rsidRDefault="00BD6834" w:rsidP="003842EB">
      <w:pPr>
        <w:pStyle w:val="WSParaNum"/>
        <w:numPr>
          <w:ilvl w:val="0"/>
          <w:numId w:val="19"/>
        </w:numPr>
        <w:spacing w:before="0" w:after="0"/>
      </w:pPr>
      <w:r>
        <w:t xml:space="preserve">The </w:t>
      </w:r>
      <w:r w:rsidR="001B4B84">
        <w:t>ONCJ</w:t>
      </w:r>
      <w:r w:rsidR="003E1AED">
        <w:t xml:space="preserve"> correctly applied th</w:t>
      </w:r>
      <w:r>
        <w:t>e statutory definition</w:t>
      </w:r>
      <w:r w:rsidR="003E1AED">
        <w:t xml:space="preserve"> of habitat</w:t>
      </w:r>
      <w:r>
        <w:t xml:space="preserve"> pursuant to sections 2(1)(b) and 2(2) of the </w:t>
      </w:r>
      <w:r w:rsidRPr="003842EB">
        <w:rPr>
          <w:i/>
          <w:iCs/>
        </w:rPr>
        <w:t>ESA</w:t>
      </w:r>
      <w:r>
        <w:t xml:space="preserve">. As discussed in paragraphs </w:t>
      </w:r>
      <w:r w:rsidR="003E1AED">
        <w:t>2</w:t>
      </w:r>
      <w:r w:rsidR="00A12307">
        <w:t>3</w:t>
      </w:r>
      <w:r>
        <w:t xml:space="preserve"> to </w:t>
      </w:r>
      <w:r w:rsidR="003E1AED">
        <w:t>2</w:t>
      </w:r>
      <w:r w:rsidR="00A12307">
        <w:t>5</w:t>
      </w:r>
      <w:r>
        <w:t xml:space="preserve"> above, there was alternative evidence available at trial from which the </w:t>
      </w:r>
      <w:r w:rsidR="001B4B84">
        <w:t>ONCJ</w:t>
      </w:r>
      <w:r>
        <w:t xml:space="preserve"> could reasonably infer that there were </w:t>
      </w:r>
      <w:r w:rsidRPr="003842EB">
        <w:rPr>
          <w:i/>
          <w:iCs/>
        </w:rPr>
        <w:t xml:space="preserve">no </w:t>
      </w:r>
      <w:r>
        <w:t>Blanding’s Turtles in the area at the time of the offence in 2018. Therefore, the Site constituted an area where</w:t>
      </w:r>
      <w:r w:rsidRPr="0051423C">
        <w:t xml:space="preserve"> a “species has form</w:t>
      </w:r>
      <w:r w:rsidR="00FA64D1">
        <w:t>erly</w:t>
      </w:r>
      <w:r w:rsidRPr="0051423C">
        <w:t xml:space="preserve"> occurred or has the potential to be introduced</w:t>
      </w:r>
      <w:r>
        <w:t xml:space="preserve">” pursuant to section 2(2) of the </w:t>
      </w:r>
      <w:r w:rsidRPr="003842EB">
        <w:rPr>
          <w:i/>
          <w:iCs/>
        </w:rPr>
        <w:t xml:space="preserve">ESA. </w:t>
      </w:r>
      <w:r>
        <w:t>Furthermore, the evidence adduced at trial</w:t>
      </w:r>
      <w:r w:rsidR="00306789">
        <w:t xml:space="preserve"> was i</w:t>
      </w:r>
      <w:r>
        <w:t xml:space="preserve">nsufficient to prove that the area was used by the Blanding’s Turtle </w:t>
      </w:r>
      <w:r w:rsidR="002F209E">
        <w:t xml:space="preserve">indirectly or directly </w:t>
      </w:r>
      <w:r>
        <w:t>to carry out life processes</w:t>
      </w:r>
      <w:r w:rsidR="002F209E">
        <w:t xml:space="preserve"> pursuant to section 2(1)(b) of the </w:t>
      </w:r>
      <w:r w:rsidR="002F209E" w:rsidRPr="003842EB">
        <w:rPr>
          <w:i/>
          <w:iCs/>
        </w:rPr>
        <w:t>ESA</w:t>
      </w:r>
      <w:r w:rsidR="002F209E">
        <w:t xml:space="preserve">. </w:t>
      </w:r>
    </w:p>
    <w:p w14:paraId="580EE8B7" w14:textId="5BDE621C" w:rsidR="0034630D" w:rsidRDefault="00BD092F" w:rsidP="0034630D">
      <w:pPr>
        <w:pStyle w:val="WSParaNum"/>
        <w:numPr>
          <w:ilvl w:val="0"/>
          <w:numId w:val="0"/>
        </w:numPr>
        <w:spacing w:before="0" w:after="0" w:line="240" w:lineRule="auto"/>
        <w:ind w:firstLine="720"/>
        <w:rPr>
          <w:sz w:val="20"/>
          <w:szCs w:val="20"/>
        </w:rPr>
      </w:pPr>
      <w:r w:rsidRPr="00BD092F">
        <w:rPr>
          <w:i/>
          <w:iCs/>
          <w:sz w:val="20"/>
          <w:szCs w:val="20"/>
        </w:rPr>
        <w:t>ESA</w:t>
      </w:r>
      <w:r w:rsidRPr="00BD092F">
        <w:rPr>
          <w:sz w:val="20"/>
          <w:szCs w:val="20"/>
        </w:rPr>
        <w:t xml:space="preserve">, </w:t>
      </w:r>
      <w:r w:rsidRPr="00BD092F">
        <w:rPr>
          <w:i/>
          <w:iCs/>
          <w:sz w:val="20"/>
          <w:szCs w:val="20"/>
        </w:rPr>
        <w:t xml:space="preserve">supra </w:t>
      </w:r>
      <w:r w:rsidRPr="00BD092F">
        <w:rPr>
          <w:sz w:val="20"/>
          <w:szCs w:val="20"/>
        </w:rPr>
        <w:t xml:space="preserve">para </w:t>
      </w:r>
      <w:r w:rsidR="00A12307">
        <w:rPr>
          <w:sz w:val="20"/>
          <w:szCs w:val="20"/>
        </w:rPr>
        <w:t>1</w:t>
      </w:r>
      <w:r w:rsidRPr="00BD092F">
        <w:rPr>
          <w:sz w:val="20"/>
          <w:szCs w:val="20"/>
        </w:rPr>
        <w:t>, ss 2(1)(b), 2(2).</w:t>
      </w:r>
    </w:p>
    <w:p w14:paraId="61244D87" w14:textId="7D491605" w:rsidR="0034630D" w:rsidRPr="00562AC6" w:rsidRDefault="0034630D" w:rsidP="00562AC6">
      <w:pPr>
        <w:pStyle w:val="Heading2"/>
      </w:pPr>
      <w:bookmarkStart w:id="25" w:name="_Toc220051349"/>
      <w:r w:rsidRPr="00562AC6">
        <w:lastRenderedPageBreak/>
        <w:t xml:space="preserve">Issue 4: </w:t>
      </w:r>
      <w:r w:rsidR="00A12307">
        <w:t>CHL</w:t>
      </w:r>
      <w:r w:rsidRPr="00562AC6">
        <w:t xml:space="preserve"> Would Not Have Been Convicted if the Amendments to the </w:t>
      </w:r>
      <w:r w:rsidRPr="00562AC6">
        <w:rPr>
          <w:i/>
          <w:iCs w:val="0"/>
        </w:rPr>
        <w:t>Endangered Species Act</w:t>
      </w:r>
      <w:r w:rsidRPr="00562AC6">
        <w:t xml:space="preserve">, 2007 by the </w:t>
      </w:r>
      <w:r w:rsidRPr="00562AC6">
        <w:rPr>
          <w:i/>
          <w:iCs w:val="0"/>
        </w:rPr>
        <w:t>Protect Ontario by Unleashing our Economy Act</w:t>
      </w:r>
      <w:r w:rsidRPr="00562AC6">
        <w:t>, 2025, Sched. 2 Had Been in Force</w:t>
      </w:r>
      <w:r w:rsidR="00A12307">
        <w:t xml:space="preserve"> at Time of the Offence</w:t>
      </w:r>
      <w:r w:rsidRPr="00562AC6">
        <w:t>.</w:t>
      </w:r>
      <w:bookmarkEnd w:id="25"/>
    </w:p>
    <w:p w14:paraId="48BF233D" w14:textId="3FD39389" w:rsidR="0034630D" w:rsidRPr="00562AC6" w:rsidRDefault="0034630D" w:rsidP="00562AC6">
      <w:pPr>
        <w:pStyle w:val="Heading3"/>
      </w:pPr>
      <w:bookmarkStart w:id="26" w:name="_Toc220051350"/>
      <w:r w:rsidRPr="00562AC6">
        <w:t xml:space="preserve">The Definition of Habitat was Narrowed Under the Amendments to the </w:t>
      </w:r>
      <w:r w:rsidR="0007124A">
        <w:rPr>
          <w:i/>
          <w:iCs/>
        </w:rPr>
        <w:t>ESA</w:t>
      </w:r>
      <w:bookmarkEnd w:id="26"/>
    </w:p>
    <w:p w14:paraId="67B7A3EA" w14:textId="61D16E8E" w:rsidR="0034630D" w:rsidRDefault="0034630D" w:rsidP="009307A9">
      <w:pPr>
        <w:pStyle w:val="WSParaNum"/>
        <w:numPr>
          <w:ilvl w:val="0"/>
          <w:numId w:val="17"/>
        </w:numPr>
        <w:spacing w:before="0" w:after="0"/>
      </w:pPr>
      <w:r>
        <w:t xml:space="preserve">The previous version of the </w:t>
      </w:r>
      <w:r w:rsidRPr="009307A9">
        <w:rPr>
          <w:i/>
          <w:iCs/>
        </w:rPr>
        <w:t xml:space="preserve">ESA </w:t>
      </w:r>
      <w:r>
        <w:t xml:space="preserve">included a broad definition of habitat that was greatly narrowed by the </w:t>
      </w:r>
      <w:r w:rsidRPr="009307A9">
        <w:rPr>
          <w:i/>
          <w:iCs/>
        </w:rPr>
        <w:t xml:space="preserve">Protect Ontario by Unleashing our Economy Act, </w:t>
      </w:r>
      <w:r>
        <w:t>2025 Sched. 2 (</w:t>
      </w:r>
      <w:r w:rsidR="00A12307">
        <w:t xml:space="preserve">the </w:t>
      </w:r>
      <w:r>
        <w:t>“</w:t>
      </w:r>
      <w:r w:rsidRPr="009307A9">
        <w:rPr>
          <w:i/>
          <w:iCs/>
        </w:rPr>
        <w:t>POUEA”</w:t>
      </w:r>
      <w:r>
        <w:t xml:space="preserve">). The previous definition included any area “which the species depends, directly or indirectly, to carry on its life processes...”. </w:t>
      </w:r>
      <w:r w:rsidR="002E143A">
        <w:t>However, t</w:t>
      </w:r>
      <w:r>
        <w:t>he amended definition is limited to dwelling-places and “the area immediately around” them that is occupied or habitually occupied by a member of an animal species. A dwelling place is defined as a “den, nest or other similar place” used for the purposes of breeding, rearing, staging, wintering or hibernating.</w:t>
      </w:r>
    </w:p>
    <w:p w14:paraId="0B183029" w14:textId="4E10FBA6" w:rsidR="0034630D" w:rsidRDefault="0034630D" w:rsidP="0034630D">
      <w:pPr>
        <w:pStyle w:val="WSParaNum"/>
        <w:numPr>
          <w:ilvl w:val="0"/>
          <w:numId w:val="0"/>
        </w:numPr>
        <w:spacing w:before="0" w:after="0" w:line="240" w:lineRule="auto"/>
        <w:ind w:left="720"/>
        <w:rPr>
          <w:sz w:val="20"/>
          <w:szCs w:val="20"/>
        </w:rPr>
      </w:pPr>
      <w:r w:rsidRPr="00DC274D">
        <w:rPr>
          <w:i/>
          <w:iCs/>
          <w:sz w:val="20"/>
          <w:szCs w:val="20"/>
        </w:rPr>
        <w:t>ESA</w:t>
      </w:r>
      <w:r w:rsidRPr="00BD092F">
        <w:rPr>
          <w:sz w:val="20"/>
          <w:szCs w:val="20"/>
        </w:rPr>
        <w:t>,</w:t>
      </w:r>
      <w:r w:rsidRPr="00DC274D">
        <w:rPr>
          <w:i/>
          <w:iCs/>
          <w:sz w:val="20"/>
          <w:szCs w:val="20"/>
        </w:rPr>
        <w:t xml:space="preserve"> </w:t>
      </w:r>
      <w:r>
        <w:rPr>
          <w:i/>
          <w:iCs/>
          <w:sz w:val="20"/>
          <w:szCs w:val="20"/>
        </w:rPr>
        <w:t xml:space="preserve">supra </w:t>
      </w:r>
      <w:r>
        <w:rPr>
          <w:sz w:val="20"/>
          <w:szCs w:val="20"/>
        </w:rPr>
        <w:t xml:space="preserve">para </w:t>
      </w:r>
      <w:r w:rsidR="00A12307">
        <w:rPr>
          <w:sz w:val="20"/>
          <w:szCs w:val="20"/>
        </w:rPr>
        <w:t>1</w:t>
      </w:r>
      <w:r>
        <w:rPr>
          <w:sz w:val="20"/>
          <w:szCs w:val="20"/>
        </w:rPr>
        <w:t xml:space="preserve">, </w:t>
      </w:r>
      <w:r w:rsidRPr="00DC274D">
        <w:rPr>
          <w:sz w:val="20"/>
          <w:szCs w:val="20"/>
        </w:rPr>
        <w:t>s 2(1).</w:t>
      </w:r>
    </w:p>
    <w:p w14:paraId="2C8B10A8" w14:textId="7AF266F0" w:rsidR="00A12307" w:rsidRPr="00A12307" w:rsidRDefault="00A12307" w:rsidP="0034630D">
      <w:pPr>
        <w:pStyle w:val="WSParaNum"/>
        <w:numPr>
          <w:ilvl w:val="0"/>
          <w:numId w:val="0"/>
        </w:numPr>
        <w:spacing w:before="0" w:after="0" w:line="240" w:lineRule="auto"/>
        <w:ind w:left="720"/>
        <w:rPr>
          <w:sz w:val="20"/>
          <w:szCs w:val="20"/>
        </w:rPr>
      </w:pPr>
      <w:r>
        <w:rPr>
          <w:i/>
          <w:iCs/>
          <w:sz w:val="20"/>
          <w:szCs w:val="20"/>
        </w:rPr>
        <w:t>POUEA</w:t>
      </w:r>
      <w:r>
        <w:rPr>
          <w:sz w:val="20"/>
          <w:szCs w:val="20"/>
        </w:rPr>
        <w:t xml:space="preserve">, </w:t>
      </w:r>
      <w:r>
        <w:rPr>
          <w:i/>
          <w:iCs/>
          <w:sz w:val="20"/>
          <w:szCs w:val="20"/>
        </w:rPr>
        <w:t>supra</w:t>
      </w:r>
      <w:r>
        <w:rPr>
          <w:sz w:val="20"/>
          <w:szCs w:val="20"/>
        </w:rPr>
        <w:t xml:space="preserve"> para 5, s 1(3). </w:t>
      </w:r>
    </w:p>
    <w:p w14:paraId="39FC5ACE" w14:textId="77777777" w:rsidR="0034630D" w:rsidRPr="00DC274D" w:rsidRDefault="0034630D" w:rsidP="0034630D">
      <w:pPr>
        <w:pStyle w:val="WSParaNum"/>
        <w:numPr>
          <w:ilvl w:val="0"/>
          <w:numId w:val="0"/>
        </w:numPr>
        <w:spacing w:before="0" w:after="0"/>
        <w:ind w:left="720"/>
        <w:rPr>
          <w:sz w:val="20"/>
          <w:szCs w:val="20"/>
        </w:rPr>
      </w:pPr>
    </w:p>
    <w:p w14:paraId="2134565F" w14:textId="77777777" w:rsidR="0034630D" w:rsidRPr="00465015" w:rsidRDefault="0034630D" w:rsidP="0034630D">
      <w:pPr>
        <w:pStyle w:val="WSParaNum"/>
        <w:spacing w:before="0" w:after="0"/>
      </w:pPr>
      <w:r w:rsidRPr="00465015">
        <w:t>Principles of statutory interpretation can be applied to resolve ambiguities and to discern the intent behind the statutory changes. The modern approach to statutory interpretation considers the internal and external contexts of the statute.</w:t>
      </w:r>
    </w:p>
    <w:p w14:paraId="6FE24390" w14:textId="77777777" w:rsidR="0034630D" w:rsidRDefault="0034630D" w:rsidP="0034630D">
      <w:pPr>
        <w:pStyle w:val="WSParaNum"/>
        <w:numPr>
          <w:ilvl w:val="0"/>
          <w:numId w:val="0"/>
        </w:numPr>
        <w:spacing w:before="0" w:after="0" w:line="240" w:lineRule="auto"/>
        <w:ind w:firstLine="720"/>
        <w:rPr>
          <w:sz w:val="20"/>
          <w:szCs w:val="20"/>
        </w:rPr>
      </w:pPr>
      <w:r>
        <w:rPr>
          <w:i/>
          <w:iCs/>
          <w:sz w:val="20"/>
          <w:szCs w:val="20"/>
        </w:rPr>
        <w:t xml:space="preserve">Rizzo &amp; Rizzo Shoes Ltd. (Re), </w:t>
      </w:r>
      <w:r>
        <w:rPr>
          <w:sz w:val="20"/>
          <w:szCs w:val="20"/>
        </w:rPr>
        <w:t>1998 CanLII 837 (SCC)</w:t>
      </w:r>
      <w:r w:rsidRPr="00BD5010">
        <w:rPr>
          <w:sz w:val="20"/>
          <w:szCs w:val="20"/>
        </w:rPr>
        <w:t xml:space="preserve"> at para </w:t>
      </w:r>
      <w:r>
        <w:rPr>
          <w:sz w:val="20"/>
          <w:szCs w:val="20"/>
        </w:rPr>
        <w:t>21</w:t>
      </w:r>
      <w:r w:rsidRPr="00BD5010">
        <w:rPr>
          <w:sz w:val="20"/>
          <w:szCs w:val="20"/>
        </w:rPr>
        <w:t>.</w:t>
      </w:r>
    </w:p>
    <w:p w14:paraId="5646EF56" w14:textId="77777777" w:rsidR="0034630D" w:rsidRPr="00BD5010" w:rsidRDefault="0034630D" w:rsidP="0034630D">
      <w:pPr>
        <w:pStyle w:val="WSParaNum"/>
        <w:numPr>
          <w:ilvl w:val="0"/>
          <w:numId w:val="0"/>
        </w:numPr>
        <w:spacing w:before="0" w:after="0" w:line="240" w:lineRule="auto"/>
        <w:rPr>
          <w:sz w:val="20"/>
          <w:szCs w:val="20"/>
        </w:rPr>
      </w:pPr>
    </w:p>
    <w:p w14:paraId="5EB66E5C" w14:textId="60560B5B" w:rsidR="00E81AEC" w:rsidRPr="00E81AEC" w:rsidRDefault="0034630D" w:rsidP="00E81AEC">
      <w:pPr>
        <w:pStyle w:val="WSParaNum"/>
        <w:spacing w:before="0" w:after="0"/>
      </w:pPr>
      <w:r>
        <w:t xml:space="preserve">The </w:t>
      </w:r>
      <w:r w:rsidR="00E81AEC">
        <w:t>amended</w:t>
      </w:r>
      <w:r>
        <w:t xml:space="preserve"> definition of habitat is limited to a dwelling-place such as a den, nest or other similar place. Applying the limited class rule, “other similar place” would take its “colour” or meaning from the preceding words. Den is defined in the Oxford Dictionary as a “hidden home of some types of wild animal” and nest is defined as a “hollow place or structure that a bird makes or chooses for laying its eggs” or “a place where insects or other small creatures live and produce their young.” Both words describe places where animals live and rear their offspring, and it is likely that the term “other similar place” is intended to describe this as well.</w:t>
      </w:r>
    </w:p>
    <w:p w14:paraId="158BF726" w14:textId="77777777" w:rsidR="00E81AEC" w:rsidRDefault="00E81AEC" w:rsidP="00E81AEC">
      <w:pPr>
        <w:pStyle w:val="WSParaNum"/>
        <w:numPr>
          <w:ilvl w:val="0"/>
          <w:numId w:val="0"/>
        </w:numPr>
        <w:spacing w:before="0" w:after="0" w:line="240" w:lineRule="auto"/>
        <w:ind w:firstLine="720"/>
        <w:rPr>
          <w:sz w:val="20"/>
          <w:szCs w:val="20"/>
        </w:rPr>
      </w:pPr>
      <w:r w:rsidRPr="00B87A48">
        <w:rPr>
          <w:i/>
          <w:iCs/>
          <w:sz w:val="20"/>
          <w:szCs w:val="20"/>
        </w:rPr>
        <w:t>Nanaimo</w:t>
      </w:r>
      <w:r>
        <w:rPr>
          <w:i/>
          <w:iCs/>
          <w:sz w:val="20"/>
          <w:szCs w:val="20"/>
        </w:rPr>
        <w:t xml:space="preserve"> (City of)</w:t>
      </w:r>
      <w:r w:rsidRPr="00B87A48">
        <w:rPr>
          <w:i/>
          <w:iCs/>
          <w:sz w:val="20"/>
          <w:szCs w:val="20"/>
        </w:rPr>
        <w:t xml:space="preserve"> v Rascal Trucking</w:t>
      </w:r>
      <w:r>
        <w:rPr>
          <w:i/>
          <w:iCs/>
          <w:sz w:val="20"/>
          <w:szCs w:val="20"/>
        </w:rPr>
        <w:t xml:space="preserve"> Ltd., </w:t>
      </w:r>
      <w:r>
        <w:rPr>
          <w:sz w:val="20"/>
          <w:szCs w:val="20"/>
        </w:rPr>
        <w:t>1998 CanLII 6119 (BC CA) at para 8.</w:t>
      </w:r>
    </w:p>
    <w:p w14:paraId="32E703F0" w14:textId="4BE880F0" w:rsidR="0034630D" w:rsidRPr="000B3CAB" w:rsidRDefault="0034630D" w:rsidP="0034630D">
      <w:pPr>
        <w:pStyle w:val="WSParaNum"/>
        <w:numPr>
          <w:ilvl w:val="0"/>
          <w:numId w:val="0"/>
        </w:numPr>
        <w:spacing w:before="0" w:after="0" w:line="240" w:lineRule="auto"/>
        <w:ind w:left="720"/>
        <w:rPr>
          <w:sz w:val="20"/>
          <w:szCs w:val="20"/>
        </w:rPr>
      </w:pPr>
      <w:r w:rsidRPr="000B3CAB">
        <w:rPr>
          <w:sz w:val="20"/>
          <w:szCs w:val="20"/>
        </w:rPr>
        <w:t xml:space="preserve">J.A. Simpson &amp; E.S.C. Weiner, </w:t>
      </w:r>
      <w:r w:rsidRPr="000B3CAB">
        <w:rPr>
          <w:i/>
          <w:iCs/>
          <w:sz w:val="20"/>
          <w:szCs w:val="20"/>
        </w:rPr>
        <w:t>Oxford English Dictionary</w:t>
      </w:r>
      <w:r w:rsidRPr="000922D3">
        <w:rPr>
          <w:sz w:val="20"/>
          <w:szCs w:val="20"/>
        </w:rPr>
        <w:t>,</w:t>
      </w:r>
      <w:r w:rsidRPr="000B3CAB">
        <w:rPr>
          <w:i/>
          <w:iCs/>
          <w:sz w:val="20"/>
          <w:szCs w:val="20"/>
        </w:rPr>
        <w:t xml:space="preserve"> </w:t>
      </w:r>
      <w:r w:rsidRPr="000922D3">
        <w:rPr>
          <w:sz w:val="20"/>
          <w:szCs w:val="20"/>
        </w:rPr>
        <w:t>2</w:t>
      </w:r>
      <w:r w:rsidR="000922D3">
        <w:rPr>
          <w:sz w:val="20"/>
          <w:szCs w:val="20"/>
        </w:rPr>
        <w:t>nd</w:t>
      </w:r>
      <w:r w:rsidRPr="000922D3">
        <w:rPr>
          <w:sz w:val="20"/>
          <w:szCs w:val="20"/>
        </w:rPr>
        <w:t xml:space="preserve"> ed</w:t>
      </w:r>
      <w:r w:rsidRPr="000B3CAB">
        <w:rPr>
          <w:i/>
          <w:iCs/>
          <w:sz w:val="20"/>
          <w:szCs w:val="20"/>
        </w:rPr>
        <w:t xml:space="preserve"> </w:t>
      </w:r>
      <w:r w:rsidRPr="000B3CAB">
        <w:rPr>
          <w:sz w:val="20"/>
          <w:szCs w:val="20"/>
        </w:rPr>
        <w:t xml:space="preserve">(Oxford: Oxford University Press, 1989) sub verbo </w:t>
      </w:r>
      <w:r>
        <w:rPr>
          <w:sz w:val="20"/>
          <w:szCs w:val="20"/>
        </w:rPr>
        <w:t>“den” and “nest” [Oxford Dictionary].</w:t>
      </w:r>
    </w:p>
    <w:p w14:paraId="7D879947" w14:textId="77777777" w:rsidR="0034630D" w:rsidRPr="00D56411" w:rsidRDefault="0034630D" w:rsidP="0034630D">
      <w:pPr>
        <w:pStyle w:val="WSParaNum"/>
        <w:numPr>
          <w:ilvl w:val="0"/>
          <w:numId w:val="0"/>
        </w:numPr>
        <w:spacing w:before="0" w:after="0" w:line="240" w:lineRule="auto"/>
        <w:ind w:firstLine="720"/>
        <w:rPr>
          <w:sz w:val="20"/>
          <w:szCs w:val="20"/>
        </w:rPr>
      </w:pPr>
    </w:p>
    <w:p w14:paraId="5610426F" w14:textId="4E78FBD2" w:rsidR="0034630D" w:rsidRDefault="0034630D" w:rsidP="0034630D">
      <w:pPr>
        <w:pStyle w:val="WSParaNum"/>
        <w:spacing w:before="0" w:after="0"/>
      </w:pPr>
      <w:r>
        <w:t xml:space="preserve">The purpose of the dwelling-place must also be for one of the enumerated functions (breeding, rearing, staging, wintering or hibernating). The previous definition included an open-ended list of life processes (“including”). Conversely, the new definition is a closed list of specific functions. The definition also includes </w:t>
      </w:r>
      <w:r w:rsidR="00A12307">
        <w:t xml:space="preserve">an </w:t>
      </w:r>
      <w:r>
        <w:t xml:space="preserve">area “immediately around” a dwelling-place. </w:t>
      </w:r>
      <w:r>
        <w:lastRenderedPageBreak/>
        <w:t>While this is not statutorily defined, the Oxford Dictionary describes immediate as “proximate, nearest, next” or of a distance “which is treated as of no account”. It must also be essential for the purposes of breeding, rearing, staging, wintering or hibernating.</w:t>
      </w:r>
    </w:p>
    <w:p w14:paraId="48D19017" w14:textId="3CFB039F" w:rsidR="0034630D" w:rsidRDefault="0034630D" w:rsidP="0034630D">
      <w:pPr>
        <w:pStyle w:val="WSParaNum"/>
        <w:numPr>
          <w:ilvl w:val="0"/>
          <w:numId w:val="0"/>
        </w:numPr>
        <w:spacing w:before="0" w:after="0" w:line="240" w:lineRule="auto"/>
        <w:ind w:firstLine="720"/>
        <w:rPr>
          <w:sz w:val="20"/>
          <w:szCs w:val="20"/>
        </w:rPr>
      </w:pPr>
      <w:r w:rsidRPr="00427264">
        <w:rPr>
          <w:sz w:val="20"/>
          <w:szCs w:val="20"/>
        </w:rPr>
        <w:t>Oxford Dictionary,</w:t>
      </w:r>
      <w:r>
        <w:rPr>
          <w:sz w:val="20"/>
          <w:szCs w:val="20"/>
        </w:rPr>
        <w:t xml:space="preserve"> </w:t>
      </w:r>
      <w:r>
        <w:rPr>
          <w:i/>
          <w:iCs/>
          <w:sz w:val="20"/>
          <w:szCs w:val="20"/>
        </w:rPr>
        <w:t xml:space="preserve">supra </w:t>
      </w:r>
      <w:r>
        <w:rPr>
          <w:sz w:val="20"/>
          <w:szCs w:val="20"/>
        </w:rPr>
        <w:t xml:space="preserve">para </w:t>
      </w:r>
      <w:r w:rsidR="00A12307">
        <w:rPr>
          <w:sz w:val="20"/>
          <w:szCs w:val="20"/>
        </w:rPr>
        <w:t>5</w:t>
      </w:r>
      <w:r w:rsidR="002C1353">
        <w:rPr>
          <w:sz w:val="20"/>
          <w:szCs w:val="20"/>
        </w:rPr>
        <w:t>8</w:t>
      </w:r>
      <w:r w:rsidRPr="00427264">
        <w:rPr>
          <w:sz w:val="20"/>
          <w:szCs w:val="20"/>
        </w:rPr>
        <w:t xml:space="preserve"> sub verbo “immediate”.</w:t>
      </w:r>
    </w:p>
    <w:p w14:paraId="2A918E2F" w14:textId="77777777" w:rsidR="0034630D" w:rsidRPr="00B83E0A" w:rsidRDefault="0034630D" w:rsidP="0034630D">
      <w:pPr>
        <w:pStyle w:val="WSParaNum"/>
        <w:numPr>
          <w:ilvl w:val="0"/>
          <w:numId w:val="0"/>
        </w:numPr>
        <w:spacing w:before="0" w:after="0" w:line="240" w:lineRule="auto"/>
        <w:ind w:firstLine="720"/>
        <w:rPr>
          <w:sz w:val="20"/>
          <w:szCs w:val="20"/>
        </w:rPr>
      </w:pPr>
    </w:p>
    <w:p w14:paraId="2D087405" w14:textId="498AF03A" w:rsidR="0034630D" w:rsidRPr="00B83E0A" w:rsidRDefault="0034630D" w:rsidP="0034630D">
      <w:pPr>
        <w:pStyle w:val="WSParaNum"/>
        <w:spacing w:before="0" w:after="0"/>
      </w:pPr>
      <w:r>
        <w:t>T</w:t>
      </w:r>
      <w:r w:rsidRPr="00B83E0A">
        <w:t>he dwelling-place must be “occupied” or “habitually occupied” by a member of an animal species. This means an animal must be living</w:t>
      </w:r>
      <w:r w:rsidR="002E143A">
        <w:t xml:space="preserve"> in</w:t>
      </w:r>
      <w:r w:rsidRPr="00B83E0A">
        <w:t xml:space="preserve"> or regularly inhabiting the dwelling-place.</w:t>
      </w:r>
    </w:p>
    <w:p w14:paraId="3857C094" w14:textId="55353EDD" w:rsidR="0034630D" w:rsidRDefault="0034630D" w:rsidP="0034630D">
      <w:pPr>
        <w:pStyle w:val="WSParaNum"/>
        <w:numPr>
          <w:ilvl w:val="0"/>
          <w:numId w:val="0"/>
        </w:numPr>
        <w:spacing w:before="0" w:after="0" w:line="240" w:lineRule="auto"/>
        <w:ind w:left="720"/>
        <w:rPr>
          <w:sz w:val="20"/>
          <w:szCs w:val="20"/>
        </w:rPr>
      </w:pPr>
      <w:r w:rsidRPr="00B83E0A">
        <w:rPr>
          <w:sz w:val="20"/>
          <w:szCs w:val="20"/>
        </w:rPr>
        <w:t xml:space="preserve">Oxford Dictionary, </w:t>
      </w:r>
      <w:r>
        <w:rPr>
          <w:i/>
          <w:iCs/>
          <w:sz w:val="20"/>
          <w:szCs w:val="20"/>
        </w:rPr>
        <w:t xml:space="preserve">supra </w:t>
      </w:r>
      <w:r>
        <w:rPr>
          <w:sz w:val="20"/>
          <w:szCs w:val="20"/>
        </w:rPr>
        <w:t xml:space="preserve">para </w:t>
      </w:r>
      <w:r w:rsidR="00A12307">
        <w:rPr>
          <w:sz w:val="20"/>
          <w:szCs w:val="20"/>
        </w:rPr>
        <w:t>5</w:t>
      </w:r>
      <w:r w:rsidR="002C1353">
        <w:rPr>
          <w:sz w:val="20"/>
          <w:szCs w:val="20"/>
        </w:rPr>
        <w:t>8</w:t>
      </w:r>
      <w:r>
        <w:rPr>
          <w:sz w:val="20"/>
          <w:szCs w:val="20"/>
        </w:rPr>
        <w:t xml:space="preserve"> </w:t>
      </w:r>
      <w:r w:rsidRPr="00B83E0A">
        <w:rPr>
          <w:sz w:val="20"/>
          <w:szCs w:val="20"/>
        </w:rPr>
        <w:t xml:space="preserve">sub verbo “occupy”. </w:t>
      </w:r>
    </w:p>
    <w:p w14:paraId="1983C2A9" w14:textId="77777777" w:rsidR="0034630D" w:rsidRPr="00B83E0A" w:rsidRDefault="0034630D" w:rsidP="0034630D">
      <w:pPr>
        <w:pStyle w:val="WSParaNum"/>
        <w:numPr>
          <w:ilvl w:val="0"/>
          <w:numId w:val="0"/>
        </w:numPr>
        <w:spacing w:before="0" w:after="0" w:line="240" w:lineRule="auto"/>
        <w:ind w:left="720"/>
        <w:rPr>
          <w:sz w:val="20"/>
          <w:szCs w:val="20"/>
        </w:rPr>
      </w:pPr>
    </w:p>
    <w:p w14:paraId="6ECF9F83" w14:textId="2E2937CB" w:rsidR="0034630D" w:rsidRDefault="0034630D" w:rsidP="0034630D">
      <w:pPr>
        <w:pStyle w:val="WSParaNum"/>
        <w:spacing w:before="0" w:after="0"/>
      </w:pPr>
      <w:r>
        <w:t xml:space="preserve">Other sections of the </w:t>
      </w:r>
      <w:r>
        <w:rPr>
          <w:i/>
          <w:iCs/>
        </w:rPr>
        <w:t>ESA</w:t>
      </w:r>
      <w:r>
        <w:t xml:space="preserve"> can also help discern the intent behind the amendments. Of particular relevance is other sections that were also amended by the </w:t>
      </w:r>
      <w:r>
        <w:rPr>
          <w:i/>
          <w:iCs/>
        </w:rPr>
        <w:t>POUEA.</w:t>
      </w:r>
      <w:r>
        <w:t xml:space="preserve"> For example, the </w:t>
      </w:r>
      <w:r w:rsidR="00A12307">
        <w:t>p</w:t>
      </w:r>
      <w:r>
        <w:t>urpose</w:t>
      </w:r>
      <w:r w:rsidR="00A12307">
        <w:t xml:space="preserve"> section</w:t>
      </w:r>
      <w:r>
        <w:t xml:space="preserve"> of the </w:t>
      </w:r>
      <w:r>
        <w:rPr>
          <w:i/>
          <w:iCs/>
        </w:rPr>
        <w:t xml:space="preserve">ESA </w:t>
      </w:r>
      <w:r>
        <w:t>was amended to take into account “social and economic considerations including the need for sustainable economic growth in Ontario” alongside the general protection and conservation of species</w:t>
      </w:r>
      <w:r>
        <w:rPr>
          <w:i/>
          <w:iCs/>
        </w:rPr>
        <w:t xml:space="preserve">. </w:t>
      </w:r>
      <w:r>
        <w:t xml:space="preserve">This suggests that the legislature intended to curtail or at least balance species protection with other economic and social interests. </w:t>
      </w:r>
    </w:p>
    <w:p w14:paraId="2E2767CA" w14:textId="18E00563" w:rsidR="0034630D" w:rsidRDefault="0034630D" w:rsidP="0034630D">
      <w:pPr>
        <w:pStyle w:val="WSParaNum"/>
        <w:numPr>
          <w:ilvl w:val="0"/>
          <w:numId w:val="0"/>
        </w:numPr>
        <w:spacing w:before="0" w:after="0" w:line="240" w:lineRule="auto"/>
        <w:ind w:firstLine="720"/>
        <w:rPr>
          <w:sz w:val="20"/>
          <w:szCs w:val="20"/>
        </w:rPr>
      </w:pPr>
      <w:r>
        <w:rPr>
          <w:i/>
          <w:iCs/>
          <w:sz w:val="20"/>
          <w:szCs w:val="20"/>
        </w:rPr>
        <w:t>ESA</w:t>
      </w:r>
      <w:r>
        <w:rPr>
          <w:sz w:val="20"/>
          <w:szCs w:val="20"/>
        </w:rPr>
        <w:t xml:space="preserve">, </w:t>
      </w:r>
      <w:r>
        <w:rPr>
          <w:i/>
          <w:iCs/>
          <w:sz w:val="20"/>
          <w:szCs w:val="20"/>
        </w:rPr>
        <w:t xml:space="preserve">supra </w:t>
      </w:r>
      <w:r>
        <w:rPr>
          <w:sz w:val="20"/>
          <w:szCs w:val="20"/>
        </w:rPr>
        <w:t xml:space="preserve">para </w:t>
      </w:r>
      <w:r w:rsidR="00A12307">
        <w:rPr>
          <w:sz w:val="20"/>
          <w:szCs w:val="20"/>
        </w:rPr>
        <w:t>1</w:t>
      </w:r>
      <w:r>
        <w:rPr>
          <w:sz w:val="20"/>
          <w:szCs w:val="20"/>
        </w:rPr>
        <w:t>,</w:t>
      </w:r>
      <w:r>
        <w:rPr>
          <w:i/>
          <w:iCs/>
          <w:sz w:val="20"/>
          <w:szCs w:val="20"/>
        </w:rPr>
        <w:t xml:space="preserve"> </w:t>
      </w:r>
      <w:r>
        <w:rPr>
          <w:sz w:val="20"/>
          <w:szCs w:val="20"/>
        </w:rPr>
        <w:t>s 1.</w:t>
      </w:r>
    </w:p>
    <w:p w14:paraId="30AD76DD" w14:textId="7FAB8EB6" w:rsidR="00A12307" w:rsidRPr="00A12307" w:rsidRDefault="00A12307" w:rsidP="0034630D">
      <w:pPr>
        <w:pStyle w:val="WSParaNum"/>
        <w:numPr>
          <w:ilvl w:val="0"/>
          <w:numId w:val="0"/>
        </w:numPr>
        <w:spacing w:before="0" w:after="0" w:line="240" w:lineRule="auto"/>
        <w:ind w:firstLine="720"/>
        <w:rPr>
          <w:sz w:val="20"/>
          <w:szCs w:val="20"/>
        </w:rPr>
      </w:pPr>
      <w:r>
        <w:rPr>
          <w:i/>
          <w:iCs/>
          <w:sz w:val="20"/>
          <w:szCs w:val="20"/>
        </w:rPr>
        <w:t>POUEA</w:t>
      </w:r>
      <w:r>
        <w:rPr>
          <w:sz w:val="20"/>
          <w:szCs w:val="20"/>
        </w:rPr>
        <w:t xml:space="preserve">, </w:t>
      </w:r>
      <w:r>
        <w:rPr>
          <w:i/>
          <w:iCs/>
          <w:sz w:val="20"/>
          <w:szCs w:val="20"/>
        </w:rPr>
        <w:t>supra</w:t>
      </w:r>
      <w:r>
        <w:rPr>
          <w:sz w:val="20"/>
          <w:szCs w:val="20"/>
        </w:rPr>
        <w:t xml:space="preserve"> para 5,</w:t>
      </w:r>
      <w:r w:rsidR="00E81AEC">
        <w:rPr>
          <w:sz w:val="20"/>
          <w:szCs w:val="20"/>
        </w:rPr>
        <w:t xml:space="preserve"> s 1(2).</w:t>
      </w:r>
    </w:p>
    <w:p w14:paraId="38C58C52" w14:textId="77777777" w:rsidR="0034630D" w:rsidRPr="00870C6B" w:rsidRDefault="0034630D" w:rsidP="0034630D">
      <w:pPr>
        <w:pStyle w:val="WSParaNum"/>
        <w:numPr>
          <w:ilvl w:val="0"/>
          <w:numId w:val="0"/>
        </w:numPr>
        <w:spacing w:before="0" w:after="0" w:line="240" w:lineRule="auto"/>
        <w:ind w:firstLine="720"/>
        <w:rPr>
          <w:sz w:val="20"/>
          <w:szCs w:val="20"/>
        </w:rPr>
      </w:pPr>
    </w:p>
    <w:p w14:paraId="0DA4FAC3" w14:textId="4369A76C" w:rsidR="0034630D" w:rsidRDefault="0034630D" w:rsidP="0034630D">
      <w:pPr>
        <w:pStyle w:val="WSParaNum"/>
        <w:spacing w:before="0" w:after="0"/>
      </w:pPr>
      <w:r>
        <w:t>Looking at the external context can be useful, provided it is relevant and reliable.</w:t>
      </w:r>
      <w:r w:rsidR="00A92AE2">
        <w:t xml:space="preserve"> </w:t>
      </w:r>
      <w:r w:rsidR="00E81AEC">
        <w:t xml:space="preserve">The </w:t>
      </w:r>
      <w:r>
        <w:t>Hansard, for example, provide</w:t>
      </w:r>
      <w:r w:rsidR="00A92AE2">
        <w:t>s</w:t>
      </w:r>
      <w:r>
        <w:t xml:space="preserve"> insight into the social context at the time of the amendments. </w:t>
      </w:r>
      <w:r w:rsidR="00E81AEC">
        <w:t>It</w:t>
      </w:r>
      <w:r>
        <w:t xml:space="preserve"> indicate</w:t>
      </w:r>
      <w:r w:rsidR="00E81AEC">
        <w:t>s</w:t>
      </w:r>
      <w:r>
        <w:t xml:space="preserve"> that the amendments were influenced by economic considerations: primarily, by the tariffs imposed by </w:t>
      </w:r>
      <w:r w:rsidR="00A92AE2">
        <w:t xml:space="preserve">United States </w:t>
      </w:r>
      <w:r>
        <w:t>President</w:t>
      </w:r>
      <w:r w:rsidR="00A92AE2">
        <w:t>,</w:t>
      </w:r>
      <w:r>
        <w:t xml:space="preserve"> </w:t>
      </w:r>
      <w:r w:rsidR="00A92AE2">
        <w:t xml:space="preserve">Donald </w:t>
      </w:r>
      <w:r>
        <w:t>Trump</w:t>
      </w:r>
      <w:r w:rsidR="00A92AE2">
        <w:t>,</w:t>
      </w:r>
      <w:r>
        <w:t xml:space="preserve"> and the need to expedite the development of mining and critical minerals. This provides an explanation for why the amendments intended to limit species protection.</w:t>
      </w:r>
    </w:p>
    <w:p w14:paraId="0D34BD92" w14:textId="77777777" w:rsidR="0034630D" w:rsidRDefault="0034630D" w:rsidP="0034630D">
      <w:pPr>
        <w:pStyle w:val="WSParaNum"/>
        <w:numPr>
          <w:ilvl w:val="0"/>
          <w:numId w:val="0"/>
        </w:numPr>
        <w:spacing w:before="0" w:after="0" w:line="240" w:lineRule="auto"/>
        <w:ind w:left="720"/>
        <w:rPr>
          <w:sz w:val="20"/>
          <w:szCs w:val="20"/>
        </w:rPr>
      </w:pPr>
      <w:r>
        <w:rPr>
          <w:i/>
          <w:iCs/>
          <w:sz w:val="20"/>
          <w:szCs w:val="20"/>
        </w:rPr>
        <w:t>R v Morgentaler</w:t>
      </w:r>
      <w:r w:rsidRPr="00BA1664">
        <w:rPr>
          <w:sz w:val="20"/>
          <w:szCs w:val="20"/>
        </w:rPr>
        <w:t>,</w:t>
      </w:r>
      <w:r>
        <w:rPr>
          <w:i/>
          <w:iCs/>
          <w:sz w:val="20"/>
          <w:szCs w:val="20"/>
        </w:rPr>
        <w:t xml:space="preserve"> </w:t>
      </w:r>
      <w:r>
        <w:rPr>
          <w:sz w:val="20"/>
          <w:szCs w:val="20"/>
        </w:rPr>
        <w:t>1993 CanLII 74 (SCC).</w:t>
      </w:r>
    </w:p>
    <w:p w14:paraId="3B593C64" w14:textId="77777777" w:rsidR="0034630D" w:rsidRDefault="0034630D" w:rsidP="0034630D">
      <w:pPr>
        <w:pStyle w:val="WSParaNum"/>
        <w:numPr>
          <w:ilvl w:val="0"/>
          <w:numId w:val="0"/>
        </w:numPr>
        <w:spacing w:before="0" w:after="0" w:line="240" w:lineRule="auto"/>
        <w:ind w:left="720"/>
        <w:rPr>
          <w:sz w:val="20"/>
          <w:szCs w:val="20"/>
        </w:rPr>
      </w:pPr>
      <w:r>
        <w:rPr>
          <w:sz w:val="20"/>
          <w:szCs w:val="20"/>
        </w:rPr>
        <w:t xml:space="preserve">Ontario, Legislative Assembly, </w:t>
      </w:r>
      <w:r>
        <w:rPr>
          <w:i/>
          <w:iCs/>
          <w:sz w:val="20"/>
          <w:szCs w:val="20"/>
        </w:rPr>
        <w:t xml:space="preserve">House Documents, </w:t>
      </w:r>
      <w:r>
        <w:rPr>
          <w:sz w:val="20"/>
          <w:szCs w:val="20"/>
        </w:rPr>
        <w:t>44-1 (29 April 2025) online: &lt;</w:t>
      </w:r>
      <w:r w:rsidRPr="00A24686">
        <w:rPr>
          <w:sz w:val="20"/>
          <w:szCs w:val="20"/>
        </w:rPr>
        <w:t>ola.org/en/legislative-business/house-documents/parliament-44/session-1/2025-04-29/hansard#P280_17653</w:t>
      </w:r>
      <w:r>
        <w:rPr>
          <w:sz w:val="20"/>
          <w:szCs w:val="20"/>
        </w:rPr>
        <w:t xml:space="preserve">&gt;. </w:t>
      </w:r>
    </w:p>
    <w:p w14:paraId="696EA490" w14:textId="77777777" w:rsidR="0034630D" w:rsidRPr="00384B49" w:rsidRDefault="0034630D" w:rsidP="0034630D">
      <w:pPr>
        <w:pStyle w:val="WSParaNum"/>
        <w:numPr>
          <w:ilvl w:val="0"/>
          <w:numId w:val="0"/>
        </w:numPr>
        <w:spacing w:before="0" w:after="0" w:line="240" w:lineRule="auto"/>
        <w:rPr>
          <w:sz w:val="20"/>
          <w:szCs w:val="20"/>
        </w:rPr>
      </w:pPr>
    </w:p>
    <w:p w14:paraId="54AC1927" w14:textId="05D4A5CD" w:rsidR="0034630D" w:rsidRDefault="0034630D" w:rsidP="0034630D">
      <w:pPr>
        <w:pStyle w:val="WSParaNum"/>
        <w:spacing w:before="0" w:after="0"/>
      </w:pPr>
      <w:r>
        <w:t xml:space="preserve">Parallel legislation may also </w:t>
      </w:r>
      <w:r w:rsidR="00E81AEC">
        <w:t>provide insight</w:t>
      </w:r>
      <w:r>
        <w:t xml:space="preserve"> on the changes. The </w:t>
      </w:r>
      <w:r>
        <w:rPr>
          <w:i/>
          <w:iCs/>
        </w:rPr>
        <w:t>Species at Risk Act</w:t>
      </w:r>
      <w:r w:rsidR="00E81AEC">
        <w:rPr>
          <w:i/>
          <w:iCs/>
        </w:rPr>
        <w:t xml:space="preserve">, </w:t>
      </w:r>
      <w:r w:rsidR="00E81AEC">
        <w:t>SC 2002, c 29,</w:t>
      </w:r>
      <w:r>
        <w:rPr>
          <w:i/>
          <w:iCs/>
        </w:rPr>
        <w:t xml:space="preserve"> </w:t>
      </w:r>
      <w:r>
        <w:t xml:space="preserve">mirrors many of the same objectives of the </w:t>
      </w:r>
      <w:r>
        <w:rPr>
          <w:i/>
          <w:iCs/>
        </w:rPr>
        <w:t xml:space="preserve">ESA </w:t>
      </w:r>
      <w:r>
        <w:t>at the federal level</w:t>
      </w:r>
      <w:r>
        <w:rPr>
          <w:i/>
          <w:iCs/>
        </w:rPr>
        <w:t xml:space="preserve">. </w:t>
      </w:r>
      <w:r w:rsidR="00E81AEC">
        <w:t>Section 2(1)</w:t>
      </w:r>
      <w:r>
        <w:rPr>
          <w:i/>
          <w:iCs/>
        </w:rPr>
        <w:t xml:space="preserve"> </w:t>
      </w:r>
      <w:r w:rsidR="00E81AEC">
        <w:t>includes</w:t>
      </w:r>
      <w:r>
        <w:t xml:space="preserve"> different definitions pertaining to habitat: “residence”, “habitat”, and “critical habitat”. </w:t>
      </w:r>
      <w:r>
        <w:rPr>
          <w:i/>
          <w:iCs/>
        </w:rPr>
        <w:t xml:space="preserve">SARA </w:t>
      </w:r>
      <w:r>
        <w:t>defines habitat as an area that a species “depends on directly or indirectly to carry out its life processes”</w:t>
      </w:r>
      <w:r w:rsidR="0007124A">
        <w:t>,</w:t>
      </w:r>
      <w:r>
        <w:t xml:space="preserve"> closely mirroring the previous version of habitat in the </w:t>
      </w:r>
      <w:r>
        <w:rPr>
          <w:i/>
          <w:iCs/>
        </w:rPr>
        <w:t>ESA.</w:t>
      </w:r>
      <w:r>
        <w:t xml:space="preserve"> Conversely, residence refers to a “dwelling-place, such as a den, nest or other similar area or place...” for the purposes of breeding, rearing, staging, wintering, feeding or hibernating. This is very similar to </w:t>
      </w:r>
      <w:r>
        <w:lastRenderedPageBreak/>
        <w:t xml:space="preserve">the new definition of habitat under the </w:t>
      </w:r>
      <w:r>
        <w:rPr>
          <w:i/>
          <w:iCs/>
        </w:rPr>
        <w:t>ESA</w:t>
      </w:r>
      <w:r>
        <w:t xml:space="preserve">. The definition of habitat in </w:t>
      </w:r>
      <w:r>
        <w:rPr>
          <w:i/>
          <w:iCs/>
        </w:rPr>
        <w:t xml:space="preserve">SARA </w:t>
      </w:r>
      <w:r>
        <w:t>has been described as</w:t>
      </w:r>
      <w:r w:rsidR="002E143A">
        <w:t xml:space="preserve"> a</w:t>
      </w:r>
      <w:r>
        <w:t xml:space="preserve"> “broader area than a residence”. Th</w:t>
      </w:r>
      <w:r w:rsidR="00A92AE2">
        <w:t>us, th</w:t>
      </w:r>
      <w:r>
        <w:t xml:space="preserve">e fact that residence was given a distinct and more narrow definition than habitat under </w:t>
      </w:r>
      <w:r>
        <w:rPr>
          <w:i/>
          <w:iCs/>
        </w:rPr>
        <w:t xml:space="preserve">SARA </w:t>
      </w:r>
      <w:r>
        <w:t xml:space="preserve">suggests that the new </w:t>
      </w:r>
      <w:r w:rsidR="00A92AE2">
        <w:rPr>
          <w:i/>
          <w:iCs/>
        </w:rPr>
        <w:t xml:space="preserve">ESA </w:t>
      </w:r>
      <w:r>
        <w:t xml:space="preserve">definition is </w:t>
      </w:r>
      <w:r w:rsidR="00A92AE2">
        <w:t xml:space="preserve">also </w:t>
      </w:r>
      <w:r>
        <w:t>intended to be narrower and distinct from the previous definition.</w:t>
      </w:r>
    </w:p>
    <w:p w14:paraId="6DE0EC9C" w14:textId="416E3CC4" w:rsidR="0034630D" w:rsidRPr="002E55DC" w:rsidRDefault="0034630D" w:rsidP="0034630D">
      <w:pPr>
        <w:pStyle w:val="WSParaNum"/>
        <w:numPr>
          <w:ilvl w:val="0"/>
          <w:numId w:val="0"/>
        </w:numPr>
        <w:spacing w:before="0" w:after="0" w:line="240" w:lineRule="auto"/>
        <w:ind w:left="720"/>
        <w:rPr>
          <w:sz w:val="20"/>
          <w:szCs w:val="20"/>
        </w:rPr>
      </w:pPr>
      <w:r w:rsidRPr="002E55DC">
        <w:rPr>
          <w:i/>
          <w:iCs/>
          <w:sz w:val="20"/>
          <w:szCs w:val="20"/>
        </w:rPr>
        <w:t>Groupe Maison Candiac Inc v Canada (Attorney General)</w:t>
      </w:r>
      <w:r w:rsidRPr="00BA1664">
        <w:rPr>
          <w:sz w:val="20"/>
          <w:szCs w:val="20"/>
        </w:rPr>
        <w:t xml:space="preserve">, </w:t>
      </w:r>
      <w:r w:rsidRPr="002E55DC">
        <w:rPr>
          <w:sz w:val="20"/>
          <w:szCs w:val="20"/>
        </w:rPr>
        <w:t>2023 FC 1720 at para 99.</w:t>
      </w:r>
    </w:p>
    <w:p w14:paraId="68E207E4" w14:textId="07134394" w:rsidR="0034630D" w:rsidRPr="00633712" w:rsidRDefault="0034630D" w:rsidP="00633712">
      <w:pPr>
        <w:pStyle w:val="Heading3"/>
      </w:pPr>
      <w:bookmarkStart w:id="27" w:name="_Toc220051351"/>
      <w:r w:rsidRPr="00633712">
        <w:t xml:space="preserve">CHL Would Not </w:t>
      </w:r>
      <w:r w:rsidR="00A92AE2" w:rsidRPr="00633712">
        <w:t>B</w:t>
      </w:r>
      <w:r w:rsidRPr="00633712">
        <w:t>e Found Guilty if the Amendments to Habitat Had Been in Force</w:t>
      </w:r>
      <w:bookmarkEnd w:id="27"/>
    </w:p>
    <w:p w14:paraId="4255B355" w14:textId="52B89AA6" w:rsidR="0034630D" w:rsidRDefault="0034630D" w:rsidP="0034630D">
      <w:pPr>
        <w:pStyle w:val="WSParaNum"/>
        <w:spacing w:before="0" w:after="0"/>
      </w:pPr>
      <w:r>
        <w:t>For a successful conviction</w:t>
      </w:r>
      <w:r w:rsidR="00A92AE2">
        <w:t xml:space="preserve">, </w:t>
      </w:r>
      <w:r>
        <w:t xml:space="preserve">CHL would need to be guilty of </w:t>
      </w:r>
      <w:r w:rsidR="00A92AE2">
        <w:t xml:space="preserve">damaging or </w:t>
      </w:r>
      <w:r>
        <w:t>destroying the habitat of Blanding’s Turtle</w:t>
      </w:r>
      <w:r w:rsidR="00A92AE2">
        <w:t>s. A</w:t>
      </w:r>
      <w:r>
        <w:t xml:space="preserve">s discussed above, </w:t>
      </w:r>
      <w:r w:rsidR="00A92AE2">
        <w:t xml:space="preserve">habitat </w:t>
      </w:r>
      <w:r>
        <w:t>is restricted to the dwelling-place or area immediately around it occupied by a Blanding’s Turtle for the purpose of breeding, rearing, staging, wintering or hibernating.</w:t>
      </w:r>
    </w:p>
    <w:p w14:paraId="6CCDA73B" w14:textId="566AEDAC" w:rsidR="0034630D" w:rsidRDefault="0034630D" w:rsidP="0034630D">
      <w:pPr>
        <w:pStyle w:val="WSParaNum"/>
        <w:numPr>
          <w:ilvl w:val="0"/>
          <w:numId w:val="0"/>
        </w:numPr>
        <w:spacing w:before="0" w:after="0" w:line="240" w:lineRule="auto"/>
        <w:ind w:left="720"/>
        <w:rPr>
          <w:sz w:val="20"/>
          <w:szCs w:val="20"/>
        </w:rPr>
      </w:pPr>
      <w:r w:rsidRPr="00557632">
        <w:rPr>
          <w:i/>
          <w:iCs/>
          <w:sz w:val="20"/>
          <w:szCs w:val="20"/>
        </w:rPr>
        <w:t>ESA</w:t>
      </w:r>
      <w:r>
        <w:rPr>
          <w:sz w:val="20"/>
          <w:szCs w:val="20"/>
        </w:rPr>
        <w:t xml:space="preserve">, </w:t>
      </w:r>
      <w:r>
        <w:rPr>
          <w:i/>
          <w:iCs/>
          <w:sz w:val="20"/>
          <w:szCs w:val="20"/>
        </w:rPr>
        <w:t xml:space="preserve">supra </w:t>
      </w:r>
      <w:r>
        <w:rPr>
          <w:sz w:val="20"/>
          <w:szCs w:val="20"/>
        </w:rPr>
        <w:t xml:space="preserve">para </w:t>
      </w:r>
      <w:r w:rsidR="00A92AE2">
        <w:rPr>
          <w:sz w:val="20"/>
          <w:szCs w:val="20"/>
        </w:rPr>
        <w:t>1</w:t>
      </w:r>
      <w:r>
        <w:rPr>
          <w:sz w:val="20"/>
          <w:szCs w:val="20"/>
        </w:rPr>
        <w:t>,</w:t>
      </w:r>
      <w:r>
        <w:rPr>
          <w:i/>
          <w:iCs/>
          <w:sz w:val="20"/>
          <w:szCs w:val="20"/>
        </w:rPr>
        <w:t xml:space="preserve"> </w:t>
      </w:r>
      <w:r w:rsidRPr="00557632">
        <w:rPr>
          <w:sz w:val="20"/>
          <w:szCs w:val="20"/>
        </w:rPr>
        <w:t>s 10(1).</w:t>
      </w:r>
    </w:p>
    <w:p w14:paraId="336D7FF8" w14:textId="583A0DDA" w:rsidR="00A92AE2" w:rsidRPr="00A92AE2" w:rsidRDefault="00A92AE2" w:rsidP="0034630D">
      <w:pPr>
        <w:pStyle w:val="WSParaNum"/>
        <w:numPr>
          <w:ilvl w:val="0"/>
          <w:numId w:val="0"/>
        </w:numPr>
        <w:spacing w:before="0" w:after="0" w:line="240" w:lineRule="auto"/>
        <w:ind w:left="720"/>
        <w:rPr>
          <w:sz w:val="20"/>
          <w:szCs w:val="20"/>
        </w:rPr>
      </w:pPr>
      <w:r>
        <w:rPr>
          <w:i/>
          <w:iCs/>
          <w:sz w:val="20"/>
          <w:szCs w:val="20"/>
        </w:rPr>
        <w:t>POUEA</w:t>
      </w:r>
      <w:r>
        <w:rPr>
          <w:sz w:val="20"/>
          <w:szCs w:val="20"/>
        </w:rPr>
        <w:t xml:space="preserve">, </w:t>
      </w:r>
      <w:r>
        <w:rPr>
          <w:i/>
          <w:iCs/>
          <w:sz w:val="20"/>
          <w:szCs w:val="20"/>
        </w:rPr>
        <w:t xml:space="preserve">supra </w:t>
      </w:r>
      <w:r>
        <w:rPr>
          <w:sz w:val="20"/>
          <w:szCs w:val="20"/>
        </w:rPr>
        <w:t>para 5,</w:t>
      </w:r>
      <w:r w:rsidR="00F1643D">
        <w:rPr>
          <w:sz w:val="20"/>
          <w:szCs w:val="20"/>
        </w:rPr>
        <w:t xml:space="preserve"> </w:t>
      </w:r>
      <w:r>
        <w:rPr>
          <w:sz w:val="20"/>
          <w:szCs w:val="20"/>
        </w:rPr>
        <w:t>s</w:t>
      </w:r>
      <w:r w:rsidR="00F1643D">
        <w:rPr>
          <w:sz w:val="20"/>
          <w:szCs w:val="20"/>
        </w:rPr>
        <w:t xml:space="preserve"> </w:t>
      </w:r>
      <w:r>
        <w:rPr>
          <w:sz w:val="20"/>
          <w:szCs w:val="20"/>
        </w:rPr>
        <w:t>1(3).</w:t>
      </w:r>
    </w:p>
    <w:p w14:paraId="28957D18" w14:textId="77777777" w:rsidR="0034630D" w:rsidRPr="00557632" w:rsidRDefault="0034630D" w:rsidP="0034630D">
      <w:pPr>
        <w:pStyle w:val="WSParaNum"/>
        <w:numPr>
          <w:ilvl w:val="0"/>
          <w:numId w:val="0"/>
        </w:numPr>
        <w:spacing w:before="0" w:after="0" w:line="240" w:lineRule="auto"/>
        <w:ind w:left="720"/>
        <w:rPr>
          <w:sz w:val="20"/>
          <w:szCs w:val="20"/>
        </w:rPr>
      </w:pPr>
    </w:p>
    <w:p w14:paraId="09ECC289" w14:textId="46982FD3" w:rsidR="0034630D" w:rsidRDefault="0034630D" w:rsidP="0034630D">
      <w:pPr>
        <w:pStyle w:val="WSParaNum"/>
        <w:spacing w:before="0" w:after="0"/>
      </w:pPr>
      <w:r>
        <w:t>This w</w:t>
      </w:r>
      <w:r w:rsidR="00A92AE2">
        <w:t>ould</w:t>
      </w:r>
      <w:r>
        <w:t xml:space="preserve"> be accomplished if the Crown c</w:t>
      </w:r>
      <w:r w:rsidR="00A92AE2">
        <w:t>ould</w:t>
      </w:r>
      <w:r>
        <w:t xml:space="preserve"> prove CHL committed the </w:t>
      </w:r>
      <w:r w:rsidRPr="007E270A">
        <w:rPr>
          <w:i/>
          <w:iCs/>
        </w:rPr>
        <w:t>actus reus</w:t>
      </w:r>
      <w:r>
        <w:t xml:space="preserve"> beyond a reasonable doubt, and CHL could not prove a defence on </w:t>
      </w:r>
      <w:r w:rsidR="00A92AE2">
        <w:t>the</w:t>
      </w:r>
      <w:r>
        <w:t xml:space="preserve"> balance of probabilities. </w:t>
      </w:r>
    </w:p>
    <w:p w14:paraId="5AEFB9D1" w14:textId="77777777" w:rsidR="0034630D" w:rsidRPr="006D4AD7" w:rsidRDefault="0034630D" w:rsidP="0034630D">
      <w:pPr>
        <w:pStyle w:val="WSParaNum"/>
        <w:numPr>
          <w:ilvl w:val="0"/>
          <w:numId w:val="0"/>
        </w:numPr>
        <w:spacing w:before="0" w:after="0" w:line="240" w:lineRule="auto"/>
        <w:ind w:left="720"/>
        <w:rPr>
          <w:sz w:val="20"/>
          <w:szCs w:val="20"/>
        </w:rPr>
      </w:pPr>
      <w:r w:rsidRPr="0038295D">
        <w:rPr>
          <w:i/>
          <w:iCs/>
          <w:sz w:val="20"/>
          <w:szCs w:val="20"/>
        </w:rPr>
        <w:t xml:space="preserve">R v Sault Ste Marie, </w:t>
      </w:r>
      <w:r w:rsidRPr="0038295D">
        <w:rPr>
          <w:sz w:val="20"/>
          <w:szCs w:val="20"/>
        </w:rPr>
        <w:t>1978 CanLII 11</w:t>
      </w:r>
      <w:r>
        <w:rPr>
          <w:i/>
          <w:iCs/>
          <w:sz w:val="20"/>
          <w:szCs w:val="20"/>
        </w:rPr>
        <w:t xml:space="preserve"> </w:t>
      </w:r>
      <w:r>
        <w:rPr>
          <w:sz w:val="20"/>
          <w:szCs w:val="20"/>
        </w:rPr>
        <w:t>at 1300, 1325 [</w:t>
      </w:r>
      <w:r>
        <w:rPr>
          <w:i/>
          <w:iCs/>
          <w:sz w:val="20"/>
          <w:szCs w:val="20"/>
        </w:rPr>
        <w:t>Sault Ste Marie</w:t>
      </w:r>
      <w:r>
        <w:rPr>
          <w:sz w:val="20"/>
          <w:szCs w:val="20"/>
        </w:rPr>
        <w:t>].</w:t>
      </w:r>
    </w:p>
    <w:p w14:paraId="39B85BAC" w14:textId="77777777" w:rsidR="0034630D" w:rsidRPr="00DC264A" w:rsidRDefault="0034630D" w:rsidP="0034630D">
      <w:pPr>
        <w:pStyle w:val="WSParaNum"/>
        <w:numPr>
          <w:ilvl w:val="0"/>
          <w:numId w:val="0"/>
        </w:numPr>
        <w:spacing w:before="0" w:after="0" w:line="240" w:lineRule="auto"/>
        <w:ind w:left="720"/>
        <w:rPr>
          <w:sz w:val="20"/>
          <w:szCs w:val="20"/>
        </w:rPr>
      </w:pPr>
    </w:p>
    <w:p w14:paraId="70A199AB" w14:textId="0F11B6B9" w:rsidR="0034630D" w:rsidRDefault="00A92AE2" w:rsidP="0034630D">
      <w:pPr>
        <w:pStyle w:val="WSParaNum"/>
        <w:spacing w:before="0" w:after="0"/>
      </w:pPr>
      <w:r>
        <w:rPr>
          <w:bCs/>
        </w:rPr>
        <w:t>However, t</w:t>
      </w:r>
      <w:r w:rsidR="0034630D">
        <w:rPr>
          <w:bCs/>
        </w:rPr>
        <w:t xml:space="preserve">he Crown would </w:t>
      </w:r>
      <w:r w:rsidR="0034630D" w:rsidRPr="00A92AE2">
        <w:rPr>
          <w:bCs/>
          <w:i/>
          <w:iCs/>
        </w:rPr>
        <w:t>not</w:t>
      </w:r>
      <w:r w:rsidR="0034630D">
        <w:rPr>
          <w:bCs/>
        </w:rPr>
        <w:t xml:space="preserve"> be able to prove the offence beyond a reasonable doubt. </w:t>
      </w:r>
      <w:r w:rsidR="00191BFA">
        <w:t>Under the previous definition, the likelihood of harm to habitat was minimal, as the Site was not used directly or indirectly. However, with the new definition narrowing the scope of habitat, the likelihood of harm is even smaller, as there was no proof of any dwelling-sites at the Site.</w:t>
      </w:r>
    </w:p>
    <w:p w14:paraId="02911A34" w14:textId="1B79C71A" w:rsidR="0034630D" w:rsidRPr="00BF20A4" w:rsidRDefault="0034630D" w:rsidP="0034630D">
      <w:pPr>
        <w:pStyle w:val="WSParaNum"/>
        <w:spacing w:before="0" w:after="0"/>
        <w:rPr>
          <w:bCs/>
        </w:rPr>
      </w:pPr>
      <w:r>
        <w:rPr>
          <w:bCs/>
        </w:rPr>
        <w:t xml:space="preserve">The Crown’s expert witness, </w:t>
      </w:r>
      <w:r w:rsidRPr="00BF20A4">
        <w:rPr>
          <w:bCs/>
        </w:rPr>
        <w:t>Mr. Snell</w:t>
      </w:r>
      <w:r>
        <w:rPr>
          <w:bCs/>
        </w:rPr>
        <w:t>,</w:t>
      </w:r>
      <w:r w:rsidRPr="00BF20A4">
        <w:rPr>
          <w:bCs/>
        </w:rPr>
        <w:t xml:space="preserve"> could not confirm that the area was directly used by Blanding’s </w:t>
      </w:r>
      <w:r>
        <w:rPr>
          <w:bCs/>
        </w:rPr>
        <w:t>Turtle</w:t>
      </w:r>
      <w:r w:rsidR="002E143A">
        <w:rPr>
          <w:bCs/>
        </w:rPr>
        <w:t>s</w:t>
      </w:r>
      <w:r w:rsidRPr="00BF20A4">
        <w:rPr>
          <w:bCs/>
        </w:rPr>
        <w:t xml:space="preserve">. He inferred that the area had potential as habitat due to the presence of Blanding’s </w:t>
      </w:r>
      <w:r>
        <w:rPr>
          <w:bCs/>
        </w:rPr>
        <w:t>Turtle</w:t>
      </w:r>
      <w:r w:rsidR="002E143A">
        <w:rPr>
          <w:bCs/>
        </w:rPr>
        <w:t>s</w:t>
      </w:r>
      <w:r w:rsidRPr="00BF20A4">
        <w:rPr>
          <w:bCs/>
        </w:rPr>
        <w:t xml:space="preserve"> “adjacent to the subject property or within the lake itself”</w:t>
      </w:r>
      <w:r w:rsidR="0007124A">
        <w:rPr>
          <w:bCs/>
        </w:rPr>
        <w:t>.</w:t>
      </w:r>
      <w:r w:rsidRPr="00BF20A4">
        <w:rPr>
          <w:bCs/>
        </w:rPr>
        <w:t xml:space="preserve"> He had no proof that there was nesting, thermogenic or travel activities in the impugned area. Furthermore, his conclusions were based on personal experience rather than a proper survey. </w:t>
      </w:r>
    </w:p>
    <w:p w14:paraId="13A6F1B8" w14:textId="5842730B" w:rsidR="0034630D" w:rsidRDefault="001B4B84" w:rsidP="0034630D">
      <w:pPr>
        <w:pStyle w:val="WSParaNum"/>
        <w:numPr>
          <w:ilvl w:val="0"/>
          <w:numId w:val="0"/>
        </w:numPr>
        <w:spacing w:before="0" w:after="0" w:line="240" w:lineRule="auto"/>
        <w:ind w:left="720"/>
        <w:rPr>
          <w:bCs/>
          <w:sz w:val="20"/>
          <w:szCs w:val="20"/>
        </w:rPr>
      </w:pPr>
      <w:r>
        <w:rPr>
          <w:bCs/>
          <w:i/>
          <w:iCs/>
          <w:sz w:val="20"/>
          <w:szCs w:val="20"/>
        </w:rPr>
        <w:t>ONCJ</w:t>
      </w:r>
      <w:r w:rsidR="0034630D" w:rsidRPr="000308BF">
        <w:rPr>
          <w:bCs/>
          <w:i/>
          <w:iCs/>
          <w:sz w:val="20"/>
          <w:szCs w:val="20"/>
        </w:rPr>
        <w:t xml:space="preserve"> Reasons</w:t>
      </w:r>
      <w:r w:rsidR="0034630D">
        <w:rPr>
          <w:bCs/>
          <w:sz w:val="20"/>
          <w:szCs w:val="20"/>
        </w:rPr>
        <w:t xml:space="preserve">, </w:t>
      </w:r>
      <w:r w:rsidR="0034630D">
        <w:rPr>
          <w:bCs/>
          <w:i/>
          <w:iCs/>
          <w:sz w:val="20"/>
          <w:szCs w:val="20"/>
        </w:rPr>
        <w:t xml:space="preserve">supra </w:t>
      </w:r>
      <w:r w:rsidR="0034630D">
        <w:rPr>
          <w:bCs/>
          <w:sz w:val="20"/>
          <w:szCs w:val="20"/>
        </w:rPr>
        <w:t xml:space="preserve">para </w:t>
      </w:r>
      <w:r w:rsidR="00A92AE2">
        <w:rPr>
          <w:bCs/>
          <w:sz w:val="20"/>
          <w:szCs w:val="20"/>
        </w:rPr>
        <w:t>8</w:t>
      </w:r>
      <w:r w:rsidR="0034630D">
        <w:rPr>
          <w:bCs/>
          <w:sz w:val="20"/>
          <w:szCs w:val="20"/>
        </w:rPr>
        <w:t xml:space="preserve"> </w:t>
      </w:r>
      <w:r w:rsidR="0034630D" w:rsidRPr="00D63B3A">
        <w:rPr>
          <w:bCs/>
          <w:sz w:val="20"/>
          <w:szCs w:val="20"/>
        </w:rPr>
        <w:t xml:space="preserve">at </w:t>
      </w:r>
      <w:r w:rsidR="0034630D">
        <w:rPr>
          <w:bCs/>
          <w:sz w:val="20"/>
          <w:szCs w:val="20"/>
        </w:rPr>
        <w:t>13</w:t>
      </w:r>
      <w:r w:rsidR="0034630D">
        <w:rPr>
          <w:sz w:val="20"/>
          <w:szCs w:val="20"/>
        </w:rPr>
        <w:t>–</w:t>
      </w:r>
      <w:r w:rsidR="0034630D">
        <w:rPr>
          <w:bCs/>
          <w:sz w:val="20"/>
          <w:szCs w:val="20"/>
        </w:rPr>
        <w:t>1</w:t>
      </w:r>
      <w:r w:rsidR="0034630D" w:rsidRPr="00D63B3A">
        <w:rPr>
          <w:bCs/>
          <w:sz w:val="20"/>
          <w:szCs w:val="20"/>
        </w:rPr>
        <w:t>4</w:t>
      </w:r>
      <w:r w:rsidR="0034630D">
        <w:rPr>
          <w:bCs/>
          <w:sz w:val="20"/>
          <w:szCs w:val="20"/>
        </w:rPr>
        <w:t>.</w:t>
      </w:r>
    </w:p>
    <w:p w14:paraId="0693D580" w14:textId="77777777" w:rsidR="0034630D" w:rsidRPr="00D63B3A" w:rsidRDefault="0034630D" w:rsidP="0034630D">
      <w:pPr>
        <w:pStyle w:val="WSParaNum"/>
        <w:numPr>
          <w:ilvl w:val="0"/>
          <w:numId w:val="0"/>
        </w:numPr>
        <w:spacing w:before="0" w:after="0" w:line="240" w:lineRule="auto"/>
        <w:ind w:left="720"/>
        <w:rPr>
          <w:bCs/>
          <w:sz w:val="20"/>
          <w:szCs w:val="20"/>
        </w:rPr>
      </w:pPr>
    </w:p>
    <w:p w14:paraId="707235B6" w14:textId="4BD15CCF" w:rsidR="0034630D" w:rsidRDefault="0034630D" w:rsidP="0034630D">
      <w:pPr>
        <w:pStyle w:val="WSParaNum"/>
        <w:spacing w:before="0" w:after="0"/>
        <w:rPr>
          <w:bCs/>
        </w:rPr>
      </w:pPr>
      <w:r>
        <w:rPr>
          <w:bCs/>
        </w:rPr>
        <w:t xml:space="preserve">The GHD was relied on to conclude the area was </w:t>
      </w:r>
      <w:r w:rsidR="002E143A">
        <w:rPr>
          <w:bCs/>
        </w:rPr>
        <w:t xml:space="preserve">Category 2 </w:t>
      </w:r>
      <w:r>
        <w:rPr>
          <w:bCs/>
        </w:rPr>
        <w:t>Blanding’s Turtle habitat. Category 2 habitat refers to the area that is 30 meters around wetlands and waterbodies. It provides a “range of functional benefits to aquatic features and wetlands</w:t>
      </w:r>
      <w:r w:rsidR="0007124A">
        <w:rPr>
          <w:bCs/>
        </w:rPr>
        <w:t>.”</w:t>
      </w:r>
      <w:r>
        <w:rPr>
          <w:bCs/>
        </w:rPr>
        <w:t xml:space="preserve"> However, these areas do not necessarily contain the dwelling or nesting areas of Blanding’s Turtle</w:t>
      </w:r>
      <w:r w:rsidR="00C16F2A">
        <w:rPr>
          <w:bCs/>
        </w:rPr>
        <w:t>s</w:t>
      </w:r>
      <w:r>
        <w:rPr>
          <w:bCs/>
        </w:rPr>
        <w:t xml:space="preserve">. These would be considered Category 1 habitat, which is defined as the “[n]est sites and overwintering sites” of </w:t>
      </w:r>
      <w:r>
        <w:rPr>
          <w:bCs/>
        </w:rPr>
        <w:lastRenderedPageBreak/>
        <w:t>Blanding’s Turtle</w:t>
      </w:r>
      <w:r w:rsidR="00C16F2A">
        <w:rPr>
          <w:bCs/>
        </w:rPr>
        <w:t>s</w:t>
      </w:r>
      <w:r>
        <w:rPr>
          <w:bCs/>
        </w:rPr>
        <w:t xml:space="preserve">. The </w:t>
      </w:r>
      <w:r w:rsidR="002762CE">
        <w:rPr>
          <w:bCs/>
        </w:rPr>
        <w:t>Site</w:t>
      </w:r>
      <w:r>
        <w:rPr>
          <w:bCs/>
        </w:rPr>
        <w:t xml:space="preserve"> was explicitly outside of the hatched area as noted in the stop work order</w:t>
      </w:r>
      <w:r w:rsidR="00C16F2A">
        <w:rPr>
          <w:bCs/>
        </w:rPr>
        <w:t xml:space="preserve"> issued to CHL in November 2017</w:t>
      </w:r>
      <w:r>
        <w:rPr>
          <w:bCs/>
        </w:rPr>
        <w:t>.</w:t>
      </w:r>
    </w:p>
    <w:p w14:paraId="68837961" w14:textId="0961CA86" w:rsidR="0034630D" w:rsidRDefault="0034630D" w:rsidP="0034630D">
      <w:pPr>
        <w:pStyle w:val="WSParaNum"/>
        <w:numPr>
          <w:ilvl w:val="0"/>
          <w:numId w:val="0"/>
        </w:numPr>
        <w:spacing w:before="0" w:after="0" w:line="240" w:lineRule="auto"/>
        <w:ind w:left="720"/>
        <w:rPr>
          <w:bCs/>
          <w:sz w:val="20"/>
          <w:szCs w:val="20"/>
        </w:rPr>
      </w:pPr>
      <w:r>
        <w:rPr>
          <w:bCs/>
          <w:sz w:val="20"/>
          <w:szCs w:val="20"/>
        </w:rPr>
        <w:t xml:space="preserve">MECP, </w:t>
      </w:r>
      <w:r>
        <w:rPr>
          <w:bCs/>
          <w:i/>
          <w:iCs/>
          <w:sz w:val="20"/>
          <w:szCs w:val="20"/>
        </w:rPr>
        <w:t xml:space="preserve">supra </w:t>
      </w:r>
      <w:r>
        <w:rPr>
          <w:bCs/>
          <w:sz w:val="20"/>
          <w:szCs w:val="20"/>
        </w:rPr>
        <w:t xml:space="preserve">para </w:t>
      </w:r>
      <w:r w:rsidR="002C1353">
        <w:rPr>
          <w:bCs/>
          <w:sz w:val="20"/>
          <w:szCs w:val="20"/>
        </w:rPr>
        <w:t>39</w:t>
      </w:r>
      <w:r w:rsidRPr="001B4547">
        <w:rPr>
          <w:bCs/>
          <w:sz w:val="20"/>
          <w:szCs w:val="20"/>
        </w:rPr>
        <w:t xml:space="preserve"> at 1</w:t>
      </w:r>
      <w:r>
        <w:rPr>
          <w:sz w:val="20"/>
          <w:szCs w:val="20"/>
        </w:rPr>
        <w:t>–</w:t>
      </w:r>
      <w:r w:rsidRPr="001B4547">
        <w:rPr>
          <w:bCs/>
          <w:sz w:val="20"/>
          <w:szCs w:val="20"/>
        </w:rPr>
        <w:t xml:space="preserve">3.  </w:t>
      </w:r>
    </w:p>
    <w:p w14:paraId="16D47E98" w14:textId="2989BBE8" w:rsidR="0034630D" w:rsidRDefault="001B4B84" w:rsidP="0034630D">
      <w:pPr>
        <w:pStyle w:val="WSParaNum"/>
        <w:numPr>
          <w:ilvl w:val="0"/>
          <w:numId w:val="0"/>
        </w:numPr>
        <w:spacing w:before="0" w:after="0" w:line="240" w:lineRule="auto"/>
        <w:ind w:left="720"/>
        <w:rPr>
          <w:bCs/>
          <w:sz w:val="20"/>
          <w:szCs w:val="20"/>
        </w:rPr>
      </w:pPr>
      <w:r>
        <w:rPr>
          <w:bCs/>
          <w:i/>
          <w:iCs/>
          <w:sz w:val="20"/>
          <w:szCs w:val="20"/>
        </w:rPr>
        <w:t>ONCJ</w:t>
      </w:r>
      <w:r w:rsidR="0034630D" w:rsidRPr="000308BF">
        <w:rPr>
          <w:bCs/>
          <w:i/>
          <w:iCs/>
          <w:sz w:val="20"/>
          <w:szCs w:val="20"/>
        </w:rPr>
        <w:t xml:space="preserve"> Reasons</w:t>
      </w:r>
      <w:r w:rsidR="0034630D">
        <w:rPr>
          <w:bCs/>
          <w:sz w:val="20"/>
          <w:szCs w:val="20"/>
        </w:rPr>
        <w:t xml:space="preserve">, </w:t>
      </w:r>
      <w:r w:rsidR="0034630D">
        <w:rPr>
          <w:bCs/>
          <w:i/>
          <w:iCs/>
          <w:sz w:val="20"/>
          <w:szCs w:val="20"/>
        </w:rPr>
        <w:t xml:space="preserve">supra </w:t>
      </w:r>
      <w:r w:rsidR="0034630D">
        <w:rPr>
          <w:bCs/>
          <w:sz w:val="20"/>
          <w:szCs w:val="20"/>
        </w:rPr>
        <w:t xml:space="preserve">para </w:t>
      </w:r>
      <w:r w:rsidR="00C16F2A">
        <w:rPr>
          <w:bCs/>
          <w:sz w:val="20"/>
          <w:szCs w:val="20"/>
        </w:rPr>
        <w:t>8</w:t>
      </w:r>
      <w:r w:rsidR="0034630D">
        <w:rPr>
          <w:bCs/>
          <w:sz w:val="20"/>
          <w:szCs w:val="20"/>
        </w:rPr>
        <w:t xml:space="preserve"> at 16.</w:t>
      </w:r>
    </w:p>
    <w:p w14:paraId="71094676" w14:textId="77777777" w:rsidR="0034630D" w:rsidRPr="001B4547" w:rsidRDefault="0034630D" w:rsidP="0034630D">
      <w:pPr>
        <w:pStyle w:val="WSParaNum"/>
        <w:numPr>
          <w:ilvl w:val="0"/>
          <w:numId w:val="0"/>
        </w:numPr>
        <w:spacing w:before="0" w:after="0" w:line="240" w:lineRule="auto"/>
        <w:ind w:left="720"/>
        <w:rPr>
          <w:bCs/>
          <w:sz w:val="20"/>
          <w:szCs w:val="20"/>
        </w:rPr>
      </w:pPr>
    </w:p>
    <w:p w14:paraId="0BE11462" w14:textId="5694D4FC" w:rsidR="0034630D" w:rsidRDefault="0034630D" w:rsidP="0034630D">
      <w:pPr>
        <w:pStyle w:val="WSParaNum"/>
        <w:spacing w:before="0" w:after="0"/>
      </w:pPr>
      <w:r>
        <w:t xml:space="preserve">Other witnesses and reports could also not confirm </w:t>
      </w:r>
      <w:r w:rsidR="002762CE">
        <w:t xml:space="preserve">that </w:t>
      </w:r>
      <w:r>
        <w:t xml:space="preserve">the area was used for “breeding, rearing, staging, wintering or hibernating”. </w:t>
      </w:r>
      <w:r w:rsidR="00C16F2A">
        <w:t xml:space="preserve">Ms. </w:t>
      </w:r>
      <w:r>
        <w:t xml:space="preserve">Murphy, </w:t>
      </w:r>
      <w:r w:rsidR="002E143A">
        <w:t>a</w:t>
      </w:r>
      <w:r>
        <w:t xml:space="preserve"> regulations officer with North Bay Mattawa Conservation Authority, stated that it was a “possibility” that the area was habitat for Blanding’s Turtle</w:t>
      </w:r>
      <w:r w:rsidR="00C16F2A">
        <w:t>s</w:t>
      </w:r>
      <w:r>
        <w:t>. Similarly, Mr. Miller, a land surveyor, said the site was “likely” Blanding’s Turtle habitat</w:t>
      </w:r>
      <w:r w:rsidR="002762CE">
        <w:t xml:space="preserve">, however </w:t>
      </w:r>
      <w:r w:rsidR="00FC6644">
        <w:t>his evidence was deemed unreliable.</w:t>
      </w:r>
      <w:r>
        <w:t xml:space="preserve"> It is also unclear whether these speculations refer to use by Blanding’s Turtle for breeding, rearing, staging, wintering or hibernating. </w:t>
      </w:r>
    </w:p>
    <w:p w14:paraId="54D79C49" w14:textId="399FB483" w:rsidR="0034630D" w:rsidRDefault="0034630D" w:rsidP="0034630D">
      <w:pPr>
        <w:pStyle w:val="WSParaNum"/>
        <w:numPr>
          <w:ilvl w:val="0"/>
          <w:numId w:val="0"/>
        </w:numPr>
        <w:spacing w:before="0" w:after="0" w:line="240" w:lineRule="auto"/>
        <w:ind w:firstLine="720"/>
        <w:rPr>
          <w:sz w:val="20"/>
          <w:szCs w:val="20"/>
        </w:rPr>
      </w:pPr>
      <w:r w:rsidRPr="00323C31">
        <w:rPr>
          <w:i/>
          <w:iCs/>
          <w:sz w:val="20"/>
          <w:szCs w:val="20"/>
        </w:rPr>
        <w:t>Trial Reasons</w:t>
      </w:r>
      <w:r>
        <w:rPr>
          <w:sz w:val="20"/>
          <w:szCs w:val="20"/>
        </w:rPr>
        <w:t xml:space="preserve">, </w:t>
      </w:r>
      <w:r>
        <w:rPr>
          <w:i/>
          <w:iCs/>
          <w:sz w:val="20"/>
          <w:szCs w:val="20"/>
        </w:rPr>
        <w:t xml:space="preserve">supra </w:t>
      </w:r>
      <w:r>
        <w:rPr>
          <w:sz w:val="20"/>
          <w:szCs w:val="20"/>
        </w:rPr>
        <w:t xml:space="preserve">para </w:t>
      </w:r>
      <w:r w:rsidR="00C16F2A">
        <w:rPr>
          <w:sz w:val="20"/>
          <w:szCs w:val="20"/>
        </w:rPr>
        <w:t>7</w:t>
      </w:r>
      <w:r>
        <w:rPr>
          <w:sz w:val="20"/>
          <w:szCs w:val="20"/>
        </w:rPr>
        <w:t xml:space="preserve"> </w:t>
      </w:r>
      <w:r w:rsidRPr="00BF20A4">
        <w:rPr>
          <w:sz w:val="20"/>
          <w:szCs w:val="20"/>
        </w:rPr>
        <w:t xml:space="preserve">at </w:t>
      </w:r>
      <w:r>
        <w:rPr>
          <w:sz w:val="20"/>
          <w:szCs w:val="20"/>
        </w:rPr>
        <w:t>8</w:t>
      </w:r>
      <w:r w:rsidRPr="00BF20A4">
        <w:rPr>
          <w:sz w:val="20"/>
          <w:szCs w:val="20"/>
        </w:rPr>
        <w:t>.</w:t>
      </w:r>
    </w:p>
    <w:p w14:paraId="6E938E8F" w14:textId="39B3B94C" w:rsidR="0034630D" w:rsidRDefault="001B4B84" w:rsidP="0034630D">
      <w:pPr>
        <w:pStyle w:val="WSParaNum"/>
        <w:numPr>
          <w:ilvl w:val="0"/>
          <w:numId w:val="0"/>
        </w:numPr>
        <w:spacing w:before="0" w:after="0" w:line="240" w:lineRule="auto"/>
        <w:ind w:firstLine="720"/>
        <w:rPr>
          <w:sz w:val="20"/>
          <w:szCs w:val="20"/>
        </w:rPr>
      </w:pPr>
      <w:r>
        <w:rPr>
          <w:i/>
          <w:iCs/>
          <w:sz w:val="20"/>
          <w:szCs w:val="20"/>
        </w:rPr>
        <w:t>ONCJ</w:t>
      </w:r>
      <w:r w:rsidR="0034630D" w:rsidRPr="00323C31">
        <w:rPr>
          <w:i/>
          <w:iCs/>
          <w:sz w:val="20"/>
          <w:szCs w:val="20"/>
        </w:rPr>
        <w:t xml:space="preserve"> Reasons</w:t>
      </w:r>
      <w:r w:rsidR="0034630D">
        <w:rPr>
          <w:sz w:val="20"/>
          <w:szCs w:val="20"/>
        </w:rPr>
        <w:t xml:space="preserve">, </w:t>
      </w:r>
      <w:r w:rsidR="0034630D">
        <w:rPr>
          <w:i/>
          <w:iCs/>
          <w:sz w:val="20"/>
          <w:szCs w:val="20"/>
        </w:rPr>
        <w:t xml:space="preserve">supra </w:t>
      </w:r>
      <w:r w:rsidR="0034630D">
        <w:rPr>
          <w:sz w:val="20"/>
          <w:szCs w:val="20"/>
        </w:rPr>
        <w:t xml:space="preserve">para </w:t>
      </w:r>
      <w:r w:rsidR="00C16F2A">
        <w:rPr>
          <w:sz w:val="20"/>
          <w:szCs w:val="20"/>
        </w:rPr>
        <w:t>8</w:t>
      </w:r>
      <w:r w:rsidR="0034630D">
        <w:rPr>
          <w:sz w:val="20"/>
          <w:szCs w:val="20"/>
        </w:rPr>
        <w:t xml:space="preserve"> at 20.</w:t>
      </w:r>
    </w:p>
    <w:p w14:paraId="2DD0EF53" w14:textId="77777777" w:rsidR="0034630D" w:rsidRPr="00BF20A4" w:rsidRDefault="0034630D" w:rsidP="0034630D">
      <w:pPr>
        <w:pStyle w:val="WSParaNum"/>
        <w:numPr>
          <w:ilvl w:val="0"/>
          <w:numId w:val="0"/>
        </w:numPr>
        <w:spacing w:before="0" w:after="0" w:line="240" w:lineRule="auto"/>
        <w:ind w:firstLine="720"/>
        <w:rPr>
          <w:sz w:val="20"/>
          <w:szCs w:val="20"/>
        </w:rPr>
      </w:pPr>
    </w:p>
    <w:p w14:paraId="437A01DE" w14:textId="14AD5C1A" w:rsidR="0034630D" w:rsidRDefault="0034630D" w:rsidP="0034630D">
      <w:pPr>
        <w:pStyle w:val="WSParaNum"/>
        <w:spacing w:before="0" w:after="0"/>
      </w:pPr>
      <w:r>
        <w:rPr>
          <w:bCs/>
        </w:rPr>
        <w:t>There was no direct evidence that Blanding’s Turtle</w:t>
      </w:r>
      <w:r w:rsidR="00C16F2A">
        <w:rPr>
          <w:bCs/>
        </w:rPr>
        <w:t>s</w:t>
      </w:r>
      <w:r>
        <w:rPr>
          <w:bCs/>
        </w:rPr>
        <w:t xml:space="preserve"> were living in the area during the time of the offence. </w:t>
      </w:r>
      <w:r>
        <w:t xml:space="preserve">The </w:t>
      </w:r>
      <w:r w:rsidR="00C16F2A">
        <w:t>Wallace Road</w:t>
      </w:r>
      <w:r>
        <w:t xml:space="preserve"> Report stated that “none of the [Blanding’s Turtle] ... were observed or heard on or within the 120 meters” of the area.</w:t>
      </w:r>
    </w:p>
    <w:p w14:paraId="3AA67CC3" w14:textId="72F41245" w:rsidR="0034630D" w:rsidRPr="00BF20A4" w:rsidRDefault="0034630D" w:rsidP="0034630D">
      <w:pPr>
        <w:pStyle w:val="WSParaNum"/>
        <w:numPr>
          <w:ilvl w:val="0"/>
          <w:numId w:val="0"/>
        </w:numPr>
        <w:spacing w:before="0" w:after="0" w:line="240" w:lineRule="auto"/>
        <w:ind w:firstLine="720"/>
        <w:rPr>
          <w:sz w:val="20"/>
          <w:szCs w:val="20"/>
        </w:rPr>
      </w:pPr>
      <w:r w:rsidRPr="00323C31">
        <w:rPr>
          <w:i/>
          <w:iCs/>
          <w:sz w:val="20"/>
          <w:szCs w:val="20"/>
        </w:rPr>
        <w:t>ONCA Reasons</w:t>
      </w:r>
      <w:r>
        <w:rPr>
          <w:sz w:val="20"/>
          <w:szCs w:val="20"/>
        </w:rPr>
        <w:t xml:space="preserve">, </w:t>
      </w:r>
      <w:r>
        <w:rPr>
          <w:i/>
          <w:iCs/>
          <w:sz w:val="20"/>
          <w:szCs w:val="20"/>
        </w:rPr>
        <w:t xml:space="preserve">supra </w:t>
      </w:r>
      <w:r>
        <w:rPr>
          <w:sz w:val="20"/>
          <w:szCs w:val="20"/>
        </w:rPr>
        <w:t xml:space="preserve">para </w:t>
      </w:r>
      <w:r w:rsidR="00C16F2A">
        <w:rPr>
          <w:sz w:val="20"/>
          <w:szCs w:val="20"/>
        </w:rPr>
        <w:t>13</w:t>
      </w:r>
      <w:r>
        <w:rPr>
          <w:sz w:val="20"/>
          <w:szCs w:val="20"/>
        </w:rPr>
        <w:t xml:space="preserve"> </w:t>
      </w:r>
      <w:r w:rsidRPr="00BF20A4">
        <w:rPr>
          <w:sz w:val="20"/>
          <w:szCs w:val="20"/>
        </w:rPr>
        <w:t>at para 32.</w:t>
      </w:r>
    </w:p>
    <w:p w14:paraId="200D19E3" w14:textId="4B22BD55" w:rsidR="0034630D" w:rsidRDefault="001B4B84" w:rsidP="0034630D">
      <w:pPr>
        <w:pStyle w:val="WSParaNum"/>
        <w:numPr>
          <w:ilvl w:val="0"/>
          <w:numId w:val="0"/>
        </w:numPr>
        <w:spacing w:before="0" w:after="0" w:line="240" w:lineRule="auto"/>
        <w:ind w:left="720"/>
        <w:rPr>
          <w:sz w:val="20"/>
          <w:szCs w:val="20"/>
        </w:rPr>
      </w:pPr>
      <w:r>
        <w:rPr>
          <w:i/>
          <w:iCs/>
          <w:sz w:val="20"/>
          <w:szCs w:val="20"/>
        </w:rPr>
        <w:t>ONCJ</w:t>
      </w:r>
      <w:r w:rsidR="0034630D" w:rsidRPr="00323C31">
        <w:rPr>
          <w:i/>
          <w:iCs/>
          <w:sz w:val="20"/>
          <w:szCs w:val="20"/>
        </w:rPr>
        <w:t xml:space="preserve"> Reasons</w:t>
      </w:r>
      <w:r w:rsidR="0034630D">
        <w:rPr>
          <w:sz w:val="20"/>
          <w:szCs w:val="20"/>
        </w:rPr>
        <w:t xml:space="preserve">, </w:t>
      </w:r>
      <w:r w:rsidR="0034630D">
        <w:rPr>
          <w:i/>
          <w:iCs/>
          <w:sz w:val="20"/>
          <w:szCs w:val="20"/>
        </w:rPr>
        <w:t xml:space="preserve">supra </w:t>
      </w:r>
      <w:r w:rsidR="0034630D">
        <w:rPr>
          <w:sz w:val="20"/>
          <w:szCs w:val="20"/>
        </w:rPr>
        <w:t xml:space="preserve">para </w:t>
      </w:r>
      <w:r w:rsidR="00C16F2A">
        <w:rPr>
          <w:sz w:val="20"/>
          <w:szCs w:val="20"/>
        </w:rPr>
        <w:t>8</w:t>
      </w:r>
      <w:r w:rsidR="0034630D">
        <w:rPr>
          <w:sz w:val="20"/>
          <w:szCs w:val="20"/>
        </w:rPr>
        <w:t xml:space="preserve"> </w:t>
      </w:r>
      <w:r w:rsidR="0034630D" w:rsidRPr="00965621">
        <w:rPr>
          <w:sz w:val="20"/>
          <w:szCs w:val="20"/>
        </w:rPr>
        <w:t xml:space="preserve">at </w:t>
      </w:r>
      <w:r w:rsidR="0034630D">
        <w:rPr>
          <w:sz w:val="20"/>
          <w:szCs w:val="20"/>
        </w:rPr>
        <w:t>15</w:t>
      </w:r>
      <w:r w:rsidR="0034630D" w:rsidRPr="00965621">
        <w:rPr>
          <w:sz w:val="20"/>
          <w:szCs w:val="20"/>
        </w:rPr>
        <w:t>.</w:t>
      </w:r>
    </w:p>
    <w:p w14:paraId="31A6D329" w14:textId="77777777" w:rsidR="0034630D" w:rsidRPr="00965621" w:rsidRDefault="0034630D" w:rsidP="0034630D">
      <w:pPr>
        <w:pStyle w:val="WSParaNum"/>
        <w:numPr>
          <w:ilvl w:val="0"/>
          <w:numId w:val="0"/>
        </w:numPr>
        <w:spacing w:before="0" w:after="0" w:line="240" w:lineRule="auto"/>
        <w:ind w:left="720"/>
        <w:rPr>
          <w:sz w:val="20"/>
          <w:szCs w:val="20"/>
        </w:rPr>
      </w:pPr>
    </w:p>
    <w:p w14:paraId="67FFA07D" w14:textId="77777777" w:rsidR="0034630D" w:rsidRDefault="0034630D" w:rsidP="0034630D">
      <w:pPr>
        <w:pStyle w:val="WSParaNum"/>
        <w:spacing w:before="0" w:after="0"/>
      </w:pPr>
      <w:r>
        <w:rPr>
          <w:bCs/>
        </w:rPr>
        <w:t xml:space="preserve">The lack of proof would likely leave the Trial Justice with a reasonable doubt that the area was used as a dwelling-place for Blanding’s Turtles.  </w:t>
      </w:r>
    </w:p>
    <w:p w14:paraId="54BCB805" w14:textId="77777777" w:rsidR="0034630D" w:rsidRPr="00562AC6" w:rsidRDefault="0034630D" w:rsidP="00562AC6">
      <w:pPr>
        <w:pStyle w:val="Heading3"/>
      </w:pPr>
      <w:bookmarkStart w:id="28" w:name="_Toc220051352"/>
      <w:r w:rsidRPr="00562AC6">
        <w:t>CHL Would Prove a Defence to the Charge</w:t>
      </w:r>
      <w:bookmarkEnd w:id="28"/>
    </w:p>
    <w:p w14:paraId="66EC8522" w14:textId="08E357D6" w:rsidR="0034630D" w:rsidRDefault="0034630D" w:rsidP="0034630D">
      <w:pPr>
        <w:pStyle w:val="WSParaNum"/>
        <w:spacing w:before="0" w:after="0"/>
      </w:pPr>
      <w:r>
        <w:t>In the alternative, should the Crown meet its burden in proving CHL’s guilt beyond a reasonable doubt under the new definition of habitat</w:t>
      </w:r>
      <w:r w:rsidR="00C16F2A">
        <w:t xml:space="preserve"> as</w:t>
      </w:r>
      <w:r>
        <w:t xml:space="preserve"> amended by the </w:t>
      </w:r>
      <w:r>
        <w:rPr>
          <w:i/>
          <w:iCs/>
        </w:rPr>
        <w:t xml:space="preserve">POUEA, </w:t>
      </w:r>
      <w:r w:rsidR="00C16F2A">
        <w:t>the Respondent</w:t>
      </w:r>
      <w:r>
        <w:t xml:space="preserve"> submit</w:t>
      </w:r>
      <w:r w:rsidR="00C16F2A">
        <w:t>s</w:t>
      </w:r>
      <w:r>
        <w:t xml:space="preserve"> that CHL would satisfy its burden in substantiating a defence on </w:t>
      </w:r>
      <w:r w:rsidR="00C16F2A">
        <w:t>a</w:t>
      </w:r>
      <w:r>
        <w:t xml:space="preserve"> balance of probabilities.</w:t>
      </w:r>
    </w:p>
    <w:p w14:paraId="1ABC6A15" w14:textId="77777777" w:rsidR="0034630D" w:rsidRDefault="0034630D" w:rsidP="0034630D">
      <w:pPr>
        <w:pStyle w:val="WSParaNum"/>
        <w:spacing w:before="0" w:after="0"/>
      </w:pPr>
      <w:r w:rsidRPr="00465015">
        <w:t>One defence available to CHL is officially induced error.</w:t>
      </w:r>
      <w:r>
        <w:t xml:space="preserve"> This requires proving, on a balance of probabilities, that an error of law or mixed fact and law was made, the person who committed the act considered the legal consequences of their actions, the advice came from an appropriate official, the advice was reasonable, it was erroneous, and the person relied upon it when committing the act.</w:t>
      </w:r>
    </w:p>
    <w:p w14:paraId="493E5D5A" w14:textId="77777777" w:rsidR="0034630D" w:rsidRDefault="0034630D" w:rsidP="0034630D">
      <w:pPr>
        <w:pStyle w:val="WSParaNum"/>
        <w:numPr>
          <w:ilvl w:val="0"/>
          <w:numId w:val="0"/>
        </w:numPr>
        <w:spacing w:before="0" w:after="0" w:line="240" w:lineRule="auto"/>
        <w:ind w:left="720"/>
        <w:rPr>
          <w:sz w:val="20"/>
          <w:szCs w:val="20"/>
        </w:rPr>
      </w:pPr>
      <w:r w:rsidRPr="00140747">
        <w:rPr>
          <w:i/>
          <w:iCs/>
          <w:sz w:val="20"/>
          <w:szCs w:val="20"/>
        </w:rPr>
        <w:t>Lévis (City) v Tétreault; Lévis (City) v 2629-4470 Québec inc.</w:t>
      </w:r>
      <w:r w:rsidRPr="00BA1664">
        <w:rPr>
          <w:sz w:val="20"/>
          <w:szCs w:val="20"/>
        </w:rPr>
        <w:t>,</w:t>
      </w:r>
      <w:r w:rsidRPr="00140747">
        <w:rPr>
          <w:sz w:val="20"/>
          <w:szCs w:val="20"/>
        </w:rPr>
        <w:t xml:space="preserve"> 2006 SCC 12</w:t>
      </w:r>
      <w:r>
        <w:rPr>
          <w:sz w:val="20"/>
          <w:szCs w:val="20"/>
        </w:rPr>
        <w:t xml:space="preserve"> a</w:t>
      </w:r>
      <w:r w:rsidRPr="00140747">
        <w:rPr>
          <w:sz w:val="20"/>
          <w:szCs w:val="20"/>
        </w:rPr>
        <w:t>t para 2</w:t>
      </w:r>
      <w:r>
        <w:rPr>
          <w:sz w:val="20"/>
          <w:szCs w:val="20"/>
        </w:rPr>
        <w:t xml:space="preserve">6, </w:t>
      </w:r>
      <w:r w:rsidRPr="00140747">
        <w:rPr>
          <w:sz w:val="20"/>
          <w:szCs w:val="20"/>
        </w:rPr>
        <w:t xml:space="preserve">citing </w:t>
      </w:r>
      <w:r>
        <w:rPr>
          <w:i/>
          <w:iCs/>
          <w:sz w:val="20"/>
          <w:szCs w:val="20"/>
        </w:rPr>
        <w:t xml:space="preserve">R v </w:t>
      </w:r>
      <w:r w:rsidRPr="00140747">
        <w:rPr>
          <w:i/>
          <w:iCs/>
          <w:sz w:val="20"/>
          <w:szCs w:val="20"/>
        </w:rPr>
        <w:t>Jorgensen</w:t>
      </w:r>
      <w:r w:rsidRPr="00BA1664">
        <w:rPr>
          <w:sz w:val="20"/>
          <w:szCs w:val="20"/>
        </w:rPr>
        <w:t>,</w:t>
      </w:r>
      <w:r>
        <w:rPr>
          <w:i/>
          <w:iCs/>
          <w:sz w:val="20"/>
          <w:szCs w:val="20"/>
        </w:rPr>
        <w:t xml:space="preserve"> </w:t>
      </w:r>
      <w:r>
        <w:rPr>
          <w:sz w:val="20"/>
          <w:szCs w:val="20"/>
        </w:rPr>
        <w:t>1995 CanLII 85 (SCC)</w:t>
      </w:r>
      <w:r w:rsidRPr="00140747">
        <w:rPr>
          <w:i/>
          <w:iCs/>
          <w:sz w:val="20"/>
          <w:szCs w:val="20"/>
        </w:rPr>
        <w:t xml:space="preserve"> </w:t>
      </w:r>
      <w:r w:rsidRPr="00140747">
        <w:rPr>
          <w:sz w:val="20"/>
          <w:szCs w:val="20"/>
        </w:rPr>
        <w:t>at paras 28</w:t>
      </w:r>
      <w:r>
        <w:rPr>
          <w:sz w:val="20"/>
          <w:szCs w:val="20"/>
        </w:rPr>
        <w:t>–</w:t>
      </w:r>
      <w:r w:rsidRPr="00140747">
        <w:rPr>
          <w:sz w:val="20"/>
          <w:szCs w:val="20"/>
        </w:rPr>
        <w:t>35</w:t>
      </w:r>
      <w:r>
        <w:rPr>
          <w:sz w:val="20"/>
          <w:szCs w:val="20"/>
        </w:rPr>
        <w:t xml:space="preserve"> [</w:t>
      </w:r>
      <w:r w:rsidRPr="00140747">
        <w:rPr>
          <w:i/>
          <w:iCs/>
          <w:sz w:val="20"/>
          <w:szCs w:val="20"/>
        </w:rPr>
        <w:t>Lévis</w:t>
      </w:r>
      <w:r>
        <w:rPr>
          <w:sz w:val="20"/>
          <w:szCs w:val="20"/>
        </w:rPr>
        <w:t>]</w:t>
      </w:r>
      <w:r w:rsidRPr="00140747">
        <w:rPr>
          <w:sz w:val="20"/>
          <w:szCs w:val="20"/>
        </w:rPr>
        <w:t>.</w:t>
      </w:r>
    </w:p>
    <w:p w14:paraId="78902899" w14:textId="77777777" w:rsidR="0034630D" w:rsidRPr="00140747" w:rsidRDefault="0034630D" w:rsidP="0034630D">
      <w:pPr>
        <w:pStyle w:val="WSParaNum"/>
        <w:numPr>
          <w:ilvl w:val="0"/>
          <w:numId w:val="0"/>
        </w:numPr>
        <w:spacing w:before="0" w:after="0" w:line="240" w:lineRule="auto"/>
        <w:ind w:left="720"/>
        <w:rPr>
          <w:sz w:val="20"/>
          <w:szCs w:val="20"/>
        </w:rPr>
      </w:pPr>
    </w:p>
    <w:p w14:paraId="4D726CCB" w14:textId="1F23894F" w:rsidR="0034630D" w:rsidRDefault="0034630D" w:rsidP="0034630D">
      <w:pPr>
        <w:pStyle w:val="WSParaNum"/>
        <w:spacing w:before="0" w:after="0"/>
      </w:pPr>
      <w:r>
        <w:t>CHL’s reliance on the map in the stop order constituted officially induced error. With the new definition of habitat in place, CHL’s reliance would be reasonable because they only performed work outside the hatched are</w:t>
      </w:r>
      <w:r w:rsidR="00C16F2A">
        <w:t>a</w:t>
      </w:r>
      <w:r>
        <w:t xml:space="preserve"> according to the </w:t>
      </w:r>
      <w:r w:rsidR="00C16F2A">
        <w:t xml:space="preserve">stop work order </w:t>
      </w:r>
      <w:r>
        <w:t xml:space="preserve">map, thereby avoiding Blanding’s Turtle habitat. </w:t>
      </w:r>
    </w:p>
    <w:p w14:paraId="39C48149" w14:textId="0087A05D" w:rsidR="0034630D" w:rsidRPr="00445FC3" w:rsidRDefault="0034630D" w:rsidP="0034630D">
      <w:pPr>
        <w:pStyle w:val="WSParaNum"/>
        <w:numPr>
          <w:ilvl w:val="0"/>
          <w:numId w:val="0"/>
        </w:numPr>
        <w:spacing w:before="0" w:after="0" w:line="240" w:lineRule="auto"/>
        <w:ind w:firstLine="720"/>
        <w:rPr>
          <w:sz w:val="20"/>
          <w:szCs w:val="20"/>
        </w:rPr>
      </w:pPr>
      <w:r w:rsidRPr="00445FC3">
        <w:rPr>
          <w:i/>
          <w:iCs/>
          <w:sz w:val="20"/>
          <w:szCs w:val="20"/>
        </w:rPr>
        <w:t>Trial Reasons</w:t>
      </w:r>
      <w:r>
        <w:rPr>
          <w:sz w:val="20"/>
          <w:szCs w:val="20"/>
        </w:rPr>
        <w:t xml:space="preserve">, </w:t>
      </w:r>
      <w:r>
        <w:rPr>
          <w:i/>
          <w:iCs/>
          <w:sz w:val="20"/>
          <w:szCs w:val="20"/>
        </w:rPr>
        <w:t xml:space="preserve">supra </w:t>
      </w:r>
      <w:r>
        <w:rPr>
          <w:sz w:val="20"/>
          <w:szCs w:val="20"/>
        </w:rPr>
        <w:t xml:space="preserve">para </w:t>
      </w:r>
      <w:r w:rsidR="00C16F2A">
        <w:rPr>
          <w:sz w:val="20"/>
          <w:szCs w:val="20"/>
        </w:rPr>
        <w:t>7</w:t>
      </w:r>
      <w:r>
        <w:rPr>
          <w:sz w:val="20"/>
          <w:szCs w:val="20"/>
        </w:rPr>
        <w:t xml:space="preserve"> </w:t>
      </w:r>
      <w:r w:rsidRPr="00445FC3">
        <w:rPr>
          <w:sz w:val="20"/>
          <w:szCs w:val="20"/>
        </w:rPr>
        <w:t>at 11.</w:t>
      </w:r>
    </w:p>
    <w:p w14:paraId="42A0A9AE" w14:textId="54B7E5D2" w:rsidR="0034630D" w:rsidRDefault="001B4B84" w:rsidP="0034630D">
      <w:pPr>
        <w:pStyle w:val="WSParaNum"/>
        <w:numPr>
          <w:ilvl w:val="0"/>
          <w:numId w:val="0"/>
        </w:numPr>
        <w:spacing w:before="0" w:after="0" w:line="240" w:lineRule="auto"/>
        <w:ind w:left="720"/>
        <w:rPr>
          <w:sz w:val="20"/>
          <w:szCs w:val="20"/>
        </w:rPr>
      </w:pPr>
      <w:r>
        <w:rPr>
          <w:i/>
          <w:iCs/>
          <w:sz w:val="20"/>
          <w:szCs w:val="20"/>
        </w:rPr>
        <w:t>ONCJ</w:t>
      </w:r>
      <w:r w:rsidR="0034630D" w:rsidRPr="00445FC3">
        <w:rPr>
          <w:i/>
          <w:iCs/>
          <w:sz w:val="20"/>
          <w:szCs w:val="20"/>
        </w:rPr>
        <w:t xml:space="preserve"> Reasons</w:t>
      </w:r>
      <w:r w:rsidR="0034630D">
        <w:rPr>
          <w:sz w:val="20"/>
          <w:szCs w:val="20"/>
        </w:rPr>
        <w:t xml:space="preserve">, </w:t>
      </w:r>
      <w:r w:rsidR="0034630D">
        <w:rPr>
          <w:i/>
          <w:iCs/>
          <w:sz w:val="20"/>
          <w:szCs w:val="20"/>
        </w:rPr>
        <w:t xml:space="preserve">supra </w:t>
      </w:r>
      <w:r w:rsidR="0034630D">
        <w:rPr>
          <w:sz w:val="20"/>
          <w:szCs w:val="20"/>
        </w:rPr>
        <w:t xml:space="preserve">para </w:t>
      </w:r>
      <w:r w:rsidR="00C16F2A">
        <w:rPr>
          <w:sz w:val="20"/>
          <w:szCs w:val="20"/>
        </w:rPr>
        <w:t>8</w:t>
      </w:r>
      <w:r w:rsidR="0034630D" w:rsidRPr="00445FC3">
        <w:rPr>
          <w:i/>
          <w:iCs/>
          <w:sz w:val="20"/>
          <w:szCs w:val="20"/>
        </w:rPr>
        <w:t xml:space="preserve"> </w:t>
      </w:r>
      <w:r w:rsidR="0034630D" w:rsidRPr="00445FC3">
        <w:rPr>
          <w:sz w:val="20"/>
          <w:szCs w:val="20"/>
        </w:rPr>
        <w:t>at 16.</w:t>
      </w:r>
    </w:p>
    <w:p w14:paraId="289A6216" w14:textId="77777777" w:rsidR="0034630D" w:rsidRPr="00445FC3" w:rsidRDefault="0034630D" w:rsidP="0034630D">
      <w:pPr>
        <w:pStyle w:val="WSParaNum"/>
        <w:numPr>
          <w:ilvl w:val="0"/>
          <w:numId w:val="0"/>
        </w:numPr>
        <w:spacing w:before="0" w:after="0" w:line="240" w:lineRule="auto"/>
        <w:ind w:left="720"/>
        <w:rPr>
          <w:sz w:val="20"/>
          <w:szCs w:val="20"/>
        </w:rPr>
      </w:pPr>
    </w:p>
    <w:p w14:paraId="45B1B2B8" w14:textId="53C6ADD3" w:rsidR="0034630D" w:rsidRDefault="0034630D" w:rsidP="0034630D">
      <w:pPr>
        <w:pStyle w:val="WSParaNum"/>
        <w:spacing w:before="0" w:after="0"/>
      </w:pPr>
      <w:r>
        <w:t xml:space="preserve">The defence of due diligence </w:t>
      </w:r>
      <w:r w:rsidR="00FC6644">
        <w:t xml:space="preserve">is also available. This </w:t>
      </w:r>
      <w:r>
        <w:t xml:space="preserve">requires the defendant to show, on a balance of probabilities, that they took all steps that a reasonable person would take to avoid committing the offence. What is “reasonable” depends on the circumstances, but </w:t>
      </w:r>
      <w:r w:rsidR="00FC6644">
        <w:t>considerations</w:t>
      </w:r>
      <w:r>
        <w:t xml:space="preserve"> include industry standards, the gravity of the potential harm, whether any alternatives exist, the likelihood of harm, degree of knowledge or skill expected of the accused, and the extent to which underlying causes of the offence are beyond the control of the accused.</w:t>
      </w:r>
    </w:p>
    <w:p w14:paraId="4D2216AF" w14:textId="60BFBAF4" w:rsidR="0034630D" w:rsidRDefault="0034630D" w:rsidP="0034630D">
      <w:pPr>
        <w:pStyle w:val="WSParaNum"/>
        <w:numPr>
          <w:ilvl w:val="0"/>
          <w:numId w:val="0"/>
        </w:numPr>
        <w:spacing w:before="0" w:after="0" w:line="240" w:lineRule="auto"/>
        <w:ind w:firstLine="720"/>
        <w:rPr>
          <w:sz w:val="20"/>
          <w:szCs w:val="20"/>
        </w:rPr>
      </w:pPr>
      <w:r w:rsidRPr="00FE475E">
        <w:rPr>
          <w:i/>
          <w:iCs/>
          <w:sz w:val="20"/>
          <w:szCs w:val="20"/>
        </w:rPr>
        <w:t>Sault Ste Marie</w:t>
      </w:r>
      <w:r w:rsidRPr="00BA1664">
        <w:rPr>
          <w:sz w:val="20"/>
          <w:szCs w:val="20"/>
        </w:rPr>
        <w:t>,</w:t>
      </w:r>
      <w:r>
        <w:rPr>
          <w:i/>
          <w:iCs/>
          <w:sz w:val="20"/>
          <w:szCs w:val="20"/>
        </w:rPr>
        <w:t xml:space="preserve"> supra </w:t>
      </w:r>
      <w:r>
        <w:rPr>
          <w:sz w:val="20"/>
          <w:szCs w:val="20"/>
        </w:rPr>
        <w:t xml:space="preserve">para </w:t>
      </w:r>
      <w:r w:rsidR="00C16F2A">
        <w:rPr>
          <w:sz w:val="20"/>
          <w:szCs w:val="20"/>
        </w:rPr>
        <w:t>6</w:t>
      </w:r>
      <w:r w:rsidR="002C1353">
        <w:rPr>
          <w:sz w:val="20"/>
          <w:szCs w:val="20"/>
        </w:rPr>
        <w:t>5</w:t>
      </w:r>
      <w:r>
        <w:rPr>
          <w:sz w:val="20"/>
          <w:szCs w:val="20"/>
        </w:rPr>
        <w:t xml:space="preserve"> </w:t>
      </w:r>
      <w:r w:rsidRPr="00FE475E">
        <w:rPr>
          <w:sz w:val="20"/>
          <w:szCs w:val="20"/>
        </w:rPr>
        <w:t xml:space="preserve">at </w:t>
      </w:r>
      <w:r>
        <w:rPr>
          <w:sz w:val="20"/>
          <w:szCs w:val="20"/>
        </w:rPr>
        <w:t xml:space="preserve">1326, </w:t>
      </w:r>
      <w:r w:rsidRPr="00FE475E">
        <w:rPr>
          <w:sz w:val="20"/>
          <w:szCs w:val="20"/>
        </w:rPr>
        <w:t>13</w:t>
      </w:r>
      <w:r>
        <w:rPr>
          <w:sz w:val="20"/>
          <w:szCs w:val="20"/>
        </w:rPr>
        <w:t>31</w:t>
      </w:r>
      <w:r w:rsidRPr="00FE475E">
        <w:rPr>
          <w:sz w:val="20"/>
          <w:szCs w:val="20"/>
        </w:rPr>
        <w:t>.</w:t>
      </w:r>
    </w:p>
    <w:p w14:paraId="2FCD093F" w14:textId="77777777" w:rsidR="0034630D" w:rsidRDefault="0034630D" w:rsidP="0034630D">
      <w:pPr>
        <w:pStyle w:val="WSParaNum"/>
        <w:numPr>
          <w:ilvl w:val="0"/>
          <w:numId w:val="0"/>
        </w:numPr>
        <w:spacing w:before="0" w:after="0" w:line="240" w:lineRule="auto"/>
        <w:ind w:left="720"/>
        <w:rPr>
          <w:i/>
          <w:iCs/>
          <w:sz w:val="20"/>
          <w:szCs w:val="20"/>
        </w:rPr>
      </w:pPr>
      <w:r>
        <w:rPr>
          <w:i/>
          <w:iCs/>
          <w:sz w:val="20"/>
          <w:szCs w:val="20"/>
        </w:rPr>
        <w:t>R v Gonder</w:t>
      </w:r>
      <w:r w:rsidRPr="00BA1664">
        <w:rPr>
          <w:sz w:val="20"/>
          <w:szCs w:val="20"/>
        </w:rPr>
        <w:t>,</w:t>
      </w:r>
      <w:r>
        <w:rPr>
          <w:i/>
          <w:iCs/>
          <w:sz w:val="20"/>
          <w:szCs w:val="20"/>
        </w:rPr>
        <w:t xml:space="preserve"> </w:t>
      </w:r>
      <w:r>
        <w:rPr>
          <w:sz w:val="20"/>
          <w:szCs w:val="20"/>
        </w:rPr>
        <w:t>1981 CanLII 3207 (YK TC) at 331 [</w:t>
      </w:r>
      <w:r>
        <w:rPr>
          <w:i/>
          <w:iCs/>
          <w:sz w:val="20"/>
          <w:szCs w:val="20"/>
        </w:rPr>
        <w:t>Gonder</w:t>
      </w:r>
      <w:r>
        <w:rPr>
          <w:sz w:val="20"/>
          <w:szCs w:val="20"/>
        </w:rPr>
        <w:t>].</w:t>
      </w:r>
    </w:p>
    <w:p w14:paraId="67E88F46" w14:textId="77777777" w:rsidR="0034630D" w:rsidRDefault="0034630D" w:rsidP="0034630D">
      <w:pPr>
        <w:pStyle w:val="WSParaNum"/>
        <w:numPr>
          <w:ilvl w:val="0"/>
          <w:numId w:val="0"/>
        </w:numPr>
        <w:spacing w:before="0" w:after="0" w:line="240" w:lineRule="auto"/>
        <w:ind w:left="720"/>
        <w:rPr>
          <w:sz w:val="20"/>
          <w:szCs w:val="20"/>
        </w:rPr>
      </w:pPr>
      <w:r>
        <w:rPr>
          <w:i/>
          <w:iCs/>
          <w:sz w:val="20"/>
          <w:szCs w:val="20"/>
        </w:rPr>
        <w:t>R v Greater Sudbury (City)</w:t>
      </w:r>
      <w:r w:rsidRPr="00BA1664">
        <w:rPr>
          <w:sz w:val="20"/>
          <w:szCs w:val="20"/>
        </w:rPr>
        <w:t>,</w:t>
      </w:r>
      <w:r>
        <w:rPr>
          <w:i/>
          <w:iCs/>
          <w:sz w:val="20"/>
          <w:szCs w:val="20"/>
        </w:rPr>
        <w:t xml:space="preserve"> </w:t>
      </w:r>
      <w:r>
        <w:rPr>
          <w:sz w:val="20"/>
          <w:szCs w:val="20"/>
        </w:rPr>
        <w:t>2023 SCC 28</w:t>
      </w:r>
      <w:r>
        <w:rPr>
          <w:i/>
          <w:iCs/>
          <w:sz w:val="20"/>
          <w:szCs w:val="20"/>
        </w:rPr>
        <w:t xml:space="preserve"> </w:t>
      </w:r>
      <w:r>
        <w:rPr>
          <w:sz w:val="20"/>
          <w:szCs w:val="20"/>
        </w:rPr>
        <w:t xml:space="preserve">at para 55, citing </w:t>
      </w:r>
      <w:r>
        <w:rPr>
          <w:i/>
          <w:iCs/>
          <w:sz w:val="20"/>
          <w:szCs w:val="20"/>
        </w:rPr>
        <w:t xml:space="preserve">Gonder </w:t>
      </w:r>
      <w:r>
        <w:rPr>
          <w:sz w:val="20"/>
          <w:szCs w:val="20"/>
        </w:rPr>
        <w:t>at 332-333.</w:t>
      </w:r>
    </w:p>
    <w:p w14:paraId="5FCD6504" w14:textId="77777777" w:rsidR="0034630D" w:rsidRDefault="0034630D" w:rsidP="0034630D">
      <w:pPr>
        <w:pStyle w:val="WSParaNum"/>
        <w:numPr>
          <w:ilvl w:val="0"/>
          <w:numId w:val="0"/>
        </w:numPr>
        <w:spacing w:before="0" w:after="0" w:line="240" w:lineRule="auto"/>
        <w:ind w:left="720"/>
        <w:rPr>
          <w:sz w:val="20"/>
          <w:szCs w:val="20"/>
        </w:rPr>
      </w:pPr>
    </w:p>
    <w:p w14:paraId="65A93C91" w14:textId="55CDC945" w:rsidR="0034630D" w:rsidRDefault="0034630D" w:rsidP="0034630D">
      <w:pPr>
        <w:pStyle w:val="WSParaNum"/>
        <w:spacing w:before="0" w:after="0"/>
      </w:pPr>
      <w:r>
        <w:t>CHL took reasonable steps in the circumstances to avoid the destruction of Blanding’s Turtle habitat, meaning the dwelling-sites or areas immediately around them. CHL participated in “educational work” and in discussions on “how to best protect the Blanding’s Turtle</w:t>
      </w:r>
      <w:r w:rsidR="00C16F2A">
        <w:t>s</w:t>
      </w:r>
      <w:r>
        <w:t>” with the MNRF. This included adopting a wetland boundary made by Mr. Snell and others in their development proposal to avoid the 30</w:t>
      </w:r>
      <w:r w:rsidR="00C16F2A">
        <w:t>-</w:t>
      </w:r>
      <w:r>
        <w:t>meter</w:t>
      </w:r>
      <w:r w:rsidR="00C16F2A">
        <w:t xml:space="preserve"> zone</w:t>
      </w:r>
      <w:r>
        <w:t xml:space="preserve"> around the wetland boundary.</w:t>
      </w:r>
    </w:p>
    <w:p w14:paraId="28857905" w14:textId="050E24CA" w:rsidR="0034630D" w:rsidRDefault="001B4B84" w:rsidP="0034630D">
      <w:pPr>
        <w:pStyle w:val="WSParaNum"/>
        <w:numPr>
          <w:ilvl w:val="0"/>
          <w:numId w:val="0"/>
        </w:numPr>
        <w:spacing w:before="0" w:after="0" w:line="240" w:lineRule="auto"/>
        <w:ind w:left="720"/>
        <w:rPr>
          <w:sz w:val="20"/>
          <w:szCs w:val="20"/>
        </w:rPr>
      </w:pPr>
      <w:r>
        <w:rPr>
          <w:i/>
          <w:iCs/>
          <w:sz w:val="20"/>
          <w:szCs w:val="20"/>
        </w:rPr>
        <w:t>ONCJ</w:t>
      </w:r>
      <w:r w:rsidR="0034630D" w:rsidRPr="00323C31">
        <w:rPr>
          <w:i/>
          <w:iCs/>
          <w:sz w:val="20"/>
          <w:szCs w:val="20"/>
        </w:rPr>
        <w:t xml:space="preserve"> Reasons</w:t>
      </w:r>
      <w:r w:rsidR="0034630D">
        <w:rPr>
          <w:sz w:val="20"/>
          <w:szCs w:val="20"/>
        </w:rPr>
        <w:t xml:space="preserve">, </w:t>
      </w:r>
      <w:r w:rsidR="0034630D">
        <w:rPr>
          <w:i/>
          <w:iCs/>
          <w:sz w:val="20"/>
          <w:szCs w:val="20"/>
        </w:rPr>
        <w:t xml:space="preserve">supra </w:t>
      </w:r>
      <w:r w:rsidR="0034630D">
        <w:rPr>
          <w:sz w:val="20"/>
          <w:szCs w:val="20"/>
        </w:rPr>
        <w:t xml:space="preserve">para </w:t>
      </w:r>
      <w:r w:rsidR="00C16F2A">
        <w:rPr>
          <w:sz w:val="20"/>
          <w:szCs w:val="20"/>
        </w:rPr>
        <w:t>8</w:t>
      </w:r>
      <w:r w:rsidR="0034630D">
        <w:rPr>
          <w:sz w:val="20"/>
          <w:szCs w:val="20"/>
        </w:rPr>
        <w:t xml:space="preserve"> </w:t>
      </w:r>
      <w:r w:rsidR="0034630D" w:rsidRPr="007A5EC1">
        <w:rPr>
          <w:sz w:val="20"/>
          <w:szCs w:val="20"/>
        </w:rPr>
        <w:t xml:space="preserve">at </w:t>
      </w:r>
      <w:r w:rsidR="0034630D">
        <w:rPr>
          <w:sz w:val="20"/>
          <w:szCs w:val="20"/>
        </w:rPr>
        <w:t>16</w:t>
      </w:r>
      <w:r w:rsidR="004C4C80">
        <w:rPr>
          <w:sz w:val="20"/>
          <w:szCs w:val="20"/>
        </w:rPr>
        <w:t>–</w:t>
      </w:r>
      <w:r w:rsidR="0034630D">
        <w:rPr>
          <w:sz w:val="20"/>
          <w:szCs w:val="20"/>
        </w:rPr>
        <w:t>1</w:t>
      </w:r>
      <w:r w:rsidR="0034630D" w:rsidRPr="007A5EC1">
        <w:rPr>
          <w:sz w:val="20"/>
          <w:szCs w:val="20"/>
        </w:rPr>
        <w:t>7</w:t>
      </w:r>
      <w:r w:rsidR="0034630D">
        <w:rPr>
          <w:sz w:val="20"/>
          <w:szCs w:val="20"/>
        </w:rPr>
        <w:t>, 19.</w:t>
      </w:r>
    </w:p>
    <w:p w14:paraId="23806F56" w14:textId="77777777" w:rsidR="0034630D" w:rsidRPr="007A5EC1" w:rsidRDefault="0034630D" w:rsidP="0034630D">
      <w:pPr>
        <w:pStyle w:val="WSParaNum"/>
        <w:numPr>
          <w:ilvl w:val="0"/>
          <w:numId w:val="0"/>
        </w:numPr>
        <w:spacing w:before="0" w:after="0" w:line="240" w:lineRule="auto"/>
        <w:ind w:left="720"/>
        <w:rPr>
          <w:sz w:val="20"/>
          <w:szCs w:val="20"/>
        </w:rPr>
      </w:pPr>
    </w:p>
    <w:p w14:paraId="113C0AC4" w14:textId="77777777" w:rsidR="0034630D" w:rsidRDefault="0034630D" w:rsidP="0034630D">
      <w:pPr>
        <w:pStyle w:val="WSParaNum"/>
        <w:spacing w:before="0" w:after="0"/>
      </w:pPr>
      <w:r>
        <w:t xml:space="preserve">The gravity of the potential harm was relatively small, as the “damaged” area was only 100 feet by 200 feet. </w:t>
      </w:r>
    </w:p>
    <w:p w14:paraId="4775B07C" w14:textId="2E218651" w:rsidR="0034630D" w:rsidRDefault="001B4B84" w:rsidP="0034630D">
      <w:pPr>
        <w:pStyle w:val="WSParaNum"/>
        <w:numPr>
          <w:ilvl w:val="0"/>
          <w:numId w:val="0"/>
        </w:numPr>
        <w:spacing w:before="0" w:after="0" w:line="240" w:lineRule="auto"/>
        <w:ind w:left="720"/>
        <w:rPr>
          <w:sz w:val="20"/>
          <w:szCs w:val="20"/>
        </w:rPr>
      </w:pPr>
      <w:r>
        <w:rPr>
          <w:i/>
          <w:iCs/>
          <w:sz w:val="20"/>
          <w:szCs w:val="20"/>
        </w:rPr>
        <w:t>ONCJ</w:t>
      </w:r>
      <w:r w:rsidR="0034630D" w:rsidRPr="00323C31">
        <w:rPr>
          <w:i/>
          <w:iCs/>
          <w:sz w:val="20"/>
          <w:szCs w:val="20"/>
        </w:rPr>
        <w:t xml:space="preserve"> Reasons</w:t>
      </w:r>
      <w:r w:rsidR="0034630D">
        <w:rPr>
          <w:sz w:val="20"/>
          <w:szCs w:val="20"/>
        </w:rPr>
        <w:t xml:space="preserve">, </w:t>
      </w:r>
      <w:r w:rsidR="0034630D">
        <w:rPr>
          <w:i/>
          <w:iCs/>
          <w:sz w:val="20"/>
          <w:szCs w:val="20"/>
        </w:rPr>
        <w:t xml:space="preserve">supra </w:t>
      </w:r>
      <w:r w:rsidR="0034630D">
        <w:rPr>
          <w:sz w:val="20"/>
          <w:szCs w:val="20"/>
        </w:rPr>
        <w:t xml:space="preserve">para </w:t>
      </w:r>
      <w:r w:rsidR="00C16F2A">
        <w:rPr>
          <w:sz w:val="20"/>
          <w:szCs w:val="20"/>
        </w:rPr>
        <w:t>8</w:t>
      </w:r>
      <w:r w:rsidR="0034630D">
        <w:rPr>
          <w:sz w:val="20"/>
          <w:szCs w:val="20"/>
        </w:rPr>
        <w:t xml:space="preserve"> </w:t>
      </w:r>
      <w:r w:rsidR="0034630D" w:rsidRPr="009B1D60">
        <w:rPr>
          <w:sz w:val="20"/>
          <w:szCs w:val="20"/>
        </w:rPr>
        <w:t xml:space="preserve">at 3. </w:t>
      </w:r>
    </w:p>
    <w:p w14:paraId="09005021" w14:textId="77777777" w:rsidR="0034630D" w:rsidRPr="009B1D60" w:rsidRDefault="0034630D" w:rsidP="0034630D">
      <w:pPr>
        <w:pStyle w:val="WSParaNum"/>
        <w:numPr>
          <w:ilvl w:val="0"/>
          <w:numId w:val="0"/>
        </w:numPr>
        <w:spacing w:before="0" w:after="0" w:line="240" w:lineRule="auto"/>
        <w:ind w:left="720"/>
        <w:rPr>
          <w:sz w:val="20"/>
          <w:szCs w:val="20"/>
        </w:rPr>
      </w:pPr>
    </w:p>
    <w:p w14:paraId="6C0EB59D" w14:textId="2E13763F" w:rsidR="0034630D" w:rsidRDefault="0034630D" w:rsidP="0034630D">
      <w:pPr>
        <w:pStyle w:val="WSParaNum"/>
        <w:spacing w:before="0" w:after="0"/>
      </w:pPr>
      <w:r>
        <w:t>The likelihood of harm to Blanding’s Turtle habitat was also minimal. As mentioned above,</w:t>
      </w:r>
      <w:r w:rsidR="00FC6644">
        <w:t xml:space="preserve"> since</w:t>
      </w:r>
      <w:r>
        <w:t xml:space="preserve"> there was no proof that the area contained any dwelling-sites</w:t>
      </w:r>
      <w:r w:rsidR="00FC6644">
        <w:t>, it is highly unlikely that Blanding’s turtle habitat would have been affected.</w:t>
      </w:r>
      <w:r>
        <w:t xml:space="preserve"> </w:t>
      </w:r>
    </w:p>
    <w:p w14:paraId="0B5A27A6" w14:textId="4C372EF6" w:rsidR="0034630D" w:rsidRDefault="001B4B84" w:rsidP="0034630D">
      <w:pPr>
        <w:pStyle w:val="WSParaNum"/>
        <w:numPr>
          <w:ilvl w:val="0"/>
          <w:numId w:val="0"/>
        </w:numPr>
        <w:spacing w:before="0" w:after="0" w:line="240" w:lineRule="auto"/>
        <w:ind w:left="720"/>
        <w:rPr>
          <w:sz w:val="20"/>
          <w:szCs w:val="20"/>
        </w:rPr>
      </w:pPr>
      <w:r>
        <w:rPr>
          <w:i/>
          <w:iCs/>
          <w:sz w:val="20"/>
          <w:szCs w:val="20"/>
        </w:rPr>
        <w:t>ONCJ</w:t>
      </w:r>
      <w:r w:rsidR="0034630D" w:rsidRPr="00323C31">
        <w:rPr>
          <w:i/>
          <w:iCs/>
          <w:sz w:val="20"/>
          <w:szCs w:val="20"/>
        </w:rPr>
        <w:t xml:space="preserve"> Reasons</w:t>
      </w:r>
      <w:r w:rsidR="0034630D">
        <w:rPr>
          <w:sz w:val="20"/>
          <w:szCs w:val="20"/>
        </w:rPr>
        <w:t xml:space="preserve">, </w:t>
      </w:r>
      <w:r w:rsidR="0034630D">
        <w:rPr>
          <w:i/>
          <w:iCs/>
          <w:sz w:val="20"/>
          <w:szCs w:val="20"/>
        </w:rPr>
        <w:t xml:space="preserve">supra </w:t>
      </w:r>
      <w:r w:rsidR="0034630D">
        <w:rPr>
          <w:sz w:val="20"/>
          <w:szCs w:val="20"/>
        </w:rPr>
        <w:t xml:space="preserve">para </w:t>
      </w:r>
      <w:r w:rsidR="00C16F2A">
        <w:rPr>
          <w:sz w:val="20"/>
          <w:szCs w:val="20"/>
        </w:rPr>
        <w:t>8</w:t>
      </w:r>
      <w:r w:rsidR="0034630D">
        <w:rPr>
          <w:sz w:val="20"/>
          <w:szCs w:val="20"/>
        </w:rPr>
        <w:t xml:space="preserve"> </w:t>
      </w:r>
      <w:r w:rsidR="0034630D" w:rsidRPr="00400EA6">
        <w:rPr>
          <w:sz w:val="20"/>
          <w:szCs w:val="20"/>
        </w:rPr>
        <w:t>at 7.</w:t>
      </w:r>
    </w:p>
    <w:p w14:paraId="1CAFB617" w14:textId="77777777" w:rsidR="0034630D" w:rsidRPr="00400EA6" w:rsidRDefault="0034630D" w:rsidP="0034630D">
      <w:pPr>
        <w:pStyle w:val="WSParaNum"/>
        <w:numPr>
          <w:ilvl w:val="0"/>
          <w:numId w:val="0"/>
        </w:numPr>
        <w:spacing w:before="0" w:after="0" w:line="240" w:lineRule="auto"/>
        <w:ind w:left="720"/>
        <w:rPr>
          <w:sz w:val="20"/>
          <w:szCs w:val="20"/>
        </w:rPr>
      </w:pPr>
    </w:p>
    <w:p w14:paraId="1BE95F55" w14:textId="3806E015" w:rsidR="0034630D" w:rsidRDefault="0034630D" w:rsidP="0034630D">
      <w:pPr>
        <w:pStyle w:val="WSParaNum"/>
        <w:spacing w:before="0" w:after="0"/>
      </w:pPr>
      <w:r>
        <w:t>In proving a due diligence defence, the defendant must also show that they took “action to find out what his or her [legal] obligations are”</w:t>
      </w:r>
      <w:r w:rsidR="0007124A">
        <w:t>.</w:t>
      </w:r>
      <w:r>
        <w:t xml:space="preserve"> CHL communicated and “[worked] together” </w:t>
      </w:r>
      <w:r>
        <w:lastRenderedPageBreak/>
        <w:t xml:space="preserve">with the MNRF to obtain a </w:t>
      </w:r>
      <w:r w:rsidR="00C16F2A">
        <w:t>development</w:t>
      </w:r>
      <w:r>
        <w:t xml:space="preserve"> permit, which was the only required authorization they needed. </w:t>
      </w:r>
    </w:p>
    <w:p w14:paraId="62FB0496" w14:textId="1A53903D" w:rsidR="0034630D" w:rsidRDefault="0034630D" w:rsidP="0034630D">
      <w:pPr>
        <w:pStyle w:val="WSParaNum"/>
        <w:numPr>
          <w:ilvl w:val="0"/>
          <w:numId w:val="0"/>
        </w:numPr>
        <w:spacing w:before="0" w:after="0" w:line="240" w:lineRule="auto"/>
        <w:ind w:left="720"/>
        <w:rPr>
          <w:i/>
          <w:iCs/>
          <w:sz w:val="20"/>
          <w:szCs w:val="20"/>
        </w:rPr>
      </w:pPr>
      <w:r w:rsidRPr="00140747">
        <w:rPr>
          <w:i/>
          <w:iCs/>
          <w:sz w:val="20"/>
          <w:szCs w:val="20"/>
        </w:rPr>
        <w:t>Lévis</w:t>
      </w:r>
      <w:r w:rsidRPr="00BA1664">
        <w:rPr>
          <w:sz w:val="20"/>
          <w:szCs w:val="20"/>
        </w:rPr>
        <w:t>,</w:t>
      </w:r>
      <w:r>
        <w:rPr>
          <w:i/>
          <w:iCs/>
          <w:sz w:val="20"/>
          <w:szCs w:val="20"/>
        </w:rPr>
        <w:t xml:space="preserve"> supra </w:t>
      </w:r>
      <w:r>
        <w:rPr>
          <w:sz w:val="20"/>
          <w:szCs w:val="20"/>
        </w:rPr>
        <w:t>para</w:t>
      </w:r>
      <w:r w:rsidR="00C16F2A">
        <w:rPr>
          <w:sz w:val="20"/>
          <w:szCs w:val="20"/>
        </w:rPr>
        <w:t xml:space="preserve"> 7</w:t>
      </w:r>
      <w:r w:rsidR="002C1353">
        <w:rPr>
          <w:sz w:val="20"/>
          <w:szCs w:val="20"/>
        </w:rPr>
        <w:t>3</w:t>
      </w:r>
      <w:r>
        <w:rPr>
          <w:sz w:val="20"/>
          <w:szCs w:val="20"/>
        </w:rPr>
        <w:t xml:space="preserve"> a</w:t>
      </w:r>
      <w:r w:rsidRPr="00140747">
        <w:rPr>
          <w:sz w:val="20"/>
          <w:szCs w:val="20"/>
        </w:rPr>
        <w:t xml:space="preserve">t para </w:t>
      </w:r>
      <w:r>
        <w:rPr>
          <w:sz w:val="20"/>
          <w:szCs w:val="20"/>
        </w:rPr>
        <w:t>30.</w:t>
      </w:r>
    </w:p>
    <w:p w14:paraId="52EBDDFC" w14:textId="6F7B7049" w:rsidR="0034630D" w:rsidRPr="007A5EC1" w:rsidRDefault="001B4B84" w:rsidP="0034630D">
      <w:pPr>
        <w:pStyle w:val="WSParaNum"/>
        <w:numPr>
          <w:ilvl w:val="0"/>
          <w:numId w:val="0"/>
        </w:numPr>
        <w:spacing w:before="0" w:after="0" w:line="240" w:lineRule="auto"/>
        <w:ind w:left="720"/>
        <w:rPr>
          <w:sz w:val="20"/>
          <w:szCs w:val="20"/>
        </w:rPr>
      </w:pPr>
      <w:r>
        <w:rPr>
          <w:i/>
          <w:iCs/>
          <w:sz w:val="20"/>
          <w:szCs w:val="20"/>
        </w:rPr>
        <w:t>ONCJ</w:t>
      </w:r>
      <w:r w:rsidR="0034630D" w:rsidRPr="00323C31">
        <w:rPr>
          <w:i/>
          <w:iCs/>
          <w:sz w:val="20"/>
          <w:szCs w:val="20"/>
        </w:rPr>
        <w:t xml:space="preserve"> Reasons</w:t>
      </w:r>
      <w:r w:rsidR="0034630D">
        <w:rPr>
          <w:sz w:val="20"/>
          <w:szCs w:val="20"/>
        </w:rPr>
        <w:t xml:space="preserve">, </w:t>
      </w:r>
      <w:r w:rsidR="0034630D">
        <w:rPr>
          <w:i/>
          <w:iCs/>
          <w:sz w:val="20"/>
          <w:szCs w:val="20"/>
        </w:rPr>
        <w:t xml:space="preserve">supra </w:t>
      </w:r>
      <w:r w:rsidR="0034630D">
        <w:rPr>
          <w:sz w:val="20"/>
          <w:szCs w:val="20"/>
        </w:rPr>
        <w:t xml:space="preserve">para </w:t>
      </w:r>
      <w:r w:rsidR="00C16F2A">
        <w:rPr>
          <w:sz w:val="20"/>
          <w:szCs w:val="20"/>
        </w:rPr>
        <w:t>8</w:t>
      </w:r>
      <w:r w:rsidR="0034630D">
        <w:rPr>
          <w:sz w:val="20"/>
          <w:szCs w:val="20"/>
        </w:rPr>
        <w:t xml:space="preserve"> </w:t>
      </w:r>
      <w:r w:rsidR="0034630D" w:rsidRPr="007A5EC1">
        <w:rPr>
          <w:sz w:val="20"/>
          <w:szCs w:val="20"/>
        </w:rPr>
        <w:t xml:space="preserve">at </w:t>
      </w:r>
      <w:r w:rsidR="0034630D">
        <w:rPr>
          <w:sz w:val="20"/>
          <w:szCs w:val="20"/>
        </w:rPr>
        <w:t>19</w:t>
      </w:r>
      <w:r w:rsidR="0034630D" w:rsidRPr="007A5EC1">
        <w:rPr>
          <w:sz w:val="20"/>
          <w:szCs w:val="20"/>
        </w:rPr>
        <w:t>.</w:t>
      </w:r>
    </w:p>
    <w:p w14:paraId="00075D11" w14:textId="671C1D98" w:rsidR="0034630D" w:rsidRPr="00C16F2A" w:rsidRDefault="0034630D" w:rsidP="00C16F2A">
      <w:pPr>
        <w:pStyle w:val="WSParaNum"/>
        <w:numPr>
          <w:ilvl w:val="0"/>
          <w:numId w:val="0"/>
        </w:numPr>
        <w:spacing w:before="0" w:after="0" w:line="240" w:lineRule="auto"/>
        <w:ind w:left="720"/>
        <w:rPr>
          <w:rFonts w:ascii="Arial" w:hAnsi="Arial" w:cs="Arial"/>
        </w:rPr>
      </w:pPr>
      <w:r w:rsidRPr="007A5EC1">
        <w:rPr>
          <w:i/>
          <w:iCs/>
          <w:sz w:val="20"/>
          <w:szCs w:val="20"/>
        </w:rPr>
        <w:t>ESA</w:t>
      </w:r>
      <w:r>
        <w:rPr>
          <w:sz w:val="20"/>
          <w:szCs w:val="20"/>
        </w:rPr>
        <w:t xml:space="preserve">, </w:t>
      </w:r>
      <w:r>
        <w:rPr>
          <w:i/>
          <w:iCs/>
          <w:sz w:val="20"/>
          <w:szCs w:val="20"/>
        </w:rPr>
        <w:t xml:space="preserve">supra </w:t>
      </w:r>
      <w:r>
        <w:rPr>
          <w:sz w:val="20"/>
          <w:szCs w:val="20"/>
        </w:rPr>
        <w:t xml:space="preserve">para </w:t>
      </w:r>
      <w:r w:rsidR="00C16F2A">
        <w:rPr>
          <w:sz w:val="20"/>
          <w:szCs w:val="20"/>
        </w:rPr>
        <w:t>1</w:t>
      </w:r>
      <w:r>
        <w:rPr>
          <w:sz w:val="20"/>
          <w:szCs w:val="20"/>
        </w:rPr>
        <w:t>,</w:t>
      </w:r>
      <w:r w:rsidRPr="007A5EC1">
        <w:rPr>
          <w:i/>
          <w:iCs/>
          <w:sz w:val="20"/>
          <w:szCs w:val="20"/>
        </w:rPr>
        <w:t xml:space="preserve"> </w:t>
      </w:r>
      <w:r w:rsidRPr="007A5EC1">
        <w:rPr>
          <w:sz w:val="20"/>
          <w:szCs w:val="20"/>
        </w:rPr>
        <w:t>s 28.</w:t>
      </w:r>
      <w:r w:rsidRPr="00687CFB">
        <w:rPr>
          <w:rFonts w:ascii="Arial" w:hAnsi="Arial" w:cs="Arial"/>
        </w:rPr>
        <w:t xml:space="preserve"> </w:t>
      </w:r>
    </w:p>
    <w:p w14:paraId="1C290644" w14:textId="77777777" w:rsidR="00DD6E8C" w:rsidRPr="00562AC6" w:rsidRDefault="00DD6E8C" w:rsidP="00C16F2A">
      <w:pPr>
        <w:pStyle w:val="Heading1"/>
        <w:spacing w:before="240" w:line="360" w:lineRule="auto"/>
      </w:pPr>
      <w:bookmarkStart w:id="29" w:name="_Toc271703735"/>
      <w:bookmarkStart w:id="30" w:name="_Toc220051353"/>
      <w:r w:rsidRPr="00562AC6">
        <w:t>SUBMISSIONS IN SUPPORT OF COSTS</w:t>
      </w:r>
      <w:bookmarkEnd w:id="29"/>
      <w:bookmarkEnd w:id="30"/>
    </w:p>
    <w:p w14:paraId="6CE22EF3" w14:textId="47961A28" w:rsidR="00DD6E8C" w:rsidRPr="00D678D8" w:rsidRDefault="00407B8C" w:rsidP="00497CA4">
      <w:pPr>
        <w:pStyle w:val="WSParaNum"/>
        <w:spacing w:before="0" w:after="0"/>
      </w:pPr>
      <w:r>
        <w:t>The Respondent does not seek costs for this appeal.</w:t>
      </w:r>
    </w:p>
    <w:p w14:paraId="2B33941B" w14:textId="77777777" w:rsidR="00DD6E8C" w:rsidRPr="00562AC6" w:rsidRDefault="0024187B" w:rsidP="00C16F2A">
      <w:pPr>
        <w:pStyle w:val="Heading1"/>
        <w:spacing w:before="240" w:line="360" w:lineRule="auto"/>
      </w:pPr>
      <w:bookmarkStart w:id="31" w:name="_Toc271703736"/>
      <w:bookmarkStart w:id="32" w:name="_Toc220051354"/>
      <w:r w:rsidRPr="00562AC6">
        <w:t>ORDER</w:t>
      </w:r>
      <w:r w:rsidR="00DD6E8C" w:rsidRPr="00562AC6">
        <w:t xml:space="preserve"> SOUGHT</w:t>
      </w:r>
      <w:bookmarkEnd w:id="31"/>
      <w:bookmarkEnd w:id="32"/>
    </w:p>
    <w:p w14:paraId="74C589BA" w14:textId="07A95EFF" w:rsidR="00DD6E8C" w:rsidRDefault="00407B8C" w:rsidP="00497CA4">
      <w:pPr>
        <w:pStyle w:val="WSParaNum"/>
        <w:spacing w:before="0" w:after="0"/>
      </w:pPr>
      <w:r>
        <w:t>The Respondent seeks an order:</w:t>
      </w:r>
    </w:p>
    <w:p w14:paraId="3BC9B8EA" w14:textId="6F8F5DBB" w:rsidR="00407B8C" w:rsidRDefault="00407B8C" w:rsidP="00407B8C">
      <w:pPr>
        <w:pStyle w:val="WSParaNum"/>
        <w:numPr>
          <w:ilvl w:val="1"/>
          <w:numId w:val="4"/>
        </w:numPr>
        <w:spacing w:before="0" w:after="0"/>
      </w:pPr>
      <w:r>
        <w:t>dismissing this appeal;</w:t>
      </w:r>
    </w:p>
    <w:p w14:paraId="6312ADFF" w14:textId="01F59F0C" w:rsidR="00407B8C" w:rsidRDefault="00407B8C" w:rsidP="00407B8C">
      <w:pPr>
        <w:pStyle w:val="WSParaNum"/>
        <w:numPr>
          <w:ilvl w:val="1"/>
          <w:numId w:val="4"/>
        </w:numPr>
        <w:spacing w:before="0" w:after="0"/>
      </w:pPr>
      <w:r>
        <w:t>u</w:t>
      </w:r>
      <w:r w:rsidRPr="00407B8C">
        <w:t>pholding the judgement of the Ontario Court of Justice, setting aside a conviction of CHL</w:t>
      </w:r>
      <w:r>
        <w:t xml:space="preserve">; and </w:t>
      </w:r>
    </w:p>
    <w:p w14:paraId="16430C08" w14:textId="57262039" w:rsidR="00407B8C" w:rsidRPr="00D678D8" w:rsidRDefault="00407B8C" w:rsidP="00407B8C">
      <w:pPr>
        <w:pStyle w:val="WSParaNum"/>
        <w:numPr>
          <w:ilvl w:val="1"/>
          <w:numId w:val="4"/>
        </w:numPr>
        <w:spacing w:before="0" w:after="0"/>
      </w:pPr>
      <w:r>
        <w:t xml:space="preserve">granting </w:t>
      </w:r>
      <w:r w:rsidRPr="00407B8C">
        <w:t>such further and other relief as this Honourable Court deems just.</w:t>
      </w:r>
    </w:p>
    <w:p w14:paraId="42F418CA" w14:textId="6D1B9B60" w:rsidR="00DD6E8C" w:rsidRPr="00D678D8" w:rsidRDefault="00DD6E8C" w:rsidP="00407B8C">
      <w:pPr>
        <w:pStyle w:val="WSParaNum"/>
        <w:numPr>
          <w:ilvl w:val="0"/>
          <w:numId w:val="0"/>
        </w:numPr>
        <w:spacing w:before="0" w:after="0"/>
      </w:pPr>
    </w:p>
    <w:p w14:paraId="2967C577" w14:textId="053F1660" w:rsidR="00DD6E8C" w:rsidRPr="00D678D8" w:rsidRDefault="00DD6E8C" w:rsidP="00497CA4">
      <w:pPr>
        <w:spacing w:line="360" w:lineRule="auto"/>
      </w:pPr>
      <w:r w:rsidRPr="00D678D8">
        <w:t>ALL OF WHICH IS</w:t>
      </w:r>
      <w:r w:rsidR="0003757F">
        <w:t xml:space="preserve"> RESPECTFULLY SUBMITTED this </w:t>
      </w:r>
      <w:r w:rsidR="00407B8C">
        <w:t>23</w:t>
      </w:r>
      <w:r w:rsidR="00407B8C" w:rsidRPr="00407B8C">
        <w:rPr>
          <w:vertAlign w:val="superscript"/>
        </w:rPr>
        <w:t>rd</w:t>
      </w:r>
      <w:r w:rsidRPr="00D678D8">
        <w:t xml:space="preserve"> day of</w:t>
      </w:r>
      <w:r w:rsidR="0003757F">
        <w:t xml:space="preserve"> </w:t>
      </w:r>
      <w:r w:rsidR="00407B8C">
        <w:t xml:space="preserve">January, </w:t>
      </w:r>
      <w:r w:rsidR="00915A04">
        <w:t>202</w:t>
      </w:r>
      <w:r w:rsidR="00B72782">
        <w:t>6</w:t>
      </w:r>
      <w:r w:rsidRPr="00D678D8">
        <w:t>.</w:t>
      </w:r>
    </w:p>
    <w:p w14:paraId="0D0F3608" w14:textId="77777777" w:rsidR="00334F22" w:rsidRPr="00D678D8" w:rsidRDefault="00334F22" w:rsidP="00497CA4">
      <w:pPr>
        <w:spacing w:line="360" w:lineRule="auto"/>
      </w:pPr>
    </w:p>
    <w:p w14:paraId="1B98958B" w14:textId="2652AB4A" w:rsidR="00334F22" w:rsidRPr="00DD6E8C" w:rsidRDefault="00334F22" w:rsidP="00497CA4">
      <w:pPr>
        <w:jc w:val="right"/>
      </w:pPr>
      <w:r>
        <w:t>___</w:t>
      </w:r>
      <w:r w:rsidR="00407B8C" w:rsidRPr="00407B8C">
        <w:rPr>
          <w:u w:val="single"/>
        </w:rPr>
        <w:t>Kaitlin Schaaf</w:t>
      </w:r>
      <w:r>
        <w:t>______</w:t>
      </w:r>
    </w:p>
    <w:p w14:paraId="6E6B90C7" w14:textId="77777777" w:rsidR="00A85602" w:rsidRDefault="00A85602" w:rsidP="00497CA4"/>
    <w:p w14:paraId="2F9E1FF3" w14:textId="77777777" w:rsidR="00334F22" w:rsidRDefault="00334F22" w:rsidP="00497CA4"/>
    <w:p w14:paraId="603C7847" w14:textId="1FBCE845" w:rsidR="00334F22" w:rsidRPr="00DD6E8C" w:rsidRDefault="00334F22" w:rsidP="00497CA4">
      <w:pPr>
        <w:jc w:val="right"/>
      </w:pPr>
      <w:r>
        <w:t>___</w:t>
      </w:r>
      <w:r w:rsidR="00407B8C" w:rsidRPr="00407B8C">
        <w:rPr>
          <w:u w:val="single"/>
        </w:rPr>
        <w:t>Ruby Pyke</w:t>
      </w:r>
      <w:r>
        <w:t>_________</w:t>
      </w:r>
    </w:p>
    <w:p w14:paraId="3007E314" w14:textId="77777777" w:rsidR="00334F22" w:rsidRDefault="00334F22" w:rsidP="00497CA4"/>
    <w:p w14:paraId="280DFB98" w14:textId="77777777" w:rsidR="003822BD" w:rsidRDefault="003822BD" w:rsidP="00407B8C"/>
    <w:p w14:paraId="3B79C618" w14:textId="77777777" w:rsidR="003822BD" w:rsidRDefault="003822BD" w:rsidP="00497CA4">
      <w:pPr>
        <w:jc w:val="right"/>
      </w:pPr>
      <w:r>
        <w:t xml:space="preserve">Counsel for the </w:t>
      </w:r>
      <w:r w:rsidR="00EE2290">
        <w:t>Respondent</w:t>
      </w:r>
    </w:p>
    <w:p w14:paraId="49B15252" w14:textId="7F55E85D" w:rsidR="003822BD" w:rsidRPr="00A85602" w:rsidRDefault="00E91273" w:rsidP="00497CA4">
      <w:pPr>
        <w:jc w:val="right"/>
      </w:pPr>
      <w:r>
        <w:t>Consolidated Homes Ltd.</w:t>
      </w:r>
    </w:p>
    <w:p w14:paraId="23D158ED" w14:textId="11987446" w:rsidR="00D921E9" w:rsidRPr="00562AC6" w:rsidRDefault="0044118E" w:rsidP="00562AC6">
      <w:pPr>
        <w:pStyle w:val="Heading1"/>
      </w:pPr>
      <w:r w:rsidRPr="0044118E">
        <w:br w:type="page"/>
      </w:r>
      <w:bookmarkStart w:id="33" w:name="_Toc220051355"/>
      <w:r w:rsidRPr="00562AC6">
        <w:lastRenderedPageBreak/>
        <w:t>TABLE OF AUTHORITIES</w:t>
      </w:r>
      <w:bookmarkEnd w:id="33"/>
    </w:p>
    <w:tbl>
      <w:tblPr>
        <w:tblStyle w:val="TableGrid"/>
        <w:tblW w:w="0" w:type="auto"/>
        <w:tblLook w:val="04A0" w:firstRow="1" w:lastRow="0" w:firstColumn="1" w:lastColumn="0" w:noHBand="0" w:noVBand="1"/>
      </w:tblPr>
      <w:tblGrid>
        <w:gridCol w:w="7083"/>
        <w:gridCol w:w="2267"/>
      </w:tblGrid>
      <w:tr w:rsidR="008A009C" w:rsidRPr="001C7177" w14:paraId="59D58BCC" w14:textId="77777777" w:rsidTr="00D57A27">
        <w:tc>
          <w:tcPr>
            <w:tcW w:w="7083" w:type="dxa"/>
          </w:tcPr>
          <w:p w14:paraId="24B7E6D7" w14:textId="67FA1E45" w:rsidR="008A009C" w:rsidRPr="001C7177" w:rsidRDefault="008A009C" w:rsidP="008A009C">
            <w:pPr>
              <w:spacing w:before="240" w:after="240"/>
              <w:rPr>
                <w:b/>
              </w:rPr>
            </w:pPr>
            <w:r w:rsidRPr="001C7177">
              <w:rPr>
                <w:b/>
              </w:rPr>
              <w:t xml:space="preserve">Legislation </w:t>
            </w:r>
          </w:p>
        </w:tc>
        <w:tc>
          <w:tcPr>
            <w:tcW w:w="2267" w:type="dxa"/>
          </w:tcPr>
          <w:p w14:paraId="3E1F8246" w14:textId="78125FE5" w:rsidR="008A009C" w:rsidRPr="001C7177" w:rsidRDefault="008A009C" w:rsidP="008A009C">
            <w:pPr>
              <w:spacing w:before="240" w:after="240"/>
              <w:rPr>
                <w:b/>
              </w:rPr>
            </w:pPr>
            <w:r w:rsidRPr="001C7177">
              <w:rPr>
                <w:b/>
              </w:rPr>
              <w:t>Paragraph No.</w:t>
            </w:r>
          </w:p>
        </w:tc>
      </w:tr>
      <w:tr w:rsidR="008A009C" w:rsidRPr="001C7177" w14:paraId="77F31B25" w14:textId="77777777" w:rsidTr="00D57A27">
        <w:tc>
          <w:tcPr>
            <w:tcW w:w="7083" w:type="dxa"/>
            <w:vAlign w:val="center"/>
          </w:tcPr>
          <w:p w14:paraId="7060FF2D" w14:textId="4CD26A1A" w:rsidR="008A009C" w:rsidRPr="001C7177" w:rsidRDefault="00841106" w:rsidP="0034467F">
            <w:pPr>
              <w:spacing w:before="120" w:after="120"/>
            </w:pPr>
            <w:r w:rsidRPr="001C7177">
              <w:rPr>
                <w:i/>
                <w:iCs/>
              </w:rPr>
              <w:t>Endangered Species Act</w:t>
            </w:r>
            <w:r w:rsidRPr="001C7177">
              <w:t>, 2007, SO 2007, c 6</w:t>
            </w:r>
            <w:r w:rsidR="00FC5AA2" w:rsidRPr="001C7177">
              <w:t>.</w:t>
            </w:r>
          </w:p>
        </w:tc>
        <w:tc>
          <w:tcPr>
            <w:tcW w:w="2267" w:type="dxa"/>
            <w:vAlign w:val="center"/>
          </w:tcPr>
          <w:p w14:paraId="542A5B08" w14:textId="670B0468" w:rsidR="008A009C" w:rsidRPr="001E6D70" w:rsidRDefault="001E6D70" w:rsidP="001E6D70">
            <w:pPr>
              <w:rPr>
                <w:bCs/>
              </w:rPr>
            </w:pPr>
            <w:r>
              <w:rPr>
                <w:bCs/>
              </w:rPr>
              <w:t>1</w:t>
            </w:r>
            <w:r w:rsidR="00E34E86">
              <w:rPr>
                <w:bCs/>
              </w:rPr>
              <w:t>8</w:t>
            </w:r>
            <w:r>
              <w:rPr>
                <w:bCs/>
              </w:rPr>
              <w:t>, 2</w:t>
            </w:r>
            <w:r w:rsidR="00E34E86">
              <w:rPr>
                <w:bCs/>
              </w:rPr>
              <w:t>5</w:t>
            </w:r>
            <w:r>
              <w:rPr>
                <w:bCs/>
              </w:rPr>
              <w:t>, 4</w:t>
            </w:r>
            <w:r w:rsidR="00E34E86">
              <w:rPr>
                <w:bCs/>
              </w:rPr>
              <w:t>1</w:t>
            </w:r>
            <w:r>
              <w:rPr>
                <w:bCs/>
              </w:rPr>
              <w:t xml:space="preserve">, </w:t>
            </w:r>
            <w:r w:rsidR="00E34E86">
              <w:rPr>
                <w:bCs/>
              </w:rPr>
              <w:t>49</w:t>
            </w:r>
            <w:r>
              <w:rPr>
                <w:bCs/>
              </w:rPr>
              <w:t>, 5</w:t>
            </w:r>
            <w:r w:rsidR="00E34E86">
              <w:rPr>
                <w:bCs/>
              </w:rPr>
              <w:t>0</w:t>
            </w:r>
            <w:r>
              <w:rPr>
                <w:bCs/>
              </w:rPr>
              <w:t>, 5</w:t>
            </w:r>
            <w:r w:rsidR="00E34E86">
              <w:rPr>
                <w:bCs/>
              </w:rPr>
              <w:t>3</w:t>
            </w:r>
            <w:r>
              <w:rPr>
                <w:bCs/>
              </w:rPr>
              <w:t>, 5</w:t>
            </w:r>
            <w:r w:rsidR="00E34E86">
              <w:rPr>
                <w:bCs/>
              </w:rPr>
              <w:t>5</w:t>
            </w:r>
            <w:r>
              <w:rPr>
                <w:bCs/>
              </w:rPr>
              <w:t>, 5</w:t>
            </w:r>
            <w:r w:rsidR="00E34E86">
              <w:rPr>
                <w:bCs/>
              </w:rPr>
              <w:t>6</w:t>
            </w:r>
            <w:r>
              <w:rPr>
                <w:bCs/>
              </w:rPr>
              <w:t>, 6</w:t>
            </w:r>
            <w:r w:rsidR="00E34E86">
              <w:rPr>
                <w:bCs/>
              </w:rPr>
              <w:t>1</w:t>
            </w:r>
            <w:r>
              <w:rPr>
                <w:bCs/>
              </w:rPr>
              <w:t>, 6</w:t>
            </w:r>
            <w:r w:rsidR="00E34E86">
              <w:rPr>
                <w:bCs/>
              </w:rPr>
              <w:t>4</w:t>
            </w:r>
            <w:r>
              <w:rPr>
                <w:bCs/>
              </w:rPr>
              <w:t xml:space="preserve">, </w:t>
            </w:r>
            <w:r w:rsidR="00E34E86">
              <w:rPr>
                <w:bCs/>
              </w:rPr>
              <w:t>79</w:t>
            </w:r>
            <w:r>
              <w:rPr>
                <w:bCs/>
              </w:rPr>
              <w:t>.</w:t>
            </w:r>
          </w:p>
        </w:tc>
      </w:tr>
      <w:tr w:rsidR="008A009C" w:rsidRPr="001C7177" w14:paraId="53A47CB5" w14:textId="77777777" w:rsidTr="00D57A27">
        <w:tc>
          <w:tcPr>
            <w:tcW w:w="7083" w:type="dxa"/>
            <w:vAlign w:val="center"/>
          </w:tcPr>
          <w:p w14:paraId="44654118" w14:textId="3F3D4B7A" w:rsidR="008A009C" w:rsidRPr="001C7177" w:rsidRDefault="00841106" w:rsidP="0034467F">
            <w:pPr>
              <w:spacing w:before="120" w:after="120"/>
            </w:pPr>
            <w:r w:rsidRPr="001C7177">
              <w:rPr>
                <w:i/>
                <w:iCs/>
              </w:rPr>
              <w:t xml:space="preserve">Environmental Protection Act, </w:t>
            </w:r>
            <w:r w:rsidRPr="001C7177">
              <w:t>RSO 1990, c E.19</w:t>
            </w:r>
            <w:r w:rsidR="00FC5AA2" w:rsidRPr="001C7177">
              <w:t>.</w:t>
            </w:r>
          </w:p>
        </w:tc>
        <w:tc>
          <w:tcPr>
            <w:tcW w:w="2267" w:type="dxa"/>
            <w:vAlign w:val="center"/>
          </w:tcPr>
          <w:p w14:paraId="7B7F09B6" w14:textId="37C0008E" w:rsidR="008A009C" w:rsidRPr="001E6D70" w:rsidRDefault="001E6D70" w:rsidP="001E6D70">
            <w:pPr>
              <w:rPr>
                <w:bCs/>
              </w:rPr>
            </w:pPr>
            <w:r>
              <w:rPr>
                <w:bCs/>
              </w:rPr>
              <w:t>4</w:t>
            </w:r>
            <w:r w:rsidR="00E34E86">
              <w:rPr>
                <w:bCs/>
              </w:rPr>
              <w:t>1</w:t>
            </w:r>
            <w:r>
              <w:rPr>
                <w:bCs/>
              </w:rPr>
              <w:t>.</w:t>
            </w:r>
          </w:p>
        </w:tc>
      </w:tr>
      <w:tr w:rsidR="00D57A27" w:rsidRPr="001C7177" w14:paraId="1F3AFF14" w14:textId="77777777" w:rsidTr="00D57A27">
        <w:tc>
          <w:tcPr>
            <w:tcW w:w="7083" w:type="dxa"/>
            <w:vAlign w:val="center"/>
          </w:tcPr>
          <w:p w14:paraId="162669E8" w14:textId="6FEB1329" w:rsidR="00D57A27" w:rsidRPr="001C7177" w:rsidRDefault="00D57A27" w:rsidP="0034467F">
            <w:pPr>
              <w:spacing w:before="120" w:after="120"/>
              <w:rPr>
                <w:i/>
                <w:iCs/>
              </w:rPr>
            </w:pPr>
            <w:r w:rsidRPr="00D57A27">
              <w:rPr>
                <w:i/>
                <w:iCs/>
              </w:rPr>
              <w:t>Protect Ontario by Unleashing our Economy Act</w:t>
            </w:r>
            <w:r w:rsidRPr="00D57A27">
              <w:t>, SO 2025, c 4, Sch 2</w:t>
            </w:r>
            <w:r>
              <w:t>.</w:t>
            </w:r>
          </w:p>
        </w:tc>
        <w:tc>
          <w:tcPr>
            <w:tcW w:w="2267" w:type="dxa"/>
            <w:vAlign w:val="center"/>
          </w:tcPr>
          <w:p w14:paraId="5AB9A6A5" w14:textId="5EDEA9D8" w:rsidR="00D57A27" w:rsidRDefault="00D57A27" w:rsidP="001E6D70">
            <w:pPr>
              <w:rPr>
                <w:bCs/>
              </w:rPr>
            </w:pPr>
            <w:r>
              <w:rPr>
                <w:bCs/>
              </w:rPr>
              <w:t>5</w:t>
            </w:r>
            <w:r w:rsidR="00E34E86">
              <w:rPr>
                <w:bCs/>
              </w:rPr>
              <w:t>6</w:t>
            </w:r>
            <w:r>
              <w:rPr>
                <w:bCs/>
              </w:rPr>
              <w:t>, 6</w:t>
            </w:r>
            <w:r w:rsidR="00E34E86">
              <w:rPr>
                <w:bCs/>
              </w:rPr>
              <w:t>1</w:t>
            </w:r>
            <w:r>
              <w:rPr>
                <w:bCs/>
              </w:rPr>
              <w:t>, 6</w:t>
            </w:r>
            <w:r w:rsidR="00E34E86">
              <w:rPr>
                <w:bCs/>
              </w:rPr>
              <w:t>4</w:t>
            </w:r>
            <w:r>
              <w:rPr>
                <w:bCs/>
              </w:rPr>
              <w:t>.</w:t>
            </w:r>
          </w:p>
        </w:tc>
      </w:tr>
      <w:tr w:rsidR="008A009C" w:rsidRPr="001C7177" w14:paraId="2EB0ECAA" w14:textId="77777777" w:rsidTr="00D57A27">
        <w:tc>
          <w:tcPr>
            <w:tcW w:w="7083" w:type="dxa"/>
            <w:vAlign w:val="center"/>
          </w:tcPr>
          <w:p w14:paraId="685113AD" w14:textId="2D854D9B" w:rsidR="008A009C" w:rsidRPr="001C7177" w:rsidRDefault="00841106" w:rsidP="0034467F">
            <w:pPr>
              <w:spacing w:before="120" w:after="120"/>
            </w:pPr>
            <w:r w:rsidRPr="001C7177">
              <w:rPr>
                <w:i/>
                <w:iCs/>
              </w:rPr>
              <w:t xml:space="preserve">Provincial Offences </w:t>
            </w:r>
            <w:r w:rsidRPr="000922D3">
              <w:rPr>
                <w:i/>
                <w:iCs/>
              </w:rPr>
              <w:t>Act</w:t>
            </w:r>
            <w:r w:rsidRPr="001C7177">
              <w:t>, RSO 1990, c P.33</w:t>
            </w:r>
            <w:r w:rsidR="00FC5AA2" w:rsidRPr="001C7177">
              <w:t>.</w:t>
            </w:r>
          </w:p>
        </w:tc>
        <w:tc>
          <w:tcPr>
            <w:tcW w:w="2267" w:type="dxa"/>
            <w:vAlign w:val="center"/>
          </w:tcPr>
          <w:p w14:paraId="096CD195" w14:textId="2792683A" w:rsidR="008A009C" w:rsidRPr="001E6D70" w:rsidRDefault="001E6D70" w:rsidP="001E6D70">
            <w:pPr>
              <w:rPr>
                <w:bCs/>
              </w:rPr>
            </w:pPr>
            <w:r>
              <w:rPr>
                <w:bCs/>
              </w:rPr>
              <w:t>2</w:t>
            </w:r>
            <w:r w:rsidR="00120A36">
              <w:rPr>
                <w:bCs/>
              </w:rPr>
              <w:t>0</w:t>
            </w:r>
            <w:r>
              <w:rPr>
                <w:bCs/>
              </w:rPr>
              <w:t>, 2</w:t>
            </w:r>
            <w:r w:rsidR="00E34E86">
              <w:rPr>
                <w:bCs/>
              </w:rPr>
              <w:t>4</w:t>
            </w:r>
            <w:r>
              <w:rPr>
                <w:bCs/>
              </w:rPr>
              <w:t>, 3</w:t>
            </w:r>
            <w:r w:rsidR="00E34E86">
              <w:rPr>
                <w:bCs/>
              </w:rPr>
              <w:t>1</w:t>
            </w:r>
            <w:r>
              <w:rPr>
                <w:bCs/>
              </w:rPr>
              <w:t>.</w:t>
            </w:r>
          </w:p>
        </w:tc>
      </w:tr>
      <w:tr w:rsidR="008A009C" w:rsidRPr="001C7177" w14:paraId="00E2E523" w14:textId="77777777" w:rsidTr="00D57A27">
        <w:tc>
          <w:tcPr>
            <w:tcW w:w="7083" w:type="dxa"/>
            <w:vAlign w:val="center"/>
          </w:tcPr>
          <w:p w14:paraId="5473FDB0" w14:textId="6DFEF551" w:rsidR="008A009C" w:rsidRPr="001C7177" w:rsidRDefault="00841106" w:rsidP="0034467F">
            <w:pPr>
              <w:spacing w:before="120" w:after="120"/>
            </w:pPr>
            <w:r w:rsidRPr="001C7177">
              <w:rPr>
                <w:i/>
                <w:iCs/>
              </w:rPr>
              <w:t xml:space="preserve">Species at Risk Act, </w:t>
            </w:r>
            <w:r w:rsidRPr="001C7177">
              <w:t>SC 2002, c 29</w:t>
            </w:r>
            <w:r w:rsidR="00FC5AA2" w:rsidRPr="001C7177">
              <w:t>.</w:t>
            </w:r>
          </w:p>
        </w:tc>
        <w:tc>
          <w:tcPr>
            <w:tcW w:w="2267" w:type="dxa"/>
            <w:vAlign w:val="center"/>
          </w:tcPr>
          <w:p w14:paraId="00D8312B" w14:textId="64FE2908" w:rsidR="008A009C" w:rsidRPr="001E6D70" w:rsidRDefault="001E6D70" w:rsidP="001E6D70">
            <w:pPr>
              <w:rPr>
                <w:bCs/>
              </w:rPr>
            </w:pPr>
            <w:r>
              <w:rPr>
                <w:bCs/>
              </w:rPr>
              <w:t>6</w:t>
            </w:r>
            <w:r w:rsidR="00E34E86">
              <w:rPr>
                <w:bCs/>
              </w:rPr>
              <w:t>3</w:t>
            </w:r>
            <w:r>
              <w:rPr>
                <w:bCs/>
              </w:rPr>
              <w:t>.</w:t>
            </w:r>
          </w:p>
        </w:tc>
      </w:tr>
    </w:tbl>
    <w:p w14:paraId="5B3E710E" w14:textId="77777777" w:rsidR="008A009C" w:rsidRPr="001C7177" w:rsidRDefault="008A009C" w:rsidP="008A009C">
      <w:pPr>
        <w:spacing w:line="360" w:lineRule="auto"/>
        <w:rPr>
          <w:b/>
        </w:rPr>
      </w:pPr>
    </w:p>
    <w:tbl>
      <w:tblPr>
        <w:tblStyle w:val="TableGrid"/>
        <w:tblW w:w="0" w:type="auto"/>
        <w:tblLook w:val="04A0" w:firstRow="1" w:lastRow="0" w:firstColumn="1" w:lastColumn="0" w:noHBand="0" w:noVBand="1"/>
      </w:tblPr>
      <w:tblGrid>
        <w:gridCol w:w="7083"/>
        <w:gridCol w:w="2267"/>
      </w:tblGrid>
      <w:tr w:rsidR="008A009C" w:rsidRPr="001C7177" w14:paraId="4FF628BD" w14:textId="77777777" w:rsidTr="00D57A27">
        <w:tc>
          <w:tcPr>
            <w:tcW w:w="7083" w:type="dxa"/>
          </w:tcPr>
          <w:p w14:paraId="2CCA99B6" w14:textId="292C8B86" w:rsidR="008A009C" w:rsidRPr="001C7177" w:rsidRDefault="008A009C" w:rsidP="00671430">
            <w:pPr>
              <w:spacing w:before="240" w:after="240"/>
              <w:rPr>
                <w:b/>
              </w:rPr>
            </w:pPr>
            <w:r w:rsidRPr="001C7177">
              <w:rPr>
                <w:b/>
              </w:rPr>
              <w:t>Case Law</w:t>
            </w:r>
          </w:p>
        </w:tc>
        <w:tc>
          <w:tcPr>
            <w:tcW w:w="2267" w:type="dxa"/>
          </w:tcPr>
          <w:p w14:paraId="7377A4B2" w14:textId="77777777" w:rsidR="008A009C" w:rsidRPr="001C7177" w:rsidRDefault="008A009C" w:rsidP="00671430">
            <w:pPr>
              <w:spacing w:before="240" w:after="240"/>
              <w:rPr>
                <w:b/>
              </w:rPr>
            </w:pPr>
            <w:r w:rsidRPr="001C7177">
              <w:rPr>
                <w:b/>
              </w:rPr>
              <w:t>Paragraph No.</w:t>
            </w:r>
          </w:p>
        </w:tc>
      </w:tr>
      <w:tr w:rsidR="00841106" w:rsidRPr="001C7177" w14:paraId="2C1F3927" w14:textId="77777777" w:rsidTr="00D57A27">
        <w:tc>
          <w:tcPr>
            <w:tcW w:w="7083" w:type="dxa"/>
          </w:tcPr>
          <w:p w14:paraId="396EC463" w14:textId="40BB0979" w:rsidR="00841106" w:rsidRPr="001C7177" w:rsidRDefault="00841106" w:rsidP="0034467F">
            <w:pPr>
              <w:spacing w:before="120" w:after="120"/>
            </w:pPr>
            <w:r w:rsidRPr="001C7177">
              <w:rPr>
                <w:i/>
                <w:iCs/>
              </w:rPr>
              <w:t>Canada (Attorney General) v Fontaine</w:t>
            </w:r>
            <w:r w:rsidRPr="001C7177">
              <w:t>, 2017 SCC 47</w:t>
            </w:r>
            <w:r w:rsidR="00FC5AA2" w:rsidRPr="001C7177">
              <w:t>.</w:t>
            </w:r>
          </w:p>
        </w:tc>
        <w:tc>
          <w:tcPr>
            <w:tcW w:w="2267" w:type="dxa"/>
          </w:tcPr>
          <w:p w14:paraId="6970EC1E" w14:textId="3CA04255" w:rsidR="00841106" w:rsidRPr="001E6D70" w:rsidRDefault="001E6D70" w:rsidP="001E6D70">
            <w:pPr>
              <w:rPr>
                <w:bCs/>
              </w:rPr>
            </w:pPr>
            <w:r>
              <w:rPr>
                <w:bCs/>
              </w:rPr>
              <w:t>2</w:t>
            </w:r>
            <w:r w:rsidR="00E34E86">
              <w:rPr>
                <w:bCs/>
              </w:rPr>
              <w:t>7</w:t>
            </w:r>
            <w:r>
              <w:rPr>
                <w:bCs/>
              </w:rPr>
              <w:t>, 2</w:t>
            </w:r>
            <w:r w:rsidR="00E34E86">
              <w:rPr>
                <w:bCs/>
              </w:rPr>
              <w:t>8</w:t>
            </w:r>
            <w:r>
              <w:rPr>
                <w:bCs/>
              </w:rPr>
              <w:t>, 4</w:t>
            </w:r>
            <w:r w:rsidR="00E34E86">
              <w:rPr>
                <w:bCs/>
              </w:rPr>
              <w:t>4</w:t>
            </w:r>
            <w:r>
              <w:rPr>
                <w:bCs/>
              </w:rPr>
              <w:t>, 4</w:t>
            </w:r>
            <w:r w:rsidR="00E34E86">
              <w:rPr>
                <w:bCs/>
              </w:rPr>
              <w:t>8</w:t>
            </w:r>
            <w:r>
              <w:rPr>
                <w:bCs/>
              </w:rPr>
              <w:t>.</w:t>
            </w:r>
          </w:p>
        </w:tc>
      </w:tr>
      <w:tr w:rsidR="008A009C" w:rsidRPr="001C7177" w14:paraId="6FED7889" w14:textId="77777777" w:rsidTr="00D57A27">
        <w:tc>
          <w:tcPr>
            <w:tcW w:w="7083" w:type="dxa"/>
            <w:vAlign w:val="center"/>
          </w:tcPr>
          <w:p w14:paraId="3185C00A" w14:textId="11AD647B" w:rsidR="008A009C" w:rsidRPr="001C7177" w:rsidRDefault="00841106" w:rsidP="0034467F">
            <w:pPr>
              <w:spacing w:before="120" w:after="120"/>
            </w:pPr>
            <w:r w:rsidRPr="001C7177">
              <w:rPr>
                <w:i/>
                <w:iCs/>
              </w:rPr>
              <w:t>Cham Shan Temple v Director, Ministry of the Environment</w:t>
            </w:r>
            <w:r w:rsidRPr="001C7177">
              <w:t>, 2015 CarswellOnt 2773, [2015] OERTD No 9, 94 CELR. (3d) 175</w:t>
            </w:r>
            <w:r w:rsidR="00FC5AA2" w:rsidRPr="001C7177">
              <w:t>.</w:t>
            </w:r>
          </w:p>
        </w:tc>
        <w:tc>
          <w:tcPr>
            <w:tcW w:w="2267" w:type="dxa"/>
          </w:tcPr>
          <w:p w14:paraId="73251041" w14:textId="062F3886" w:rsidR="008A009C" w:rsidRPr="001E6D70" w:rsidRDefault="001E6D70" w:rsidP="001E6D70">
            <w:pPr>
              <w:rPr>
                <w:bCs/>
              </w:rPr>
            </w:pPr>
            <w:r>
              <w:rPr>
                <w:bCs/>
              </w:rPr>
              <w:t>5</w:t>
            </w:r>
            <w:r w:rsidR="00E34E86">
              <w:rPr>
                <w:bCs/>
              </w:rPr>
              <w:t>0</w:t>
            </w:r>
            <w:r>
              <w:rPr>
                <w:bCs/>
              </w:rPr>
              <w:t>, 5</w:t>
            </w:r>
            <w:r w:rsidR="00E34E86">
              <w:rPr>
                <w:bCs/>
              </w:rPr>
              <w:t>2</w:t>
            </w:r>
            <w:r>
              <w:rPr>
                <w:bCs/>
              </w:rPr>
              <w:t>.</w:t>
            </w:r>
          </w:p>
        </w:tc>
      </w:tr>
      <w:tr w:rsidR="008A009C" w:rsidRPr="001C7177" w14:paraId="117F98DC" w14:textId="77777777" w:rsidTr="00D57A27">
        <w:tc>
          <w:tcPr>
            <w:tcW w:w="7083" w:type="dxa"/>
          </w:tcPr>
          <w:p w14:paraId="04360168" w14:textId="43F48CDD" w:rsidR="008A009C" w:rsidRPr="001C7177" w:rsidRDefault="00841106" w:rsidP="0034467F">
            <w:pPr>
              <w:spacing w:before="120" w:after="120"/>
            </w:pPr>
            <w:r w:rsidRPr="001C7177">
              <w:rPr>
                <w:i/>
                <w:iCs/>
              </w:rPr>
              <w:t>Dorion v Roberge</w:t>
            </w:r>
            <w:r w:rsidRPr="000922D3">
              <w:t xml:space="preserve">, </w:t>
            </w:r>
            <w:r w:rsidRPr="001C7177">
              <w:t>1991 CanLII 83 (SCC)</w:t>
            </w:r>
            <w:r w:rsidR="00FC5AA2" w:rsidRPr="001C7177">
              <w:t>.</w:t>
            </w:r>
            <w:r w:rsidRPr="001C7177">
              <w:t xml:space="preserve"> </w:t>
            </w:r>
          </w:p>
        </w:tc>
        <w:tc>
          <w:tcPr>
            <w:tcW w:w="2267" w:type="dxa"/>
          </w:tcPr>
          <w:p w14:paraId="26E099F8" w14:textId="5572150B" w:rsidR="008A009C" w:rsidRPr="001E6D70" w:rsidRDefault="001E6D70" w:rsidP="001E6D70">
            <w:pPr>
              <w:rPr>
                <w:bCs/>
              </w:rPr>
            </w:pPr>
            <w:r>
              <w:rPr>
                <w:bCs/>
              </w:rPr>
              <w:t>3</w:t>
            </w:r>
            <w:r w:rsidR="00E34E86">
              <w:rPr>
                <w:bCs/>
              </w:rPr>
              <w:t>8</w:t>
            </w:r>
            <w:r>
              <w:rPr>
                <w:bCs/>
              </w:rPr>
              <w:t>.</w:t>
            </w:r>
          </w:p>
        </w:tc>
      </w:tr>
      <w:tr w:rsidR="008A009C" w:rsidRPr="001C7177" w14:paraId="1AD6A011" w14:textId="77777777" w:rsidTr="00D57A27">
        <w:tc>
          <w:tcPr>
            <w:tcW w:w="7083" w:type="dxa"/>
          </w:tcPr>
          <w:p w14:paraId="6717FAA0" w14:textId="17CCCD62" w:rsidR="008A009C" w:rsidRPr="001C7177" w:rsidRDefault="00841106" w:rsidP="0034467F">
            <w:pPr>
              <w:spacing w:before="120" w:after="120"/>
            </w:pPr>
            <w:r w:rsidRPr="001C7177">
              <w:rPr>
                <w:i/>
                <w:iCs/>
              </w:rPr>
              <w:t>Dunsmuir v New Brunswick</w:t>
            </w:r>
            <w:r w:rsidRPr="001C7177">
              <w:t>, 2008 SCC 9</w:t>
            </w:r>
            <w:r w:rsidR="00FC5AA2" w:rsidRPr="001C7177">
              <w:t>.</w:t>
            </w:r>
          </w:p>
        </w:tc>
        <w:tc>
          <w:tcPr>
            <w:tcW w:w="2267" w:type="dxa"/>
          </w:tcPr>
          <w:p w14:paraId="1DF6A9A3" w14:textId="23BF445E" w:rsidR="008A009C" w:rsidRPr="001E6D70" w:rsidRDefault="001E6D70" w:rsidP="001E6D70">
            <w:pPr>
              <w:rPr>
                <w:bCs/>
              </w:rPr>
            </w:pPr>
            <w:r>
              <w:rPr>
                <w:bCs/>
              </w:rPr>
              <w:t>1</w:t>
            </w:r>
            <w:r w:rsidR="00120A36">
              <w:rPr>
                <w:bCs/>
              </w:rPr>
              <w:t>6</w:t>
            </w:r>
            <w:r>
              <w:rPr>
                <w:bCs/>
              </w:rPr>
              <w:t>.</w:t>
            </w:r>
          </w:p>
        </w:tc>
      </w:tr>
      <w:tr w:rsidR="008A009C" w:rsidRPr="001C7177" w14:paraId="7AA1676D" w14:textId="77777777" w:rsidTr="00D57A27">
        <w:tc>
          <w:tcPr>
            <w:tcW w:w="7083" w:type="dxa"/>
          </w:tcPr>
          <w:p w14:paraId="36C77B73" w14:textId="26EFECF0" w:rsidR="008A009C" w:rsidRPr="001C7177" w:rsidRDefault="00841106" w:rsidP="0034467F">
            <w:pPr>
              <w:spacing w:before="120" w:after="120"/>
            </w:pPr>
            <w:r w:rsidRPr="001C7177">
              <w:rPr>
                <w:i/>
                <w:iCs/>
              </w:rPr>
              <w:t>Friends of the Oldman River Society v Canada (Minister of Transport)</w:t>
            </w:r>
            <w:r w:rsidRPr="000922D3">
              <w:t>,</w:t>
            </w:r>
            <w:r w:rsidRPr="001C7177">
              <w:rPr>
                <w:i/>
                <w:iCs/>
              </w:rPr>
              <w:t xml:space="preserve"> </w:t>
            </w:r>
            <w:r w:rsidRPr="001C7177">
              <w:t>1992 CanLII 110 (SCC)</w:t>
            </w:r>
            <w:r w:rsidR="00FC5AA2" w:rsidRPr="001C7177">
              <w:t>.</w:t>
            </w:r>
          </w:p>
        </w:tc>
        <w:tc>
          <w:tcPr>
            <w:tcW w:w="2267" w:type="dxa"/>
          </w:tcPr>
          <w:p w14:paraId="1DD7CB5D" w14:textId="34E1FC64" w:rsidR="008A009C" w:rsidRPr="001E6D70" w:rsidRDefault="001E6D70" w:rsidP="001E6D70">
            <w:pPr>
              <w:rPr>
                <w:bCs/>
              </w:rPr>
            </w:pPr>
            <w:r>
              <w:rPr>
                <w:bCs/>
              </w:rPr>
              <w:t>3</w:t>
            </w:r>
            <w:r w:rsidR="00E34E86">
              <w:rPr>
                <w:bCs/>
              </w:rPr>
              <w:t>8</w:t>
            </w:r>
            <w:r>
              <w:rPr>
                <w:bCs/>
              </w:rPr>
              <w:t>, 4</w:t>
            </w:r>
            <w:r w:rsidR="00E34E86">
              <w:rPr>
                <w:bCs/>
              </w:rPr>
              <w:t>0</w:t>
            </w:r>
            <w:r>
              <w:rPr>
                <w:bCs/>
              </w:rPr>
              <w:t>.</w:t>
            </w:r>
          </w:p>
        </w:tc>
      </w:tr>
      <w:tr w:rsidR="008A009C" w:rsidRPr="001C7177" w14:paraId="54E5FCC5" w14:textId="77777777" w:rsidTr="00D57A27">
        <w:tc>
          <w:tcPr>
            <w:tcW w:w="7083" w:type="dxa"/>
          </w:tcPr>
          <w:p w14:paraId="1D09CD17" w14:textId="5D617FD6" w:rsidR="008A009C" w:rsidRPr="001C7177" w:rsidRDefault="00841106" w:rsidP="0034467F">
            <w:pPr>
              <w:spacing w:before="120" w:after="120"/>
            </w:pPr>
            <w:r w:rsidRPr="001C7177">
              <w:rPr>
                <w:i/>
                <w:iCs/>
              </w:rPr>
              <w:t>Greater Vancouver Transportation Authority v Canadian Federation of Students – British Columbia Component</w:t>
            </w:r>
            <w:r w:rsidRPr="000922D3">
              <w:t>,</w:t>
            </w:r>
            <w:r w:rsidRPr="001C7177">
              <w:rPr>
                <w:i/>
                <w:iCs/>
              </w:rPr>
              <w:t xml:space="preserve"> </w:t>
            </w:r>
            <w:r w:rsidRPr="001C7177">
              <w:t>2009 SCC 31</w:t>
            </w:r>
            <w:r w:rsidR="00FC5AA2" w:rsidRPr="001C7177">
              <w:t>.</w:t>
            </w:r>
          </w:p>
        </w:tc>
        <w:tc>
          <w:tcPr>
            <w:tcW w:w="2267" w:type="dxa"/>
          </w:tcPr>
          <w:p w14:paraId="1C0DB503" w14:textId="5425254A" w:rsidR="008A009C" w:rsidRPr="001E6D70" w:rsidRDefault="001E6D70" w:rsidP="001E6D70">
            <w:pPr>
              <w:rPr>
                <w:bCs/>
              </w:rPr>
            </w:pPr>
            <w:r>
              <w:rPr>
                <w:bCs/>
              </w:rPr>
              <w:t>3</w:t>
            </w:r>
            <w:r w:rsidR="000E4FAA">
              <w:rPr>
                <w:bCs/>
              </w:rPr>
              <w:t>7</w:t>
            </w:r>
            <w:r>
              <w:rPr>
                <w:bCs/>
              </w:rPr>
              <w:t>, 3</w:t>
            </w:r>
            <w:r w:rsidR="000E4FAA">
              <w:rPr>
                <w:bCs/>
              </w:rPr>
              <w:t>8</w:t>
            </w:r>
            <w:r>
              <w:rPr>
                <w:bCs/>
              </w:rPr>
              <w:t>.</w:t>
            </w:r>
          </w:p>
        </w:tc>
      </w:tr>
      <w:tr w:rsidR="008A009C" w:rsidRPr="001C7177" w14:paraId="6973B2D0" w14:textId="77777777" w:rsidTr="00D57A27">
        <w:tc>
          <w:tcPr>
            <w:tcW w:w="7083" w:type="dxa"/>
          </w:tcPr>
          <w:p w14:paraId="161EF2C0" w14:textId="00722DFB" w:rsidR="008A009C" w:rsidRPr="001C7177" w:rsidRDefault="00841106" w:rsidP="0034467F">
            <w:pPr>
              <w:spacing w:before="120" w:after="120"/>
            </w:pPr>
            <w:r w:rsidRPr="001C7177">
              <w:rPr>
                <w:i/>
                <w:iCs/>
              </w:rPr>
              <w:t>Groupe Maison Candiac Inc v Canada (Attorney General)</w:t>
            </w:r>
            <w:r w:rsidRPr="000922D3">
              <w:t>,</w:t>
            </w:r>
            <w:r w:rsidRPr="001C7177">
              <w:rPr>
                <w:i/>
                <w:iCs/>
              </w:rPr>
              <w:t xml:space="preserve"> </w:t>
            </w:r>
            <w:r w:rsidRPr="001C7177">
              <w:t>2023 FC 1720</w:t>
            </w:r>
            <w:r w:rsidR="00FC5AA2" w:rsidRPr="001C7177">
              <w:t>.</w:t>
            </w:r>
          </w:p>
        </w:tc>
        <w:tc>
          <w:tcPr>
            <w:tcW w:w="2267" w:type="dxa"/>
          </w:tcPr>
          <w:p w14:paraId="3C5379C8" w14:textId="1D1D6F09" w:rsidR="008A009C" w:rsidRPr="001E6D70" w:rsidRDefault="001E6D70" w:rsidP="001E6D70">
            <w:pPr>
              <w:rPr>
                <w:bCs/>
              </w:rPr>
            </w:pPr>
            <w:r>
              <w:rPr>
                <w:bCs/>
              </w:rPr>
              <w:t>6</w:t>
            </w:r>
            <w:r w:rsidR="000E4FAA">
              <w:rPr>
                <w:bCs/>
              </w:rPr>
              <w:t>3</w:t>
            </w:r>
            <w:r>
              <w:rPr>
                <w:bCs/>
              </w:rPr>
              <w:t>.</w:t>
            </w:r>
          </w:p>
        </w:tc>
      </w:tr>
      <w:tr w:rsidR="008A009C" w:rsidRPr="001C7177" w14:paraId="2CB1E11E" w14:textId="77777777" w:rsidTr="00D57A27">
        <w:tc>
          <w:tcPr>
            <w:tcW w:w="7083" w:type="dxa"/>
          </w:tcPr>
          <w:p w14:paraId="169FC881" w14:textId="375AA59D" w:rsidR="008A009C" w:rsidRPr="001C7177" w:rsidRDefault="00841106" w:rsidP="0034467F">
            <w:pPr>
              <w:spacing w:before="120" w:after="120"/>
            </w:pPr>
            <w:r w:rsidRPr="001C7177">
              <w:rPr>
                <w:i/>
                <w:iCs/>
              </w:rPr>
              <w:t>Housen v Nikolaisen</w:t>
            </w:r>
            <w:r w:rsidRPr="001C7177">
              <w:t>, 2002 SCC 33</w:t>
            </w:r>
            <w:r w:rsidR="00FC5AA2" w:rsidRPr="001C7177">
              <w:t>.</w:t>
            </w:r>
            <w:r w:rsidRPr="001C7177">
              <w:t xml:space="preserve"> </w:t>
            </w:r>
          </w:p>
        </w:tc>
        <w:tc>
          <w:tcPr>
            <w:tcW w:w="2267" w:type="dxa"/>
          </w:tcPr>
          <w:p w14:paraId="0ADBC8C5" w14:textId="536B42F0" w:rsidR="008A009C" w:rsidRPr="001E6D70" w:rsidRDefault="00120A36" w:rsidP="001E6D70">
            <w:pPr>
              <w:rPr>
                <w:bCs/>
              </w:rPr>
            </w:pPr>
            <w:r>
              <w:rPr>
                <w:bCs/>
              </w:rPr>
              <w:t xml:space="preserve">16, </w:t>
            </w:r>
            <w:r w:rsidR="001E6D70">
              <w:rPr>
                <w:bCs/>
              </w:rPr>
              <w:t>17, 4</w:t>
            </w:r>
            <w:r w:rsidR="000E4FAA">
              <w:rPr>
                <w:bCs/>
              </w:rPr>
              <w:t>2</w:t>
            </w:r>
            <w:r w:rsidR="001E6D70" w:rsidRPr="001E6D70">
              <w:rPr>
                <w:bCs/>
              </w:rPr>
              <w:t>–</w:t>
            </w:r>
            <w:r w:rsidR="001E6D70">
              <w:rPr>
                <w:bCs/>
              </w:rPr>
              <w:t>4</w:t>
            </w:r>
            <w:r w:rsidR="000E4FAA">
              <w:rPr>
                <w:bCs/>
              </w:rPr>
              <w:t>2</w:t>
            </w:r>
            <w:r w:rsidR="001E6D70">
              <w:rPr>
                <w:bCs/>
              </w:rPr>
              <w:t>.</w:t>
            </w:r>
          </w:p>
        </w:tc>
      </w:tr>
      <w:tr w:rsidR="00841106" w:rsidRPr="001C7177" w14:paraId="619DEBD1" w14:textId="77777777" w:rsidTr="00D57A27">
        <w:tc>
          <w:tcPr>
            <w:tcW w:w="7083" w:type="dxa"/>
          </w:tcPr>
          <w:p w14:paraId="6D02C4D0" w14:textId="2B90510D" w:rsidR="00841106" w:rsidRPr="001C7177" w:rsidRDefault="00841106" w:rsidP="0034467F">
            <w:pPr>
              <w:pStyle w:val="WSParaNum"/>
              <w:numPr>
                <w:ilvl w:val="0"/>
                <w:numId w:val="0"/>
              </w:numPr>
              <w:spacing w:line="240" w:lineRule="auto"/>
            </w:pPr>
            <w:r w:rsidRPr="001C7177">
              <w:rPr>
                <w:i/>
                <w:iCs/>
              </w:rPr>
              <w:t>Lévis (City) v Tétreault; Lévis (City) v 2629-4470 Québec inc.</w:t>
            </w:r>
            <w:r w:rsidRPr="000922D3">
              <w:t>,</w:t>
            </w:r>
            <w:r w:rsidRPr="001C7177">
              <w:t xml:space="preserve"> 2006 SCC 12</w:t>
            </w:r>
            <w:r w:rsidR="00FC5AA2" w:rsidRPr="001C7177">
              <w:t>.</w:t>
            </w:r>
          </w:p>
        </w:tc>
        <w:tc>
          <w:tcPr>
            <w:tcW w:w="2267" w:type="dxa"/>
          </w:tcPr>
          <w:p w14:paraId="1E453F66" w14:textId="49DE5500" w:rsidR="00841106" w:rsidRPr="001E6D70" w:rsidRDefault="001E6D70" w:rsidP="001E6D70">
            <w:pPr>
              <w:rPr>
                <w:bCs/>
              </w:rPr>
            </w:pPr>
            <w:r>
              <w:rPr>
                <w:bCs/>
              </w:rPr>
              <w:t>7</w:t>
            </w:r>
            <w:r w:rsidR="000E4FAA">
              <w:rPr>
                <w:bCs/>
              </w:rPr>
              <w:t>3</w:t>
            </w:r>
            <w:r>
              <w:rPr>
                <w:bCs/>
              </w:rPr>
              <w:t xml:space="preserve">, </w:t>
            </w:r>
            <w:r w:rsidR="000E4FAA">
              <w:rPr>
                <w:bCs/>
              </w:rPr>
              <w:t>79</w:t>
            </w:r>
            <w:r>
              <w:rPr>
                <w:bCs/>
              </w:rPr>
              <w:t>.</w:t>
            </w:r>
          </w:p>
        </w:tc>
      </w:tr>
      <w:tr w:rsidR="00D57A27" w:rsidRPr="001C7177" w14:paraId="3A4887BA" w14:textId="77777777" w:rsidTr="00D57A27">
        <w:tc>
          <w:tcPr>
            <w:tcW w:w="7083" w:type="dxa"/>
          </w:tcPr>
          <w:p w14:paraId="57B5F954" w14:textId="195AA1F9" w:rsidR="00D57A27" w:rsidRPr="001C7177" w:rsidRDefault="00D57A27" w:rsidP="0034467F">
            <w:pPr>
              <w:pStyle w:val="WSParaNum"/>
              <w:numPr>
                <w:ilvl w:val="0"/>
                <w:numId w:val="0"/>
              </w:numPr>
              <w:spacing w:line="240" w:lineRule="auto"/>
              <w:rPr>
                <w:i/>
                <w:iCs/>
              </w:rPr>
            </w:pPr>
            <w:r w:rsidRPr="00D57A27">
              <w:rPr>
                <w:i/>
                <w:iCs/>
              </w:rPr>
              <w:t>Nanaimo (City of) v Rascal Trucking Ltd.</w:t>
            </w:r>
            <w:r w:rsidRPr="000922D3">
              <w:t>,</w:t>
            </w:r>
            <w:r w:rsidRPr="00D57A27">
              <w:rPr>
                <w:i/>
                <w:iCs/>
              </w:rPr>
              <w:t xml:space="preserve"> </w:t>
            </w:r>
            <w:r w:rsidRPr="00D57A27">
              <w:t>1998 CanLII 6119 (BC CA)</w:t>
            </w:r>
            <w:r>
              <w:t>.</w:t>
            </w:r>
          </w:p>
        </w:tc>
        <w:tc>
          <w:tcPr>
            <w:tcW w:w="2267" w:type="dxa"/>
          </w:tcPr>
          <w:p w14:paraId="7B2AF6BC" w14:textId="6867E45E" w:rsidR="00D57A27" w:rsidRDefault="00D57A27" w:rsidP="001E6D70">
            <w:pPr>
              <w:rPr>
                <w:bCs/>
              </w:rPr>
            </w:pPr>
            <w:r>
              <w:rPr>
                <w:bCs/>
              </w:rPr>
              <w:t>5</w:t>
            </w:r>
            <w:r w:rsidR="000E4FAA">
              <w:rPr>
                <w:bCs/>
              </w:rPr>
              <w:t>8</w:t>
            </w:r>
            <w:r>
              <w:rPr>
                <w:bCs/>
              </w:rPr>
              <w:t xml:space="preserve">. </w:t>
            </w:r>
          </w:p>
        </w:tc>
      </w:tr>
      <w:tr w:rsidR="00841106" w:rsidRPr="001C7177" w14:paraId="69367453" w14:textId="77777777" w:rsidTr="00D57A27">
        <w:tc>
          <w:tcPr>
            <w:tcW w:w="7083" w:type="dxa"/>
          </w:tcPr>
          <w:p w14:paraId="2A6D7134" w14:textId="5168752A" w:rsidR="00841106" w:rsidRPr="001C7177" w:rsidRDefault="00841106" w:rsidP="0034467F">
            <w:pPr>
              <w:spacing w:before="120" w:after="120"/>
            </w:pPr>
            <w:r w:rsidRPr="001C7177">
              <w:rPr>
                <w:i/>
                <w:iCs/>
              </w:rPr>
              <w:lastRenderedPageBreak/>
              <w:t>Ontario (Attorney General) v. 855 Darby Road, Welland (In Rem)</w:t>
            </w:r>
            <w:r w:rsidRPr="001C7177">
              <w:t>, 2019 ONCA 31</w:t>
            </w:r>
            <w:r w:rsidR="00FC5AA2" w:rsidRPr="001C7177">
              <w:t>.</w:t>
            </w:r>
          </w:p>
        </w:tc>
        <w:tc>
          <w:tcPr>
            <w:tcW w:w="2267" w:type="dxa"/>
          </w:tcPr>
          <w:p w14:paraId="439C9615" w14:textId="57BE6008" w:rsidR="00841106" w:rsidRPr="001E6D70" w:rsidRDefault="000E4FAA" w:rsidP="001E6D70">
            <w:pPr>
              <w:rPr>
                <w:bCs/>
              </w:rPr>
            </w:pPr>
            <w:r>
              <w:rPr>
                <w:bCs/>
              </w:rPr>
              <w:t>39</w:t>
            </w:r>
            <w:r w:rsidR="001E6D70">
              <w:rPr>
                <w:bCs/>
              </w:rPr>
              <w:t>, 3</w:t>
            </w:r>
            <w:r>
              <w:rPr>
                <w:bCs/>
              </w:rPr>
              <w:t>0</w:t>
            </w:r>
            <w:r w:rsidR="001E6D70">
              <w:rPr>
                <w:bCs/>
              </w:rPr>
              <w:t xml:space="preserve">. </w:t>
            </w:r>
          </w:p>
        </w:tc>
      </w:tr>
      <w:tr w:rsidR="00841106" w:rsidRPr="001C7177" w14:paraId="5F8E1611" w14:textId="77777777" w:rsidTr="00D57A27">
        <w:tc>
          <w:tcPr>
            <w:tcW w:w="7083" w:type="dxa"/>
          </w:tcPr>
          <w:p w14:paraId="74A562A5" w14:textId="1DCAF48A" w:rsidR="00841106" w:rsidRPr="001C7177" w:rsidRDefault="00841106" w:rsidP="0034467F">
            <w:pPr>
              <w:spacing w:before="120" w:after="120"/>
            </w:pPr>
            <w:r w:rsidRPr="001C7177">
              <w:rPr>
                <w:i/>
                <w:iCs/>
              </w:rPr>
              <w:t>Quebec (Attorney General) v 9147-0732 Quebec inc</w:t>
            </w:r>
            <w:r w:rsidRPr="001C7177">
              <w:t>., 2020 SCC 32</w:t>
            </w:r>
            <w:r w:rsidR="00FC5AA2" w:rsidRPr="001C7177">
              <w:t>.</w:t>
            </w:r>
          </w:p>
        </w:tc>
        <w:tc>
          <w:tcPr>
            <w:tcW w:w="2267" w:type="dxa"/>
          </w:tcPr>
          <w:p w14:paraId="07C65A97" w14:textId="15940EC1" w:rsidR="00841106" w:rsidRPr="001E6D70" w:rsidRDefault="001E6D70" w:rsidP="001E6D70">
            <w:pPr>
              <w:rPr>
                <w:bCs/>
              </w:rPr>
            </w:pPr>
            <w:r>
              <w:rPr>
                <w:bCs/>
              </w:rPr>
              <w:t>3</w:t>
            </w:r>
            <w:r w:rsidR="000E4FAA">
              <w:rPr>
                <w:bCs/>
              </w:rPr>
              <w:t>8</w:t>
            </w:r>
            <w:r>
              <w:rPr>
                <w:bCs/>
              </w:rPr>
              <w:t>, 4</w:t>
            </w:r>
            <w:r w:rsidR="000E4FAA">
              <w:rPr>
                <w:bCs/>
              </w:rPr>
              <w:t>6</w:t>
            </w:r>
            <w:r>
              <w:rPr>
                <w:bCs/>
              </w:rPr>
              <w:t>, 4</w:t>
            </w:r>
            <w:r w:rsidR="000E4FAA">
              <w:rPr>
                <w:bCs/>
              </w:rPr>
              <w:t>8</w:t>
            </w:r>
            <w:r>
              <w:rPr>
                <w:bCs/>
              </w:rPr>
              <w:t>.</w:t>
            </w:r>
          </w:p>
        </w:tc>
      </w:tr>
      <w:tr w:rsidR="00841106" w:rsidRPr="001C7177" w14:paraId="118E8DD8" w14:textId="77777777" w:rsidTr="00D57A27">
        <w:tc>
          <w:tcPr>
            <w:tcW w:w="7083" w:type="dxa"/>
          </w:tcPr>
          <w:p w14:paraId="68F16164" w14:textId="0E1418DE" w:rsidR="00841106" w:rsidRPr="001C7177" w:rsidRDefault="00841106" w:rsidP="0034467F">
            <w:pPr>
              <w:spacing w:before="120" w:after="120"/>
            </w:pPr>
            <w:r w:rsidRPr="001C7177">
              <w:rPr>
                <w:i/>
                <w:iCs/>
              </w:rPr>
              <w:t>Rizzo &amp; Rizzo Shoes Ltd. (Re)</w:t>
            </w:r>
            <w:r w:rsidRPr="000922D3">
              <w:t>,</w:t>
            </w:r>
            <w:r w:rsidRPr="001C7177">
              <w:rPr>
                <w:i/>
                <w:iCs/>
              </w:rPr>
              <w:t xml:space="preserve"> </w:t>
            </w:r>
            <w:r w:rsidRPr="001C7177">
              <w:t>1998 CanLII 837 (SCC)</w:t>
            </w:r>
            <w:r w:rsidR="00FC5AA2" w:rsidRPr="001C7177">
              <w:t>.</w:t>
            </w:r>
          </w:p>
        </w:tc>
        <w:tc>
          <w:tcPr>
            <w:tcW w:w="2267" w:type="dxa"/>
          </w:tcPr>
          <w:p w14:paraId="0F3223A8" w14:textId="5BB88DC3" w:rsidR="00841106" w:rsidRPr="001E6D70" w:rsidRDefault="001E6D70" w:rsidP="001E6D70">
            <w:pPr>
              <w:rPr>
                <w:bCs/>
              </w:rPr>
            </w:pPr>
            <w:r>
              <w:rPr>
                <w:bCs/>
              </w:rPr>
              <w:t>5</w:t>
            </w:r>
            <w:r w:rsidR="000E4FAA">
              <w:rPr>
                <w:bCs/>
              </w:rPr>
              <w:t>7</w:t>
            </w:r>
            <w:r>
              <w:rPr>
                <w:bCs/>
              </w:rPr>
              <w:t>.</w:t>
            </w:r>
          </w:p>
        </w:tc>
      </w:tr>
      <w:tr w:rsidR="00841106" w:rsidRPr="001C7177" w14:paraId="17EA09CC" w14:textId="77777777" w:rsidTr="00D57A27">
        <w:tc>
          <w:tcPr>
            <w:tcW w:w="7083" w:type="dxa"/>
          </w:tcPr>
          <w:p w14:paraId="51F4FCB3" w14:textId="1165DF00" w:rsidR="00841106" w:rsidRPr="001C7177" w:rsidRDefault="00841106" w:rsidP="0034467F">
            <w:pPr>
              <w:spacing w:before="120" w:after="120"/>
              <w:rPr>
                <w:i/>
                <w:iCs/>
              </w:rPr>
            </w:pPr>
            <w:r w:rsidRPr="001C7177">
              <w:rPr>
                <w:i/>
                <w:iCs/>
              </w:rPr>
              <w:t>R v Abbey</w:t>
            </w:r>
            <w:r w:rsidRPr="001C7177">
              <w:t>, 1982 CanLII 25 (SCC)</w:t>
            </w:r>
            <w:r w:rsidR="00FC5AA2" w:rsidRPr="001C7177">
              <w:t>.</w:t>
            </w:r>
          </w:p>
        </w:tc>
        <w:tc>
          <w:tcPr>
            <w:tcW w:w="2267" w:type="dxa"/>
          </w:tcPr>
          <w:p w14:paraId="3E8F3B7D" w14:textId="2533467B" w:rsidR="00841106" w:rsidRPr="001E6D70" w:rsidRDefault="000E4FAA" w:rsidP="001E6D70">
            <w:pPr>
              <w:rPr>
                <w:bCs/>
              </w:rPr>
            </w:pPr>
            <w:r>
              <w:rPr>
                <w:bCs/>
              </w:rPr>
              <w:t>29</w:t>
            </w:r>
            <w:r w:rsidR="001E6D70">
              <w:rPr>
                <w:bCs/>
              </w:rPr>
              <w:t>.</w:t>
            </w:r>
          </w:p>
        </w:tc>
      </w:tr>
      <w:tr w:rsidR="00841106" w:rsidRPr="001C7177" w14:paraId="15E07FDC" w14:textId="77777777" w:rsidTr="00D57A27">
        <w:tc>
          <w:tcPr>
            <w:tcW w:w="7083" w:type="dxa"/>
          </w:tcPr>
          <w:p w14:paraId="0886935B" w14:textId="347BEDFD" w:rsidR="00841106" w:rsidRPr="001C7177" w:rsidRDefault="00841106" w:rsidP="0034467F">
            <w:pPr>
              <w:spacing w:before="120" w:after="120"/>
            </w:pPr>
            <w:r w:rsidRPr="001C7177">
              <w:rPr>
                <w:i/>
                <w:iCs/>
              </w:rPr>
              <w:t xml:space="preserve">R v Consolidated Homes </w:t>
            </w:r>
            <w:r w:rsidRPr="001C7177">
              <w:t>(12 October 2022), North Bay (ONCJ)</w:t>
            </w:r>
            <w:r w:rsidR="00FC5AA2" w:rsidRPr="001C7177">
              <w:t>.</w:t>
            </w:r>
          </w:p>
        </w:tc>
        <w:tc>
          <w:tcPr>
            <w:tcW w:w="2267" w:type="dxa"/>
          </w:tcPr>
          <w:p w14:paraId="2DCFBF09" w14:textId="7CEAF6AF" w:rsidR="00841106" w:rsidRPr="001E6D70" w:rsidRDefault="001E6D70" w:rsidP="001E6D70">
            <w:pPr>
              <w:rPr>
                <w:bCs/>
              </w:rPr>
            </w:pPr>
            <w:r>
              <w:rPr>
                <w:bCs/>
              </w:rPr>
              <w:t>4</w:t>
            </w:r>
            <w:r w:rsidR="000E4FAA">
              <w:rPr>
                <w:bCs/>
              </w:rPr>
              <w:t>7</w:t>
            </w:r>
            <w:r>
              <w:rPr>
                <w:bCs/>
              </w:rPr>
              <w:t>, 5</w:t>
            </w:r>
            <w:r w:rsidR="000E4FAA">
              <w:rPr>
                <w:bCs/>
              </w:rPr>
              <w:t>1</w:t>
            </w:r>
            <w:r>
              <w:rPr>
                <w:bCs/>
              </w:rPr>
              <w:t xml:space="preserve">, </w:t>
            </w:r>
            <w:r w:rsidR="000E4FAA">
              <w:rPr>
                <w:bCs/>
              </w:rPr>
              <w:t>69</w:t>
            </w:r>
            <w:r>
              <w:rPr>
                <w:bCs/>
              </w:rPr>
              <w:t>, 7</w:t>
            </w:r>
            <w:r w:rsidR="000E4FAA">
              <w:rPr>
                <w:bCs/>
              </w:rPr>
              <w:t>4</w:t>
            </w:r>
            <w:r>
              <w:rPr>
                <w:bCs/>
              </w:rPr>
              <w:t>.</w:t>
            </w:r>
          </w:p>
        </w:tc>
      </w:tr>
      <w:tr w:rsidR="00841106" w:rsidRPr="001C7177" w14:paraId="6E60FDEC" w14:textId="77777777" w:rsidTr="00D57A27">
        <w:tc>
          <w:tcPr>
            <w:tcW w:w="7083" w:type="dxa"/>
          </w:tcPr>
          <w:p w14:paraId="6095C840" w14:textId="5ADEE820" w:rsidR="00841106" w:rsidRPr="001C7177" w:rsidRDefault="00841106" w:rsidP="0034467F">
            <w:pPr>
              <w:spacing w:before="120" w:after="120"/>
            </w:pPr>
            <w:r w:rsidRPr="001C7177">
              <w:rPr>
                <w:i/>
                <w:iCs/>
              </w:rPr>
              <w:t>R v Consolidated Homes Ltd.</w:t>
            </w:r>
            <w:r w:rsidRPr="001C7177">
              <w:t xml:space="preserve"> (20 August 2024), North Bay 2560-999-19-0038 (ONCJ)</w:t>
            </w:r>
            <w:r w:rsidR="00FC5AA2" w:rsidRPr="001C7177">
              <w:t>.</w:t>
            </w:r>
          </w:p>
        </w:tc>
        <w:tc>
          <w:tcPr>
            <w:tcW w:w="2267" w:type="dxa"/>
          </w:tcPr>
          <w:p w14:paraId="6D303B54" w14:textId="59A64450" w:rsidR="00841106" w:rsidRPr="001E6D70" w:rsidRDefault="001E6D70" w:rsidP="001E6D70">
            <w:pPr>
              <w:rPr>
                <w:bCs/>
              </w:rPr>
            </w:pPr>
            <w:r>
              <w:rPr>
                <w:bCs/>
              </w:rPr>
              <w:t>2</w:t>
            </w:r>
            <w:r w:rsidR="000E4FAA">
              <w:rPr>
                <w:bCs/>
              </w:rPr>
              <w:t>2</w:t>
            </w:r>
            <w:r>
              <w:rPr>
                <w:bCs/>
              </w:rPr>
              <w:t>, 2</w:t>
            </w:r>
            <w:r w:rsidR="000E4FAA">
              <w:rPr>
                <w:bCs/>
              </w:rPr>
              <w:t>3</w:t>
            </w:r>
            <w:r>
              <w:rPr>
                <w:bCs/>
              </w:rPr>
              <w:t>, 2</w:t>
            </w:r>
            <w:r w:rsidR="000E4FAA">
              <w:rPr>
                <w:bCs/>
              </w:rPr>
              <w:t>6</w:t>
            </w:r>
            <w:r>
              <w:rPr>
                <w:bCs/>
              </w:rPr>
              <w:t>, 3</w:t>
            </w:r>
            <w:r w:rsidR="000E4FAA">
              <w:rPr>
                <w:bCs/>
              </w:rPr>
              <w:t>3</w:t>
            </w:r>
            <w:r>
              <w:rPr>
                <w:bCs/>
              </w:rPr>
              <w:t>,</w:t>
            </w:r>
            <w:r w:rsidR="000E4FAA">
              <w:rPr>
                <w:bCs/>
              </w:rPr>
              <w:t xml:space="preserve"> 39</w:t>
            </w:r>
            <w:r>
              <w:rPr>
                <w:bCs/>
              </w:rPr>
              <w:t>,</w:t>
            </w:r>
            <w:r w:rsidR="000E4FAA">
              <w:rPr>
                <w:bCs/>
              </w:rPr>
              <w:t xml:space="preserve"> 40,</w:t>
            </w:r>
            <w:r>
              <w:rPr>
                <w:bCs/>
              </w:rPr>
              <w:t xml:space="preserve"> 4</w:t>
            </w:r>
            <w:r w:rsidR="000E4FAA">
              <w:rPr>
                <w:bCs/>
              </w:rPr>
              <w:t>5</w:t>
            </w:r>
            <w:r>
              <w:rPr>
                <w:bCs/>
              </w:rPr>
              <w:t>, 4</w:t>
            </w:r>
            <w:r w:rsidR="000E4FAA">
              <w:rPr>
                <w:bCs/>
              </w:rPr>
              <w:t>7</w:t>
            </w:r>
            <w:r>
              <w:rPr>
                <w:bCs/>
              </w:rPr>
              <w:t>, 55, 6</w:t>
            </w:r>
            <w:r w:rsidR="000E4FAA">
              <w:rPr>
                <w:bCs/>
              </w:rPr>
              <w:t>7</w:t>
            </w:r>
            <w:r w:rsidRPr="001E6D70">
              <w:rPr>
                <w:bCs/>
              </w:rPr>
              <w:t>–</w:t>
            </w:r>
            <w:r>
              <w:rPr>
                <w:bCs/>
              </w:rPr>
              <w:t>7</w:t>
            </w:r>
            <w:r w:rsidR="000E4FAA">
              <w:rPr>
                <w:bCs/>
              </w:rPr>
              <w:t>0</w:t>
            </w:r>
            <w:r>
              <w:rPr>
                <w:bCs/>
              </w:rPr>
              <w:t>, 7</w:t>
            </w:r>
            <w:r w:rsidR="000E4FAA">
              <w:rPr>
                <w:bCs/>
              </w:rPr>
              <w:t>4</w:t>
            </w:r>
            <w:r>
              <w:rPr>
                <w:bCs/>
              </w:rPr>
              <w:t>, 7</w:t>
            </w:r>
            <w:r w:rsidR="000E4FAA">
              <w:rPr>
                <w:bCs/>
              </w:rPr>
              <w:t>6</w:t>
            </w:r>
            <w:r w:rsidRPr="001E6D70">
              <w:rPr>
                <w:bCs/>
              </w:rPr>
              <w:t>–</w:t>
            </w:r>
            <w:r w:rsidR="000E4FAA">
              <w:rPr>
                <w:bCs/>
              </w:rPr>
              <w:t>79</w:t>
            </w:r>
            <w:r>
              <w:rPr>
                <w:bCs/>
              </w:rPr>
              <w:t>.</w:t>
            </w:r>
          </w:p>
        </w:tc>
      </w:tr>
      <w:tr w:rsidR="00841106" w:rsidRPr="001C7177" w14:paraId="387ACCDE" w14:textId="77777777" w:rsidTr="00D57A27">
        <w:tc>
          <w:tcPr>
            <w:tcW w:w="7083" w:type="dxa"/>
          </w:tcPr>
          <w:p w14:paraId="19FA430B" w14:textId="1286DD27" w:rsidR="00841106" w:rsidRPr="001C7177" w:rsidRDefault="00841106" w:rsidP="0034467F">
            <w:pPr>
              <w:spacing w:before="120" w:after="120"/>
            </w:pPr>
            <w:r w:rsidRPr="001C7177">
              <w:rPr>
                <w:i/>
                <w:iCs/>
              </w:rPr>
              <w:t>R v Consolidated Homes Ltd.</w:t>
            </w:r>
            <w:r w:rsidRPr="001C7177">
              <w:t>, 2025 ONCA 41</w:t>
            </w:r>
            <w:r w:rsidR="00FC5AA2" w:rsidRPr="001C7177">
              <w:t>.</w:t>
            </w:r>
          </w:p>
        </w:tc>
        <w:tc>
          <w:tcPr>
            <w:tcW w:w="2267" w:type="dxa"/>
          </w:tcPr>
          <w:p w14:paraId="30EABDA9" w14:textId="1CCED595" w:rsidR="00841106" w:rsidRPr="001E6D70" w:rsidRDefault="001E6D70" w:rsidP="001E6D70">
            <w:pPr>
              <w:rPr>
                <w:bCs/>
              </w:rPr>
            </w:pPr>
            <w:r>
              <w:rPr>
                <w:bCs/>
              </w:rPr>
              <w:t>3</w:t>
            </w:r>
            <w:r w:rsidR="000E4FAA">
              <w:rPr>
                <w:bCs/>
              </w:rPr>
              <w:t>1</w:t>
            </w:r>
            <w:r>
              <w:rPr>
                <w:bCs/>
              </w:rPr>
              <w:t>, 3</w:t>
            </w:r>
            <w:r w:rsidR="000E4FAA">
              <w:rPr>
                <w:bCs/>
              </w:rPr>
              <w:t>3</w:t>
            </w:r>
            <w:r>
              <w:rPr>
                <w:bCs/>
              </w:rPr>
              <w:t>, 3</w:t>
            </w:r>
            <w:r w:rsidR="000E4FAA">
              <w:rPr>
                <w:bCs/>
              </w:rPr>
              <w:t>4</w:t>
            </w:r>
            <w:r>
              <w:rPr>
                <w:bCs/>
              </w:rPr>
              <w:t>, 5</w:t>
            </w:r>
            <w:r w:rsidR="000E4FAA">
              <w:rPr>
                <w:bCs/>
              </w:rPr>
              <w:t>1</w:t>
            </w:r>
            <w:r>
              <w:rPr>
                <w:bCs/>
              </w:rPr>
              <w:t>, 7</w:t>
            </w:r>
            <w:r w:rsidR="000E4FAA">
              <w:rPr>
                <w:bCs/>
              </w:rPr>
              <w:t>0</w:t>
            </w:r>
            <w:r>
              <w:rPr>
                <w:bCs/>
              </w:rPr>
              <w:t>.</w:t>
            </w:r>
          </w:p>
        </w:tc>
      </w:tr>
      <w:tr w:rsidR="00841106" w:rsidRPr="001C7177" w14:paraId="2F23216D" w14:textId="77777777" w:rsidTr="00D57A27">
        <w:tc>
          <w:tcPr>
            <w:tcW w:w="7083" w:type="dxa"/>
          </w:tcPr>
          <w:p w14:paraId="5A123DA2" w14:textId="6183A612" w:rsidR="00841106" w:rsidRPr="001C7177" w:rsidRDefault="00841106" w:rsidP="0034467F">
            <w:pPr>
              <w:spacing w:before="120" w:after="120"/>
            </w:pPr>
            <w:r w:rsidRPr="001C7177">
              <w:rPr>
                <w:i/>
                <w:iCs/>
              </w:rPr>
              <w:t>R v Douglas et al</w:t>
            </w:r>
            <w:r w:rsidRPr="001C7177">
              <w:t>, 2004 BCPC 279</w:t>
            </w:r>
            <w:r w:rsidR="00FC5AA2" w:rsidRPr="001C7177">
              <w:t>.</w:t>
            </w:r>
          </w:p>
        </w:tc>
        <w:tc>
          <w:tcPr>
            <w:tcW w:w="2267" w:type="dxa"/>
          </w:tcPr>
          <w:p w14:paraId="08D359A7" w14:textId="5657611E" w:rsidR="00841106" w:rsidRPr="001E6D70" w:rsidRDefault="00D57A27" w:rsidP="001E6D70">
            <w:pPr>
              <w:rPr>
                <w:bCs/>
              </w:rPr>
            </w:pPr>
            <w:r>
              <w:rPr>
                <w:bCs/>
              </w:rPr>
              <w:t>3</w:t>
            </w:r>
            <w:r w:rsidR="000E4FAA">
              <w:rPr>
                <w:bCs/>
              </w:rPr>
              <w:t>2</w:t>
            </w:r>
            <w:r>
              <w:rPr>
                <w:bCs/>
              </w:rPr>
              <w:t>, 3</w:t>
            </w:r>
            <w:r w:rsidR="000E4FAA">
              <w:rPr>
                <w:bCs/>
              </w:rPr>
              <w:t>3</w:t>
            </w:r>
            <w:r>
              <w:rPr>
                <w:bCs/>
              </w:rPr>
              <w:t>.</w:t>
            </w:r>
          </w:p>
        </w:tc>
      </w:tr>
      <w:tr w:rsidR="00841106" w:rsidRPr="001C7177" w14:paraId="44037B89" w14:textId="77777777" w:rsidTr="00D57A27">
        <w:tc>
          <w:tcPr>
            <w:tcW w:w="7083" w:type="dxa"/>
          </w:tcPr>
          <w:p w14:paraId="1AB1466A" w14:textId="2CC6CBC2" w:rsidR="00841106" w:rsidRPr="001C7177" w:rsidRDefault="00841106" w:rsidP="0034467F">
            <w:pPr>
              <w:pStyle w:val="WSParaNum"/>
              <w:numPr>
                <w:ilvl w:val="0"/>
                <w:numId w:val="0"/>
              </w:numPr>
              <w:spacing w:line="240" w:lineRule="auto"/>
            </w:pPr>
            <w:r w:rsidRPr="001C7177">
              <w:rPr>
                <w:i/>
                <w:iCs/>
              </w:rPr>
              <w:t>R v Gonder</w:t>
            </w:r>
            <w:r w:rsidRPr="000922D3">
              <w:t>,</w:t>
            </w:r>
            <w:r w:rsidRPr="001C7177">
              <w:rPr>
                <w:i/>
                <w:iCs/>
              </w:rPr>
              <w:t xml:space="preserve"> </w:t>
            </w:r>
            <w:r w:rsidRPr="001C7177">
              <w:t>1981 CanLII 3207 (YK TC)</w:t>
            </w:r>
            <w:r w:rsidR="00FC5AA2" w:rsidRPr="001C7177">
              <w:t>.</w:t>
            </w:r>
          </w:p>
        </w:tc>
        <w:tc>
          <w:tcPr>
            <w:tcW w:w="2267" w:type="dxa"/>
          </w:tcPr>
          <w:p w14:paraId="1DE70DA7" w14:textId="2E73B435" w:rsidR="00841106" w:rsidRPr="001E6D70" w:rsidRDefault="00D57A27" w:rsidP="001E6D70">
            <w:pPr>
              <w:rPr>
                <w:bCs/>
              </w:rPr>
            </w:pPr>
            <w:r>
              <w:rPr>
                <w:bCs/>
              </w:rPr>
              <w:t>7</w:t>
            </w:r>
            <w:r w:rsidR="000E4FAA">
              <w:rPr>
                <w:bCs/>
              </w:rPr>
              <w:t>5</w:t>
            </w:r>
            <w:r>
              <w:rPr>
                <w:bCs/>
              </w:rPr>
              <w:t>.</w:t>
            </w:r>
          </w:p>
        </w:tc>
      </w:tr>
      <w:tr w:rsidR="00841106" w:rsidRPr="001C7177" w14:paraId="71157A08" w14:textId="77777777" w:rsidTr="00D57A27">
        <w:tc>
          <w:tcPr>
            <w:tcW w:w="7083" w:type="dxa"/>
          </w:tcPr>
          <w:p w14:paraId="54A715A1" w14:textId="28BB1950" w:rsidR="00841106" w:rsidRPr="001C7177" w:rsidRDefault="00841106" w:rsidP="0034467F">
            <w:pPr>
              <w:pStyle w:val="WSParaNum"/>
              <w:numPr>
                <w:ilvl w:val="0"/>
                <w:numId w:val="0"/>
              </w:numPr>
              <w:spacing w:line="240" w:lineRule="auto"/>
            </w:pPr>
            <w:r w:rsidRPr="001C7177">
              <w:rPr>
                <w:i/>
                <w:iCs/>
              </w:rPr>
              <w:t>R v Greater Sudbury (City)</w:t>
            </w:r>
            <w:r w:rsidRPr="000922D3">
              <w:t>,</w:t>
            </w:r>
            <w:r w:rsidRPr="001C7177">
              <w:rPr>
                <w:i/>
                <w:iCs/>
              </w:rPr>
              <w:t xml:space="preserve"> </w:t>
            </w:r>
            <w:r w:rsidRPr="001C7177">
              <w:t>2023 SCC 28</w:t>
            </w:r>
            <w:r w:rsidR="00FC5AA2" w:rsidRPr="001C7177">
              <w:t>.</w:t>
            </w:r>
          </w:p>
        </w:tc>
        <w:tc>
          <w:tcPr>
            <w:tcW w:w="2267" w:type="dxa"/>
          </w:tcPr>
          <w:p w14:paraId="28F599AE" w14:textId="34B6A8D8" w:rsidR="00841106" w:rsidRPr="001E6D70" w:rsidRDefault="00D57A27" w:rsidP="001E6D70">
            <w:pPr>
              <w:rPr>
                <w:bCs/>
              </w:rPr>
            </w:pPr>
            <w:r>
              <w:rPr>
                <w:bCs/>
              </w:rPr>
              <w:t>7</w:t>
            </w:r>
            <w:r w:rsidR="000E4FAA">
              <w:rPr>
                <w:bCs/>
              </w:rPr>
              <w:t>5</w:t>
            </w:r>
            <w:r>
              <w:rPr>
                <w:bCs/>
              </w:rPr>
              <w:t>.</w:t>
            </w:r>
          </w:p>
        </w:tc>
      </w:tr>
      <w:tr w:rsidR="00841106" w:rsidRPr="001C7177" w14:paraId="01ECE0E0" w14:textId="77777777" w:rsidTr="00D57A27">
        <w:tc>
          <w:tcPr>
            <w:tcW w:w="7083" w:type="dxa"/>
          </w:tcPr>
          <w:p w14:paraId="71C6308E" w14:textId="147A0915" w:rsidR="00841106" w:rsidRPr="001C7177" w:rsidRDefault="00841106" w:rsidP="0034467F">
            <w:pPr>
              <w:spacing w:before="120" w:after="120"/>
            </w:pPr>
            <w:r w:rsidRPr="001C7177">
              <w:rPr>
                <w:i/>
                <w:iCs/>
              </w:rPr>
              <w:t>R v Lavallée</w:t>
            </w:r>
            <w:r w:rsidRPr="001C7177">
              <w:t>, 1990 CanLII 95 (SCC)</w:t>
            </w:r>
            <w:r w:rsidR="00FC5AA2" w:rsidRPr="001C7177">
              <w:t>.</w:t>
            </w:r>
          </w:p>
        </w:tc>
        <w:tc>
          <w:tcPr>
            <w:tcW w:w="2267" w:type="dxa"/>
          </w:tcPr>
          <w:p w14:paraId="5B41AF3F" w14:textId="46C0A2F0" w:rsidR="00841106" w:rsidRPr="001E6D70" w:rsidRDefault="00D57A27" w:rsidP="001E6D70">
            <w:pPr>
              <w:rPr>
                <w:bCs/>
              </w:rPr>
            </w:pPr>
            <w:r>
              <w:rPr>
                <w:bCs/>
              </w:rPr>
              <w:t>3</w:t>
            </w:r>
            <w:r w:rsidR="000E4FAA">
              <w:rPr>
                <w:bCs/>
              </w:rPr>
              <w:t>0</w:t>
            </w:r>
            <w:r>
              <w:rPr>
                <w:bCs/>
              </w:rPr>
              <w:t>.</w:t>
            </w:r>
          </w:p>
        </w:tc>
      </w:tr>
      <w:tr w:rsidR="00841106" w:rsidRPr="001C7177" w14:paraId="6FDA1FC0" w14:textId="77777777" w:rsidTr="00D57A27">
        <w:tc>
          <w:tcPr>
            <w:tcW w:w="7083" w:type="dxa"/>
          </w:tcPr>
          <w:p w14:paraId="777BB4CF" w14:textId="71423862" w:rsidR="00841106" w:rsidRPr="001C7177" w:rsidRDefault="00841106" w:rsidP="0034467F">
            <w:pPr>
              <w:pStyle w:val="WSParaNum"/>
              <w:numPr>
                <w:ilvl w:val="0"/>
                <w:numId w:val="0"/>
              </w:numPr>
              <w:spacing w:line="240" w:lineRule="auto"/>
            </w:pPr>
            <w:r w:rsidRPr="001C7177">
              <w:rPr>
                <w:i/>
                <w:iCs/>
              </w:rPr>
              <w:t>R v Morgentaler</w:t>
            </w:r>
            <w:r w:rsidRPr="000922D3">
              <w:t>,</w:t>
            </w:r>
            <w:r w:rsidRPr="001C7177">
              <w:rPr>
                <w:i/>
                <w:iCs/>
              </w:rPr>
              <w:t xml:space="preserve"> </w:t>
            </w:r>
            <w:r w:rsidRPr="001C7177">
              <w:t>1993 CanLII 74 (SCC)</w:t>
            </w:r>
            <w:r w:rsidR="00FC5AA2" w:rsidRPr="001C7177">
              <w:t>.</w:t>
            </w:r>
          </w:p>
        </w:tc>
        <w:tc>
          <w:tcPr>
            <w:tcW w:w="2267" w:type="dxa"/>
          </w:tcPr>
          <w:p w14:paraId="5FD45552" w14:textId="60665DA8" w:rsidR="00841106" w:rsidRPr="001E6D70" w:rsidRDefault="00D57A27" w:rsidP="001E6D70">
            <w:pPr>
              <w:rPr>
                <w:bCs/>
              </w:rPr>
            </w:pPr>
            <w:r>
              <w:rPr>
                <w:bCs/>
              </w:rPr>
              <w:t>6</w:t>
            </w:r>
            <w:r w:rsidR="000E4FAA">
              <w:rPr>
                <w:bCs/>
              </w:rPr>
              <w:t>2</w:t>
            </w:r>
            <w:r>
              <w:rPr>
                <w:bCs/>
              </w:rPr>
              <w:t>.</w:t>
            </w:r>
          </w:p>
        </w:tc>
      </w:tr>
      <w:tr w:rsidR="00841106" w:rsidRPr="001C7177" w14:paraId="5FA98425" w14:textId="77777777" w:rsidTr="00D57A27">
        <w:tc>
          <w:tcPr>
            <w:tcW w:w="7083" w:type="dxa"/>
          </w:tcPr>
          <w:p w14:paraId="1E00F759" w14:textId="5F62ED9B" w:rsidR="00841106" w:rsidRPr="001C7177" w:rsidRDefault="00841106" w:rsidP="0034467F">
            <w:pPr>
              <w:spacing w:before="120" w:after="120"/>
            </w:pPr>
            <w:r w:rsidRPr="001C7177">
              <w:rPr>
                <w:i/>
                <w:iCs/>
              </w:rPr>
              <w:t>R v Nguyen</w:t>
            </w:r>
            <w:r w:rsidRPr="001C7177">
              <w:t>, 2023 ONCA 531</w:t>
            </w:r>
            <w:r w:rsidR="00FC5AA2" w:rsidRPr="001C7177">
              <w:t>.</w:t>
            </w:r>
          </w:p>
        </w:tc>
        <w:tc>
          <w:tcPr>
            <w:tcW w:w="2267" w:type="dxa"/>
          </w:tcPr>
          <w:p w14:paraId="261DC8B5" w14:textId="47627C36" w:rsidR="00841106" w:rsidRPr="001E6D70" w:rsidRDefault="000E4FAA" w:rsidP="001E6D70">
            <w:pPr>
              <w:rPr>
                <w:bCs/>
              </w:rPr>
            </w:pPr>
            <w:r>
              <w:rPr>
                <w:bCs/>
              </w:rPr>
              <w:t>1</w:t>
            </w:r>
            <w:r w:rsidR="00D65501">
              <w:rPr>
                <w:bCs/>
              </w:rPr>
              <w:t>9</w:t>
            </w:r>
            <w:r w:rsidR="00D57A27">
              <w:rPr>
                <w:bCs/>
              </w:rPr>
              <w:t>.</w:t>
            </w:r>
          </w:p>
        </w:tc>
      </w:tr>
      <w:tr w:rsidR="00841106" w:rsidRPr="001C7177" w14:paraId="7ADD03E1" w14:textId="77777777" w:rsidTr="00D57A27">
        <w:tc>
          <w:tcPr>
            <w:tcW w:w="7083" w:type="dxa"/>
          </w:tcPr>
          <w:p w14:paraId="053F68B8" w14:textId="3423E05C" w:rsidR="00841106" w:rsidRPr="001C7177" w:rsidRDefault="00841106" w:rsidP="0034467F">
            <w:pPr>
              <w:spacing w:before="120" w:after="120"/>
            </w:pPr>
            <w:r w:rsidRPr="001C7177">
              <w:rPr>
                <w:i/>
                <w:iCs/>
              </w:rPr>
              <w:t>R v Sault Ste Marie</w:t>
            </w:r>
            <w:r w:rsidRPr="000922D3">
              <w:t>,</w:t>
            </w:r>
            <w:r w:rsidRPr="001C7177">
              <w:rPr>
                <w:i/>
                <w:iCs/>
              </w:rPr>
              <w:t xml:space="preserve"> </w:t>
            </w:r>
            <w:r w:rsidRPr="001C7177">
              <w:t>1978 CanLII 11 (SCC)</w:t>
            </w:r>
            <w:r w:rsidR="00FC5AA2" w:rsidRPr="001C7177">
              <w:t>.</w:t>
            </w:r>
          </w:p>
        </w:tc>
        <w:tc>
          <w:tcPr>
            <w:tcW w:w="2267" w:type="dxa"/>
          </w:tcPr>
          <w:p w14:paraId="6CA1162F" w14:textId="2CB92F38" w:rsidR="00841106" w:rsidRPr="001E6D70" w:rsidRDefault="00D57A27" w:rsidP="001E6D70">
            <w:pPr>
              <w:rPr>
                <w:bCs/>
              </w:rPr>
            </w:pPr>
            <w:r>
              <w:rPr>
                <w:bCs/>
              </w:rPr>
              <w:t>6</w:t>
            </w:r>
            <w:r w:rsidR="000E4FAA">
              <w:rPr>
                <w:bCs/>
              </w:rPr>
              <w:t>5</w:t>
            </w:r>
            <w:r>
              <w:rPr>
                <w:bCs/>
              </w:rPr>
              <w:t>, 7</w:t>
            </w:r>
            <w:r w:rsidR="000E4FAA">
              <w:rPr>
                <w:bCs/>
              </w:rPr>
              <w:t>5</w:t>
            </w:r>
            <w:r>
              <w:rPr>
                <w:bCs/>
              </w:rPr>
              <w:t>.</w:t>
            </w:r>
          </w:p>
        </w:tc>
      </w:tr>
      <w:tr w:rsidR="00841106" w:rsidRPr="001C7177" w14:paraId="29B7C98C" w14:textId="77777777" w:rsidTr="00D57A27">
        <w:tc>
          <w:tcPr>
            <w:tcW w:w="7083" w:type="dxa"/>
          </w:tcPr>
          <w:p w14:paraId="5F87CD74" w14:textId="0411A642" w:rsidR="00841106" w:rsidRPr="001C7177" w:rsidRDefault="00841106" w:rsidP="0034467F">
            <w:pPr>
              <w:spacing w:before="120" w:after="120"/>
            </w:pPr>
            <w:r w:rsidRPr="001C7177">
              <w:rPr>
                <w:i/>
                <w:iCs/>
              </w:rPr>
              <w:t>R v Villaroman</w:t>
            </w:r>
            <w:r w:rsidRPr="001C7177">
              <w:t>, 2016 SCC 33</w:t>
            </w:r>
            <w:r w:rsidR="00FC5AA2" w:rsidRPr="001C7177">
              <w:t>.</w:t>
            </w:r>
          </w:p>
        </w:tc>
        <w:tc>
          <w:tcPr>
            <w:tcW w:w="2267" w:type="dxa"/>
          </w:tcPr>
          <w:p w14:paraId="77E1BA5F" w14:textId="086A19FC" w:rsidR="00841106" w:rsidRPr="001E6D70" w:rsidRDefault="000E4FAA" w:rsidP="001E6D70">
            <w:pPr>
              <w:rPr>
                <w:bCs/>
              </w:rPr>
            </w:pPr>
            <w:r>
              <w:rPr>
                <w:bCs/>
              </w:rPr>
              <w:t>19</w:t>
            </w:r>
            <w:r w:rsidR="00D57A27">
              <w:rPr>
                <w:bCs/>
              </w:rPr>
              <w:t>, 2</w:t>
            </w:r>
            <w:r>
              <w:rPr>
                <w:bCs/>
              </w:rPr>
              <w:t>0</w:t>
            </w:r>
            <w:r w:rsidR="00D57A27">
              <w:rPr>
                <w:bCs/>
              </w:rPr>
              <w:t>, 2</w:t>
            </w:r>
            <w:r>
              <w:rPr>
                <w:bCs/>
              </w:rPr>
              <w:t>4</w:t>
            </w:r>
            <w:r w:rsidR="00D57A27">
              <w:rPr>
                <w:bCs/>
              </w:rPr>
              <w:t>.</w:t>
            </w:r>
          </w:p>
        </w:tc>
      </w:tr>
      <w:tr w:rsidR="00841106" w:rsidRPr="001C7177" w14:paraId="51869F2F" w14:textId="77777777" w:rsidTr="00D57A27">
        <w:tc>
          <w:tcPr>
            <w:tcW w:w="7083" w:type="dxa"/>
          </w:tcPr>
          <w:p w14:paraId="0ABBBD14" w14:textId="4EF0B9B8" w:rsidR="00841106" w:rsidRPr="001C7177" w:rsidRDefault="00841106" w:rsidP="0034467F">
            <w:pPr>
              <w:spacing w:before="120" w:after="120"/>
            </w:pPr>
            <w:r w:rsidRPr="001C7177">
              <w:rPr>
                <w:i/>
                <w:iCs/>
              </w:rPr>
              <w:t>Salomon v Matte-Thompson</w:t>
            </w:r>
            <w:r w:rsidRPr="000922D3">
              <w:t>,</w:t>
            </w:r>
            <w:r w:rsidRPr="001C7177">
              <w:rPr>
                <w:i/>
                <w:iCs/>
              </w:rPr>
              <w:t xml:space="preserve"> </w:t>
            </w:r>
            <w:r w:rsidRPr="001C7177">
              <w:t>2019 SCC 14</w:t>
            </w:r>
            <w:r w:rsidR="00FC5AA2" w:rsidRPr="001C7177">
              <w:t>.</w:t>
            </w:r>
          </w:p>
        </w:tc>
        <w:tc>
          <w:tcPr>
            <w:tcW w:w="2267" w:type="dxa"/>
          </w:tcPr>
          <w:p w14:paraId="5F516B1A" w14:textId="0FB8C066" w:rsidR="00841106" w:rsidRPr="001E6D70" w:rsidRDefault="00502AE6" w:rsidP="001E6D70">
            <w:pPr>
              <w:rPr>
                <w:bCs/>
              </w:rPr>
            </w:pPr>
            <w:r>
              <w:rPr>
                <w:bCs/>
              </w:rPr>
              <w:t xml:space="preserve">17, </w:t>
            </w:r>
            <w:r w:rsidR="00D57A27">
              <w:rPr>
                <w:bCs/>
              </w:rPr>
              <w:t>4</w:t>
            </w:r>
            <w:r w:rsidR="000E4FAA">
              <w:rPr>
                <w:bCs/>
              </w:rPr>
              <w:t>3</w:t>
            </w:r>
            <w:r w:rsidR="00D57A27">
              <w:rPr>
                <w:bCs/>
              </w:rPr>
              <w:t>.</w:t>
            </w:r>
          </w:p>
        </w:tc>
      </w:tr>
      <w:tr w:rsidR="00841106" w:rsidRPr="001C7177" w14:paraId="23361D76" w14:textId="77777777" w:rsidTr="00D57A27">
        <w:tc>
          <w:tcPr>
            <w:tcW w:w="7083" w:type="dxa"/>
          </w:tcPr>
          <w:p w14:paraId="3495A6A4" w14:textId="47A98F71" w:rsidR="00841106" w:rsidRPr="001C7177" w:rsidRDefault="00841106" w:rsidP="0034467F">
            <w:pPr>
              <w:spacing w:before="120" w:after="120"/>
            </w:pPr>
            <w:r w:rsidRPr="001C7177">
              <w:rPr>
                <w:i/>
                <w:iCs/>
              </w:rPr>
              <w:t>Thamotharem v Canada (Minister of Citizenship and Immigration)</w:t>
            </w:r>
            <w:r w:rsidRPr="000922D3">
              <w:t>,</w:t>
            </w:r>
            <w:r w:rsidRPr="001C7177">
              <w:t xml:space="preserve"> 2007 FCA 198</w:t>
            </w:r>
            <w:r w:rsidR="001C7177" w:rsidRPr="001C7177">
              <w:t>.</w:t>
            </w:r>
          </w:p>
        </w:tc>
        <w:tc>
          <w:tcPr>
            <w:tcW w:w="2267" w:type="dxa"/>
          </w:tcPr>
          <w:p w14:paraId="6C26AFE0" w14:textId="1BDB440D" w:rsidR="00841106" w:rsidRPr="001E6D70" w:rsidRDefault="00D57A27" w:rsidP="001E6D70">
            <w:pPr>
              <w:rPr>
                <w:bCs/>
              </w:rPr>
            </w:pPr>
            <w:r>
              <w:rPr>
                <w:bCs/>
              </w:rPr>
              <w:t>4</w:t>
            </w:r>
            <w:r w:rsidR="000E4FAA">
              <w:rPr>
                <w:bCs/>
              </w:rPr>
              <w:t>6</w:t>
            </w:r>
            <w:r>
              <w:rPr>
                <w:bCs/>
              </w:rPr>
              <w:t>.</w:t>
            </w:r>
          </w:p>
        </w:tc>
      </w:tr>
    </w:tbl>
    <w:p w14:paraId="63897E99" w14:textId="77777777" w:rsidR="008A009C" w:rsidRPr="001C7177" w:rsidRDefault="008A009C" w:rsidP="008A009C">
      <w:pPr>
        <w:spacing w:line="360" w:lineRule="auto"/>
        <w:rPr>
          <w:b/>
        </w:rPr>
      </w:pPr>
    </w:p>
    <w:tbl>
      <w:tblPr>
        <w:tblStyle w:val="TableGrid"/>
        <w:tblW w:w="0" w:type="auto"/>
        <w:tblLook w:val="04A0" w:firstRow="1" w:lastRow="0" w:firstColumn="1" w:lastColumn="0" w:noHBand="0" w:noVBand="1"/>
      </w:tblPr>
      <w:tblGrid>
        <w:gridCol w:w="7083"/>
        <w:gridCol w:w="2267"/>
      </w:tblGrid>
      <w:tr w:rsidR="008A009C" w:rsidRPr="001C7177" w14:paraId="0401E161" w14:textId="77777777" w:rsidTr="00D57A27">
        <w:tc>
          <w:tcPr>
            <w:tcW w:w="7083" w:type="dxa"/>
          </w:tcPr>
          <w:p w14:paraId="7D7E1996" w14:textId="78B2057E" w:rsidR="008A009C" w:rsidRPr="001C7177" w:rsidRDefault="008A009C" w:rsidP="00671430">
            <w:pPr>
              <w:spacing w:before="240" w:after="240"/>
              <w:rPr>
                <w:b/>
              </w:rPr>
            </w:pPr>
            <w:r w:rsidRPr="001C7177">
              <w:rPr>
                <w:b/>
              </w:rPr>
              <w:t xml:space="preserve">Secondary Sources and Other Materials </w:t>
            </w:r>
          </w:p>
        </w:tc>
        <w:tc>
          <w:tcPr>
            <w:tcW w:w="2267" w:type="dxa"/>
          </w:tcPr>
          <w:p w14:paraId="69A898FC" w14:textId="77777777" w:rsidR="008A009C" w:rsidRPr="001C7177" w:rsidRDefault="008A009C" w:rsidP="00671430">
            <w:pPr>
              <w:spacing w:before="240" w:after="240"/>
              <w:rPr>
                <w:b/>
              </w:rPr>
            </w:pPr>
            <w:r w:rsidRPr="001C7177">
              <w:rPr>
                <w:b/>
              </w:rPr>
              <w:t>Paragraph No.</w:t>
            </w:r>
          </w:p>
        </w:tc>
      </w:tr>
      <w:tr w:rsidR="008A009C" w:rsidRPr="001C7177" w14:paraId="3ACB4793" w14:textId="77777777" w:rsidTr="00D57A27">
        <w:tc>
          <w:tcPr>
            <w:tcW w:w="7083" w:type="dxa"/>
          </w:tcPr>
          <w:p w14:paraId="6D14F48F" w14:textId="7E4183AC" w:rsidR="008A009C" w:rsidRPr="001C7177" w:rsidRDefault="00407B8C" w:rsidP="0034467F">
            <w:pPr>
              <w:spacing w:before="120" w:after="120"/>
              <w:rPr>
                <w:b/>
              </w:rPr>
            </w:pPr>
            <w:r w:rsidRPr="001C7177">
              <w:t xml:space="preserve">JA Simpson &amp; ESC Weiner, </w:t>
            </w:r>
            <w:r w:rsidRPr="001C7177">
              <w:rPr>
                <w:i/>
                <w:iCs/>
              </w:rPr>
              <w:t>Oxford English Dictionar</w:t>
            </w:r>
            <w:r w:rsidRPr="000922D3">
              <w:t>y,</w:t>
            </w:r>
            <w:r w:rsidRPr="001C7177">
              <w:rPr>
                <w:i/>
                <w:iCs/>
              </w:rPr>
              <w:t xml:space="preserve"> </w:t>
            </w:r>
            <w:r w:rsidRPr="000922D3">
              <w:t>2</w:t>
            </w:r>
            <w:r w:rsidR="000922D3">
              <w:t>nd</w:t>
            </w:r>
            <w:r w:rsidRPr="000922D3">
              <w:t xml:space="preserve"> ed</w:t>
            </w:r>
            <w:r w:rsidRPr="001C7177">
              <w:rPr>
                <w:i/>
                <w:iCs/>
              </w:rPr>
              <w:t xml:space="preserve"> </w:t>
            </w:r>
            <w:r w:rsidRPr="001C7177">
              <w:t>(Oxford: Oxford University Press, 1989)</w:t>
            </w:r>
            <w:r w:rsidR="001C7177" w:rsidRPr="001C7177">
              <w:t>.</w:t>
            </w:r>
          </w:p>
        </w:tc>
        <w:tc>
          <w:tcPr>
            <w:tcW w:w="2267" w:type="dxa"/>
          </w:tcPr>
          <w:p w14:paraId="57F706C3" w14:textId="30AFFE5C" w:rsidR="008A009C" w:rsidRPr="00D57A27" w:rsidRDefault="00D57A27" w:rsidP="00D57A27">
            <w:pPr>
              <w:rPr>
                <w:bCs/>
              </w:rPr>
            </w:pPr>
            <w:r>
              <w:rPr>
                <w:bCs/>
              </w:rPr>
              <w:t>5</w:t>
            </w:r>
            <w:r w:rsidR="000E4FAA">
              <w:rPr>
                <w:bCs/>
              </w:rPr>
              <w:t>8</w:t>
            </w:r>
            <w:r w:rsidRPr="00D57A27">
              <w:rPr>
                <w:bCs/>
              </w:rPr>
              <w:t>–</w:t>
            </w:r>
            <w:r>
              <w:rPr>
                <w:bCs/>
              </w:rPr>
              <w:t>6</w:t>
            </w:r>
            <w:r w:rsidR="000E4FAA">
              <w:rPr>
                <w:bCs/>
              </w:rPr>
              <w:t>0</w:t>
            </w:r>
            <w:r>
              <w:rPr>
                <w:bCs/>
              </w:rPr>
              <w:t>.</w:t>
            </w:r>
          </w:p>
        </w:tc>
      </w:tr>
      <w:tr w:rsidR="008A009C" w:rsidRPr="001C7177" w14:paraId="6D8441A7" w14:textId="77777777" w:rsidTr="00D57A27">
        <w:tc>
          <w:tcPr>
            <w:tcW w:w="7083" w:type="dxa"/>
          </w:tcPr>
          <w:p w14:paraId="238598FD" w14:textId="5DDA6BE1" w:rsidR="008A009C" w:rsidRPr="001C7177" w:rsidRDefault="00407B8C" w:rsidP="0034467F">
            <w:pPr>
              <w:pStyle w:val="WSParaNum"/>
              <w:numPr>
                <w:ilvl w:val="0"/>
                <w:numId w:val="0"/>
              </w:numPr>
              <w:spacing w:line="240" w:lineRule="auto"/>
            </w:pPr>
            <w:r w:rsidRPr="001C7177">
              <w:t xml:space="preserve">Ontario, Legislative Assembly, </w:t>
            </w:r>
            <w:r w:rsidRPr="001C7177">
              <w:rPr>
                <w:i/>
                <w:iCs/>
              </w:rPr>
              <w:t xml:space="preserve">House Documents, </w:t>
            </w:r>
            <w:r w:rsidRPr="001C7177">
              <w:t>44-1 (29 April 2025) online: &lt;ola.org/en/legislative-business/house-</w:t>
            </w:r>
            <w:r w:rsidRPr="001C7177">
              <w:lastRenderedPageBreak/>
              <w:t>documents/parliament-44/session-1/2025-04-29/hansard#P280_17653&gt;</w:t>
            </w:r>
            <w:r w:rsidR="001C7177" w:rsidRPr="001C7177">
              <w:t>.</w:t>
            </w:r>
          </w:p>
        </w:tc>
        <w:tc>
          <w:tcPr>
            <w:tcW w:w="2267" w:type="dxa"/>
          </w:tcPr>
          <w:p w14:paraId="574AD96E" w14:textId="0F26C97E" w:rsidR="008A009C" w:rsidRPr="00D57A27" w:rsidRDefault="00D57A27" w:rsidP="00D57A27">
            <w:pPr>
              <w:rPr>
                <w:bCs/>
              </w:rPr>
            </w:pPr>
            <w:r>
              <w:rPr>
                <w:bCs/>
              </w:rPr>
              <w:lastRenderedPageBreak/>
              <w:t>6</w:t>
            </w:r>
            <w:r w:rsidR="000E4FAA">
              <w:rPr>
                <w:bCs/>
              </w:rPr>
              <w:t>2</w:t>
            </w:r>
            <w:r>
              <w:rPr>
                <w:bCs/>
              </w:rPr>
              <w:t>.</w:t>
            </w:r>
          </w:p>
        </w:tc>
      </w:tr>
      <w:tr w:rsidR="008A009C" w:rsidRPr="001C7177" w14:paraId="0C17A752" w14:textId="77777777" w:rsidTr="00D57A27">
        <w:tc>
          <w:tcPr>
            <w:tcW w:w="7083" w:type="dxa"/>
          </w:tcPr>
          <w:p w14:paraId="05D784B4" w14:textId="16187754" w:rsidR="008A009C" w:rsidRPr="001C7177" w:rsidRDefault="00407B8C" w:rsidP="0034467F">
            <w:pPr>
              <w:pStyle w:val="WSParaNum"/>
              <w:numPr>
                <w:ilvl w:val="0"/>
                <w:numId w:val="0"/>
              </w:numPr>
              <w:spacing w:line="240" w:lineRule="auto"/>
            </w:pPr>
            <w:r w:rsidRPr="001C7177">
              <w:t xml:space="preserve">Ontario, Ministry of the Environment, Conservation and Parks (MECP), </w:t>
            </w:r>
            <w:r w:rsidRPr="001C7177">
              <w:rPr>
                <w:i/>
                <w:iCs/>
              </w:rPr>
              <w:t xml:space="preserve">General Habitat Description for the Blanding’s Turtle (Emydoidea blandingii), </w:t>
            </w:r>
            <w:r w:rsidRPr="001C7177">
              <w:t>(Toronto: MECP, 2013).</w:t>
            </w:r>
          </w:p>
        </w:tc>
        <w:tc>
          <w:tcPr>
            <w:tcW w:w="2267" w:type="dxa"/>
          </w:tcPr>
          <w:p w14:paraId="380AA98F" w14:textId="4CD58FF8" w:rsidR="008A009C" w:rsidRPr="00D57A27" w:rsidRDefault="000E4FAA" w:rsidP="00D57A27">
            <w:pPr>
              <w:rPr>
                <w:bCs/>
              </w:rPr>
            </w:pPr>
            <w:r>
              <w:rPr>
                <w:bCs/>
              </w:rPr>
              <w:t>39</w:t>
            </w:r>
            <w:r w:rsidR="00D57A27">
              <w:rPr>
                <w:bCs/>
              </w:rPr>
              <w:t>, 6</w:t>
            </w:r>
            <w:r>
              <w:rPr>
                <w:bCs/>
              </w:rPr>
              <w:t>8</w:t>
            </w:r>
            <w:r w:rsidR="00D57A27">
              <w:rPr>
                <w:bCs/>
              </w:rPr>
              <w:t>.</w:t>
            </w:r>
          </w:p>
        </w:tc>
      </w:tr>
      <w:tr w:rsidR="008A009C" w:rsidRPr="001C7177" w14:paraId="035C8CC0" w14:textId="77777777" w:rsidTr="00D57A27">
        <w:tc>
          <w:tcPr>
            <w:tcW w:w="7083" w:type="dxa"/>
          </w:tcPr>
          <w:p w14:paraId="027ABC80" w14:textId="43A680CC" w:rsidR="008A009C" w:rsidRPr="001C7177" w:rsidRDefault="00407B8C" w:rsidP="0034467F">
            <w:pPr>
              <w:spacing w:before="120" w:after="120"/>
            </w:pPr>
            <w:r w:rsidRPr="001C7177">
              <w:t>Willms &amp; Shier Moot Team 2026-01 Appellant Factum</w:t>
            </w:r>
            <w:r w:rsidR="001C7177" w:rsidRPr="001C7177">
              <w:t>.</w:t>
            </w:r>
          </w:p>
        </w:tc>
        <w:tc>
          <w:tcPr>
            <w:tcW w:w="2267" w:type="dxa"/>
          </w:tcPr>
          <w:p w14:paraId="399E2775" w14:textId="5D2389BE" w:rsidR="008A009C" w:rsidRPr="00D57A27" w:rsidRDefault="00D57A27" w:rsidP="00D57A27">
            <w:pPr>
              <w:rPr>
                <w:bCs/>
              </w:rPr>
            </w:pPr>
            <w:r>
              <w:rPr>
                <w:bCs/>
              </w:rPr>
              <w:t>2</w:t>
            </w:r>
            <w:r w:rsidR="00D65501">
              <w:rPr>
                <w:bCs/>
              </w:rPr>
              <w:t>6</w:t>
            </w:r>
            <w:r>
              <w:rPr>
                <w:bCs/>
              </w:rPr>
              <w:t>, 3</w:t>
            </w:r>
            <w:r w:rsidR="000E4FAA">
              <w:rPr>
                <w:bCs/>
              </w:rPr>
              <w:t>4</w:t>
            </w:r>
            <w:r>
              <w:rPr>
                <w:bCs/>
              </w:rPr>
              <w:t>, 5</w:t>
            </w:r>
            <w:r w:rsidR="000E4FAA">
              <w:rPr>
                <w:bCs/>
              </w:rPr>
              <w:t>3</w:t>
            </w:r>
            <w:r>
              <w:rPr>
                <w:bCs/>
              </w:rPr>
              <w:t>, 5</w:t>
            </w:r>
            <w:r w:rsidR="000E4FAA">
              <w:rPr>
                <w:bCs/>
              </w:rPr>
              <w:t>4</w:t>
            </w:r>
            <w:r>
              <w:rPr>
                <w:bCs/>
              </w:rPr>
              <w:t>.</w:t>
            </w:r>
          </w:p>
        </w:tc>
      </w:tr>
    </w:tbl>
    <w:p w14:paraId="43570C42" w14:textId="77777777" w:rsidR="008A009C" w:rsidRPr="00D921E9" w:rsidRDefault="008A009C" w:rsidP="008A009C">
      <w:pPr>
        <w:spacing w:line="360" w:lineRule="auto"/>
        <w:rPr>
          <w:b/>
        </w:rPr>
      </w:pPr>
    </w:p>
    <w:p w14:paraId="0DC7B52C" w14:textId="35FCFAB2" w:rsidR="00471DA0" w:rsidRPr="00562AC6" w:rsidRDefault="00471DA0" w:rsidP="00562AC6">
      <w:pPr>
        <w:pStyle w:val="Heading1"/>
      </w:pPr>
      <w:r>
        <w:br w:type="page"/>
      </w:r>
      <w:bookmarkStart w:id="34" w:name="_Toc220051356"/>
      <w:r w:rsidRPr="00562AC6">
        <w:lastRenderedPageBreak/>
        <w:t>LEGISLATION AT ISSUE</w:t>
      </w:r>
      <w:bookmarkEnd w:id="34"/>
      <w:r w:rsidR="0024187B" w:rsidRPr="00562AC6">
        <w:t xml:space="preserve"> </w:t>
      </w:r>
    </w:p>
    <w:p w14:paraId="4B6BA17E" w14:textId="77777777" w:rsidR="003C29E1" w:rsidRPr="00695EA8" w:rsidRDefault="003C29E1" w:rsidP="003C29E1">
      <w:pPr>
        <w:pStyle w:val="NormalWeb"/>
        <w:spacing w:before="0" w:beforeAutospacing="0" w:after="0" w:afterAutospacing="0"/>
        <w:jc w:val="center"/>
        <w:rPr>
          <w:b/>
          <w:bCs/>
        </w:rPr>
      </w:pPr>
      <w:r w:rsidRPr="00695EA8">
        <w:rPr>
          <w:b/>
          <w:bCs/>
          <w:i/>
          <w:iCs/>
          <w:color w:val="000000"/>
        </w:rPr>
        <w:t xml:space="preserve">Endangered Species Act, </w:t>
      </w:r>
      <w:r w:rsidRPr="00695EA8">
        <w:rPr>
          <w:b/>
          <w:bCs/>
          <w:color w:val="000000"/>
        </w:rPr>
        <w:t>SO 2007, c 6, ss 2(1), 2(2), 10(1).</w:t>
      </w:r>
    </w:p>
    <w:p w14:paraId="7B1F4B7E" w14:textId="77777777" w:rsidR="003C29E1" w:rsidRPr="00695EA8" w:rsidRDefault="003C29E1" w:rsidP="003C29E1">
      <w:pPr>
        <w:pStyle w:val="NormalWeb"/>
        <w:spacing w:before="240" w:beforeAutospacing="0" w:after="0" w:afterAutospacing="0"/>
      </w:pPr>
      <w:r w:rsidRPr="00695EA8">
        <w:rPr>
          <w:b/>
          <w:bCs/>
          <w:color w:val="000000"/>
        </w:rPr>
        <w:t>Definitions</w:t>
      </w:r>
    </w:p>
    <w:p w14:paraId="7AA0101D" w14:textId="77777777" w:rsidR="003C29E1" w:rsidRPr="00695EA8" w:rsidRDefault="003C29E1" w:rsidP="003C29E1">
      <w:pPr>
        <w:pStyle w:val="NormalWeb"/>
        <w:spacing w:before="240" w:beforeAutospacing="0" w:after="0" w:afterAutospacing="0"/>
      </w:pPr>
      <w:r w:rsidRPr="00695EA8">
        <w:rPr>
          <w:b/>
          <w:bCs/>
          <w:color w:val="000000"/>
        </w:rPr>
        <w:t>2</w:t>
      </w:r>
      <w:r>
        <w:rPr>
          <w:color w:val="000000"/>
        </w:rPr>
        <w:t xml:space="preserve"> </w:t>
      </w:r>
      <w:r w:rsidRPr="00695EA8">
        <w:rPr>
          <w:color w:val="000000"/>
        </w:rPr>
        <w:t>(1) In this Act,</w:t>
      </w:r>
    </w:p>
    <w:p w14:paraId="69972597" w14:textId="77777777" w:rsidR="003C29E1" w:rsidRPr="00695EA8" w:rsidRDefault="003C29E1" w:rsidP="003C29E1">
      <w:pPr>
        <w:pStyle w:val="NormalWeb"/>
        <w:spacing w:before="240" w:beforeAutospacing="0" w:after="120" w:afterAutospacing="0"/>
        <w:ind w:left="480" w:hanging="240"/>
        <w:rPr>
          <w:color w:val="000000"/>
        </w:rPr>
      </w:pPr>
      <w:r w:rsidRPr="00695EA8">
        <w:rPr>
          <w:color w:val="000000"/>
        </w:rPr>
        <w:t>“habitat” means,</w:t>
      </w:r>
    </w:p>
    <w:p w14:paraId="6689F1D6" w14:textId="79813208" w:rsidR="003C29E1" w:rsidRPr="00035163" w:rsidRDefault="003C29E1" w:rsidP="003C29E1">
      <w:pPr>
        <w:pStyle w:val="NormalWeb"/>
        <w:numPr>
          <w:ilvl w:val="0"/>
          <w:numId w:val="13"/>
        </w:numPr>
        <w:spacing w:before="240" w:beforeAutospacing="0" w:after="120" w:afterAutospacing="0"/>
        <w:rPr>
          <w:color w:val="000000"/>
        </w:rPr>
      </w:pPr>
      <w:r w:rsidRPr="00695EA8">
        <w:rPr>
          <w:color w:val="000000"/>
        </w:rPr>
        <w:t xml:space="preserve">with respect to a species of animal, plant or other organism for which a regulation made </w:t>
      </w:r>
      <w:r w:rsidRPr="00F36A0A">
        <w:t xml:space="preserve">under </w:t>
      </w:r>
      <w:hyperlink r:id="rId13" w:anchor="sec56subsec1_smooth" w:history="1">
        <w:r w:rsidRPr="00F36A0A">
          <w:rPr>
            <w:rStyle w:val="Hyperlink"/>
            <w:rFonts w:eastAsiaTheme="majorEastAsia"/>
            <w:color w:val="auto"/>
            <w:u w:val="none"/>
          </w:rPr>
          <w:t>clause 56 (1)</w:t>
        </w:r>
      </w:hyperlink>
      <w:r w:rsidRPr="00F36A0A">
        <w:t xml:space="preserve"> (a</w:t>
      </w:r>
      <w:r w:rsidRPr="00695EA8">
        <w:rPr>
          <w:color w:val="000000"/>
        </w:rPr>
        <w:t>) is in force, the area prescribed by that regulation as the habitat of the species, or</w:t>
      </w:r>
    </w:p>
    <w:p w14:paraId="550F92BB" w14:textId="77777777" w:rsidR="003C29E1" w:rsidRPr="00695EA8" w:rsidRDefault="003C29E1" w:rsidP="003C29E1">
      <w:pPr>
        <w:pStyle w:val="NormalWeb"/>
        <w:spacing w:before="240" w:beforeAutospacing="0" w:after="120" w:afterAutospacing="0"/>
        <w:ind w:left="720" w:hanging="360"/>
      </w:pPr>
      <w:r w:rsidRPr="00695EA8">
        <w:rPr>
          <w:color w:val="000000"/>
        </w:rPr>
        <w:t>(b)  with respect to any other species of animal, plant or other organism, an area on which the species depends, directly or indirectly, to carry on its life processes, including life processes such as reproduction, rearing, hibernation, migration or feeding,</w:t>
      </w:r>
    </w:p>
    <w:p w14:paraId="517CF0AA" w14:textId="77777777" w:rsidR="003C29E1" w:rsidRPr="00035163" w:rsidRDefault="003C29E1" w:rsidP="003C29E1">
      <w:pPr>
        <w:pStyle w:val="NormalWeb"/>
        <w:spacing w:before="240" w:beforeAutospacing="0" w:after="120" w:afterAutospacing="0"/>
        <w:ind w:left="480" w:hanging="240"/>
        <w:rPr>
          <w:color w:val="000000"/>
        </w:rPr>
      </w:pPr>
      <w:r w:rsidRPr="00695EA8">
        <w:rPr>
          <w:color w:val="000000"/>
        </w:rPr>
        <w:t>and includes places in the area described in clause (a) or (b), whichever is applicable, that are used by members of the species as dens, nests, hibernacula or other residences; (“habitat”)</w:t>
      </w:r>
    </w:p>
    <w:p w14:paraId="412996B4" w14:textId="77777777" w:rsidR="003C29E1" w:rsidRPr="00695EA8" w:rsidRDefault="003C29E1" w:rsidP="003C29E1">
      <w:pPr>
        <w:pStyle w:val="NormalWeb"/>
        <w:spacing w:before="240" w:beforeAutospacing="0" w:after="0" w:afterAutospacing="0"/>
      </w:pPr>
      <w:r w:rsidRPr="00695EA8">
        <w:rPr>
          <w:b/>
          <w:bCs/>
          <w:color w:val="000000"/>
        </w:rPr>
        <w:t>Definition of “habitat”, cl. (b)</w:t>
      </w:r>
    </w:p>
    <w:p w14:paraId="73875546" w14:textId="77777777" w:rsidR="003C29E1" w:rsidRPr="00035163" w:rsidRDefault="003C29E1" w:rsidP="003C29E1">
      <w:pPr>
        <w:pStyle w:val="NormalWeb"/>
        <w:spacing w:before="240" w:beforeAutospacing="0" w:after="0" w:afterAutospacing="0"/>
        <w:rPr>
          <w:color w:val="000000"/>
        </w:rPr>
      </w:pPr>
      <w:r w:rsidRPr="00695EA8">
        <w:rPr>
          <w:color w:val="000000"/>
        </w:rPr>
        <w:t>(2) For greater certainty, clause (b) of the definition of “habitat” in subsection (1) does not include an area where the species formerly occurred or has the potential to be reintroduced unless existing members of the species depend on that area to carry on their life processes.  2007, c. 6, s. 2 (2).</w:t>
      </w:r>
    </w:p>
    <w:p w14:paraId="29DF4F20" w14:textId="77777777" w:rsidR="003C29E1" w:rsidRPr="00695EA8" w:rsidRDefault="003C29E1" w:rsidP="003C29E1">
      <w:pPr>
        <w:pStyle w:val="NormalWeb"/>
        <w:spacing w:before="240" w:beforeAutospacing="0" w:after="0" w:afterAutospacing="0"/>
      </w:pPr>
      <w:r w:rsidRPr="00695EA8">
        <w:rPr>
          <w:b/>
          <w:bCs/>
          <w:color w:val="000000"/>
        </w:rPr>
        <w:t>Prohibition on damage to habitat, etc.</w:t>
      </w:r>
    </w:p>
    <w:p w14:paraId="76EB394A" w14:textId="77777777" w:rsidR="003C29E1" w:rsidRPr="00035163" w:rsidRDefault="003C29E1" w:rsidP="003C29E1">
      <w:pPr>
        <w:pStyle w:val="NormalWeb"/>
        <w:spacing w:before="240" w:beforeAutospacing="0" w:after="0" w:afterAutospacing="0"/>
        <w:rPr>
          <w:color w:val="000000"/>
        </w:rPr>
      </w:pPr>
      <w:r w:rsidRPr="00695EA8">
        <w:rPr>
          <w:b/>
          <w:bCs/>
          <w:color w:val="000000"/>
        </w:rPr>
        <w:t xml:space="preserve">10 </w:t>
      </w:r>
      <w:r w:rsidRPr="00695EA8">
        <w:rPr>
          <w:color w:val="000000"/>
        </w:rPr>
        <w:t>(1) No person shall damage or destroy the habitat of,</w:t>
      </w:r>
    </w:p>
    <w:p w14:paraId="3901D4B4" w14:textId="20CF90CD" w:rsidR="003C29E1" w:rsidRPr="00035163" w:rsidRDefault="003C29E1" w:rsidP="003C29E1">
      <w:pPr>
        <w:pStyle w:val="NormalWeb"/>
        <w:numPr>
          <w:ilvl w:val="0"/>
          <w:numId w:val="12"/>
        </w:numPr>
        <w:spacing w:before="240" w:beforeAutospacing="0" w:after="0" w:afterAutospacing="0"/>
        <w:rPr>
          <w:color w:val="000000"/>
        </w:rPr>
      </w:pPr>
      <w:r w:rsidRPr="00695EA8">
        <w:rPr>
          <w:color w:val="000000"/>
        </w:rPr>
        <w:t xml:space="preserve">a species that is listed on </w:t>
      </w:r>
      <w:r w:rsidRPr="00F36A0A">
        <w:t xml:space="preserve">the </w:t>
      </w:r>
      <w:hyperlink r:id="rId14" w:history="1">
        <w:r w:rsidRPr="00F36A0A">
          <w:rPr>
            <w:rStyle w:val="Hyperlink"/>
            <w:rFonts w:eastAsiaTheme="majorEastAsia"/>
            <w:color w:val="auto"/>
            <w:u w:val="none"/>
          </w:rPr>
          <w:t>Species at Risk in Ontario List</w:t>
        </w:r>
      </w:hyperlink>
      <w:r w:rsidRPr="00F36A0A">
        <w:t xml:space="preserve"> as an </w:t>
      </w:r>
      <w:r w:rsidRPr="00695EA8">
        <w:rPr>
          <w:color w:val="000000"/>
        </w:rPr>
        <w:t>endangered or threatened species; or</w:t>
      </w:r>
    </w:p>
    <w:p w14:paraId="1649CACB" w14:textId="5E65D0D3" w:rsidR="003C29E1" w:rsidRDefault="003C29E1" w:rsidP="003C29E1">
      <w:pPr>
        <w:pStyle w:val="NormalWeb"/>
        <w:numPr>
          <w:ilvl w:val="0"/>
          <w:numId w:val="12"/>
        </w:numPr>
        <w:spacing w:before="240" w:beforeAutospacing="0" w:after="120" w:afterAutospacing="0"/>
        <w:rPr>
          <w:color w:val="000000"/>
        </w:rPr>
      </w:pPr>
      <w:r w:rsidRPr="00695EA8">
        <w:rPr>
          <w:color w:val="000000"/>
        </w:rPr>
        <w:t xml:space="preserve">a species that is listed on the </w:t>
      </w:r>
      <w:hyperlink r:id="rId15" w:history="1">
        <w:r w:rsidRPr="00F36A0A">
          <w:rPr>
            <w:rStyle w:val="Hyperlink"/>
            <w:rFonts w:eastAsiaTheme="majorEastAsia"/>
            <w:color w:val="auto"/>
            <w:u w:val="none"/>
          </w:rPr>
          <w:t>Species at Risk in Ontario List</w:t>
        </w:r>
      </w:hyperlink>
      <w:r w:rsidRPr="00F36A0A">
        <w:t xml:space="preserve"> as </w:t>
      </w:r>
      <w:r w:rsidRPr="00695EA8">
        <w:rPr>
          <w:color w:val="000000"/>
        </w:rPr>
        <w:t>an extirpated species, if the species is prescribed by the regulations for the purpose of this clause.  2007, c. 6, s. 10 (1).</w:t>
      </w:r>
    </w:p>
    <w:p w14:paraId="7EF24098" w14:textId="77777777" w:rsidR="003C29E1" w:rsidRPr="00695EA8" w:rsidRDefault="003C29E1" w:rsidP="003C29E1">
      <w:pPr>
        <w:pStyle w:val="NormalWeb"/>
        <w:spacing w:before="240" w:beforeAutospacing="0" w:after="120" w:afterAutospacing="0"/>
        <w:ind w:left="740"/>
      </w:pPr>
    </w:p>
    <w:p w14:paraId="27F59993" w14:textId="77777777" w:rsidR="003C29E1" w:rsidRPr="00695EA8" w:rsidRDefault="003C29E1" w:rsidP="003C29E1">
      <w:pPr>
        <w:pStyle w:val="NormalWeb"/>
        <w:spacing w:before="240" w:beforeAutospacing="0" w:after="0" w:afterAutospacing="0"/>
        <w:jc w:val="center"/>
        <w:rPr>
          <w:b/>
          <w:bCs/>
        </w:rPr>
      </w:pPr>
      <w:r w:rsidRPr="00695EA8">
        <w:rPr>
          <w:b/>
          <w:bCs/>
          <w:i/>
          <w:iCs/>
          <w:color w:val="000000"/>
        </w:rPr>
        <w:t xml:space="preserve">Provincial Offences Act, </w:t>
      </w:r>
      <w:r w:rsidRPr="00695EA8">
        <w:rPr>
          <w:b/>
          <w:bCs/>
          <w:color w:val="000000"/>
        </w:rPr>
        <w:t>RSO 1990, c P.33, s 120(1)(a)(i)</w:t>
      </w:r>
      <w:r>
        <w:rPr>
          <w:b/>
          <w:bCs/>
          <w:color w:val="000000"/>
        </w:rPr>
        <w:t>.</w:t>
      </w:r>
    </w:p>
    <w:p w14:paraId="14116F5A" w14:textId="77777777" w:rsidR="003C29E1" w:rsidRPr="00695EA8" w:rsidRDefault="003C29E1" w:rsidP="003C29E1">
      <w:pPr>
        <w:pStyle w:val="NormalWeb"/>
        <w:spacing w:before="240" w:beforeAutospacing="0" w:after="0" w:afterAutospacing="0"/>
      </w:pPr>
      <w:r w:rsidRPr="00695EA8">
        <w:rPr>
          <w:b/>
          <w:bCs/>
          <w:color w:val="000000"/>
        </w:rPr>
        <w:t>Orders on appeal against conviction, etc.</w:t>
      </w:r>
    </w:p>
    <w:p w14:paraId="7BE98617" w14:textId="77777777" w:rsidR="003C29E1" w:rsidRPr="00695EA8" w:rsidRDefault="003C29E1" w:rsidP="003C29E1">
      <w:pPr>
        <w:pStyle w:val="NormalWeb"/>
        <w:spacing w:before="240" w:beforeAutospacing="0" w:after="300" w:afterAutospacing="0"/>
      </w:pPr>
      <w:r w:rsidRPr="00695EA8">
        <w:rPr>
          <w:b/>
          <w:bCs/>
          <w:color w:val="000000"/>
        </w:rPr>
        <w:t xml:space="preserve">120 </w:t>
      </w:r>
      <w:r w:rsidRPr="00695EA8">
        <w:rPr>
          <w:color w:val="000000"/>
        </w:rPr>
        <w:t>(1) On the hearing of an appeal against a conviction or against a finding as to the ability, because of mental disorder, to conduct a defence, the court by order,</w:t>
      </w:r>
    </w:p>
    <w:p w14:paraId="491F69E8" w14:textId="77777777" w:rsidR="00E3740B" w:rsidRDefault="003C29E1" w:rsidP="00E3740B">
      <w:pPr>
        <w:pStyle w:val="NormalWeb"/>
        <w:spacing w:before="240" w:beforeAutospacing="0" w:after="120" w:afterAutospacing="0"/>
        <w:ind w:left="720" w:hanging="360"/>
        <w:rPr>
          <w:color w:val="000000"/>
        </w:rPr>
      </w:pPr>
      <w:r w:rsidRPr="00695EA8">
        <w:rPr>
          <w:color w:val="000000"/>
        </w:rPr>
        <w:t>(a) may allow the appeal where it is of the opinion that,</w:t>
      </w:r>
    </w:p>
    <w:p w14:paraId="3CBE55E0" w14:textId="7CD55061" w:rsidR="00E3740B" w:rsidRDefault="00E3740B" w:rsidP="00E3740B">
      <w:pPr>
        <w:pStyle w:val="NormalWeb"/>
        <w:spacing w:before="240" w:beforeAutospacing="0" w:after="120" w:afterAutospacing="0"/>
        <w:ind w:left="720"/>
        <w:rPr>
          <w:color w:val="000000"/>
        </w:rPr>
      </w:pPr>
      <w:r w:rsidRPr="00695EA8">
        <w:rPr>
          <w:color w:val="000000"/>
        </w:rPr>
        <w:lastRenderedPageBreak/>
        <w:t>(i) the finding should be set aside on the ground that it is unreasonable or cannot be supported by the evidence,</w:t>
      </w:r>
    </w:p>
    <w:p w14:paraId="67A29C5A" w14:textId="18723552" w:rsidR="00E3740B" w:rsidRDefault="00E3740B" w:rsidP="00E3740B">
      <w:pPr>
        <w:pStyle w:val="NormalWeb"/>
        <w:spacing w:before="240" w:beforeAutospacing="0" w:after="120" w:afterAutospacing="0"/>
        <w:ind w:left="720"/>
        <w:rPr>
          <w:color w:val="000000"/>
        </w:rPr>
      </w:pPr>
      <w:r w:rsidRPr="00E3740B">
        <w:rPr>
          <w:color w:val="000000"/>
        </w:rPr>
        <w:t>(ii</w:t>
      </w:r>
      <w:r>
        <w:rPr>
          <w:color w:val="000000"/>
        </w:rPr>
        <w:t xml:space="preserve">) </w:t>
      </w:r>
      <w:r w:rsidRPr="00E3740B">
        <w:rPr>
          <w:color w:val="000000"/>
        </w:rPr>
        <w:t>the judgment of the trial court should be set aside on the ground of a wrong decision on a question of law, or</w:t>
      </w:r>
    </w:p>
    <w:p w14:paraId="394A3622" w14:textId="746AD766" w:rsidR="00E3740B" w:rsidRDefault="00E3740B" w:rsidP="00E3740B">
      <w:pPr>
        <w:pStyle w:val="NormalWeb"/>
        <w:spacing w:before="240" w:beforeAutospacing="0" w:after="120" w:afterAutospacing="0"/>
        <w:ind w:left="720"/>
        <w:rPr>
          <w:color w:val="000000"/>
        </w:rPr>
      </w:pPr>
      <w:r w:rsidRPr="00E3740B">
        <w:rPr>
          <w:color w:val="000000"/>
        </w:rPr>
        <w:t>(iii)</w:t>
      </w:r>
      <w:r>
        <w:rPr>
          <w:color w:val="000000"/>
        </w:rPr>
        <w:t xml:space="preserve"> </w:t>
      </w:r>
      <w:r w:rsidRPr="00E3740B">
        <w:rPr>
          <w:color w:val="000000"/>
        </w:rPr>
        <w:t>on any ground, there was a miscarriage of justice; or</w:t>
      </w:r>
    </w:p>
    <w:p w14:paraId="70EBA6CA" w14:textId="77777777" w:rsidR="00C75A20" w:rsidRDefault="00E3740B" w:rsidP="00C75A20">
      <w:pPr>
        <w:pStyle w:val="NormalWeb"/>
        <w:spacing w:before="240" w:beforeAutospacing="0" w:after="120" w:afterAutospacing="0"/>
        <w:ind w:left="720" w:hanging="360"/>
      </w:pPr>
      <w:r>
        <w:t xml:space="preserve">(b) may dismiss the appeal where </w:t>
      </w:r>
    </w:p>
    <w:p w14:paraId="428443E4" w14:textId="77777777" w:rsidR="00C75A20" w:rsidRDefault="00E3740B" w:rsidP="00C75A20">
      <w:pPr>
        <w:pStyle w:val="NormalWeb"/>
        <w:spacing w:before="240" w:beforeAutospacing="0" w:after="120" w:afterAutospacing="0"/>
        <w:ind w:left="720"/>
      </w:pPr>
      <w:r w:rsidRPr="00E3740B">
        <w:rPr>
          <w:color w:val="000000"/>
        </w:rPr>
        <w:t>(i)</w:t>
      </w:r>
      <w:r>
        <w:rPr>
          <w:color w:val="000000"/>
        </w:rPr>
        <w:t xml:space="preserve"> </w:t>
      </w:r>
      <w:r w:rsidRPr="00E3740B">
        <w:rPr>
          <w:color w:val="000000"/>
        </w:rPr>
        <w:t>the court is of the opinion that the appellant, although the appellant was not properly convicted on a count or part of an information, was properly convicted on another count or part of the information,</w:t>
      </w:r>
    </w:p>
    <w:p w14:paraId="1260BF9B" w14:textId="77777777" w:rsidR="00C75A20" w:rsidRDefault="00E3740B" w:rsidP="00C75A20">
      <w:pPr>
        <w:pStyle w:val="NormalWeb"/>
        <w:spacing w:before="240" w:beforeAutospacing="0" w:after="120" w:afterAutospacing="0"/>
        <w:ind w:left="720"/>
      </w:pPr>
      <w:r w:rsidRPr="00E3740B">
        <w:rPr>
          <w:color w:val="000000"/>
        </w:rPr>
        <w:t>(ii) the appeal is not decided in favour of the appellant on any ground mentioned in clause (a), or</w:t>
      </w:r>
    </w:p>
    <w:p w14:paraId="4D05647F" w14:textId="7E18A437" w:rsidR="00E3740B" w:rsidRDefault="00E3740B" w:rsidP="00C75A20">
      <w:pPr>
        <w:pStyle w:val="NormalWeb"/>
        <w:spacing w:before="240" w:beforeAutospacing="0" w:after="120" w:afterAutospacing="0"/>
        <w:ind w:left="720"/>
        <w:rPr>
          <w:color w:val="000000"/>
        </w:rPr>
      </w:pPr>
      <w:r w:rsidRPr="00E3740B">
        <w:rPr>
          <w:color w:val="000000"/>
        </w:rPr>
        <w:t>(iii) although the court is of the opinion that on any ground mentioned in subclause (a) (ii) the appeal might be decided in favour of the appellant, it is of the opinion that no substantial wrong or miscarriage of justice has occurred.</w:t>
      </w:r>
    </w:p>
    <w:p w14:paraId="26E391C4" w14:textId="77777777" w:rsidR="00C75A20" w:rsidRPr="00C75A20" w:rsidRDefault="00C75A20" w:rsidP="00C75A20">
      <w:pPr>
        <w:pStyle w:val="NormalWeb"/>
        <w:spacing w:before="240" w:beforeAutospacing="0" w:after="120" w:afterAutospacing="0"/>
        <w:ind w:left="720"/>
      </w:pPr>
    </w:p>
    <w:p w14:paraId="5E1E433D" w14:textId="77777777" w:rsidR="003C29E1" w:rsidRPr="00695EA8" w:rsidRDefault="003C29E1" w:rsidP="003C29E1">
      <w:pPr>
        <w:pStyle w:val="NormalWeb"/>
        <w:spacing w:before="240" w:beforeAutospacing="0" w:after="300" w:afterAutospacing="0"/>
        <w:jc w:val="center"/>
        <w:rPr>
          <w:b/>
          <w:bCs/>
        </w:rPr>
      </w:pPr>
      <w:r w:rsidRPr="00695EA8">
        <w:rPr>
          <w:b/>
          <w:bCs/>
          <w:i/>
          <w:iCs/>
          <w:color w:val="000000"/>
        </w:rPr>
        <w:t xml:space="preserve">Protect Ontario by Unleashing our Economy Act, </w:t>
      </w:r>
      <w:r w:rsidRPr="00695EA8">
        <w:rPr>
          <w:b/>
          <w:bCs/>
          <w:color w:val="000000"/>
        </w:rPr>
        <w:t>SO 2025, c 4</w:t>
      </w:r>
      <w:r>
        <w:rPr>
          <w:b/>
          <w:bCs/>
          <w:color w:val="000000"/>
        </w:rPr>
        <w:t>, s 1(2), 1(3).</w:t>
      </w:r>
    </w:p>
    <w:p w14:paraId="4A0652E7" w14:textId="77777777" w:rsidR="003C29E1" w:rsidRPr="00695EA8" w:rsidRDefault="003C29E1" w:rsidP="003C29E1">
      <w:pPr>
        <w:pStyle w:val="NormalWeb"/>
        <w:spacing w:before="0" w:beforeAutospacing="0" w:after="0" w:afterAutospacing="0"/>
        <w:jc w:val="center"/>
      </w:pPr>
      <w:r w:rsidRPr="00695EA8">
        <w:rPr>
          <w:b/>
          <w:bCs/>
          <w:color w:val="000000"/>
        </w:rPr>
        <w:t>SCHEDULE 2</w:t>
      </w:r>
    </w:p>
    <w:p w14:paraId="6FA7364A" w14:textId="77777777" w:rsidR="003C29E1" w:rsidRPr="00695EA8" w:rsidRDefault="003C29E1" w:rsidP="003C29E1">
      <w:pPr>
        <w:pStyle w:val="NormalWeb"/>
        <w:spacing w:before="0" w:beforeAutospacing="0" w:after="0" w:afterAutospacing="0"/>
        <w:jc w:val="center"/>
      </w:pPr>
      <w:r w:rsidRPr="00695EA8">
        <w:rPr>
          <w:b/>
          <w:bCs/>
          <w:color w:val="000000"/>
        </w:rPr>
        <w:t>ENDANGERED SPECIES ACT, 2007</w:t>
      </w:r>
    </w:p>
    <w:p w14:paraId="7CDAB4EF" w14:textId="2C2BE41D" w:rsidR="003C29E1" w:rsidRPr="00035163" w:rsidRDefault="003C29E1" w:rsidP="003C29E1">
      <w:pPr>
        <w:pStyle w:val="NormalWeb"/>
        <w:spacing w:before="240" w:beforeAutospacing="0" w:after="0" w:afterAutospacing="0"/>
        <w:jc w:val="both"/>
        <w:rPr>
          <w:b/>
          <w:bCs/>
        </w:rPr>
      </w:pPr>
      <w:r>
        <w:rPr>
          <w:b/>
          <w:bCs/>
          <w:color w:val="000000"/>
        </w:rPr>
        <w:t xml:space="preserve">1 </w:t>
      </w:r>
      <w:r w:rsidRPr="00695EA8">
        <w:rPr>
          <w:b/>
          <w:bCs/>
          <w:color w:val="000000"/>
        </w:rPr>
        <w:t>(</w:t>
      </w:r>
      <w:r w:rsidRPr="00695EA8">
        <w:rPr>
          <w:b/>
          <w:bCs/>
        </w:rPr>
        <w:t xml:space="preserve">2) </w:t>
      </w:r>
      <w:hyperlink r:id="rId16" w:anchor="sec1subsec2_smooth" w:history="1">
        <w:r w:rsidRPr="00695EA8">
          <w:rPr>
            <w:rStyle w:val="Hyperlink"/>
            <w:rFonts w:eastAsiaTheme="majorEastAsia"/>
            <w:b/>
            <w:bCs/>
            <w:color w:val="auto"/>
            <w:u w:val="none"/>
          </w:rPr>
          <w:t>Paragraphs 2</w:t>
        </w:r>
      </w:hyperlink>
      <w:r w:rsidRPr="00695EA8">
        <w:rPr>
          <w:b/>
          <w:bCs/>
        </w:rPr>
        <w:t xml:space="preserve"> and</w:t>
      </w:r>
      <w:hyperlink r:id="rId17" w:anchor="sec1subsec3_smooth" w:history="1">
        <w:r w:rsidRPr="00695EA8">
          <w:rPr>
            <w:rStyle w:val="Hyperlink"/>
            <w:rFonts w:eastAsiaTheme="majorEastAsia"/>
            <w:b/>
            <w:bCs/>
            <w:color w:val="auto"/>
            <w:u w:val="none"/>
          </w:rPr>
          <w:t xml:space="preserve"> 3</w:t>
        </w:r>
      </w:hyperlink>
      <w:r w:rsidRPr="00695EA8">
        <w:rPr>
          <w:b/>
          <w:bCs/>
        </w:rPr>
        <w:t xml:space="preserve"> of </w:t>
      </w:r>
      <w:hyperlink r:id="rId18" w:anchor="sec1_smooth" w:history="1">
        <w:r w:rsidRPr="00695EA8">
          <w:rPr>
            <w:rStyle w:val="Hyperlink"/>
            <w:rFonts w:eastAsiaTheme="majorEastAsia"/>
            <w:b/>
            <w:bCs/>
            <w:color w:val="auto"/>
            <w:u w:val="none"/>
          </w:rPr>
          <w:t>section 1</w:t>
        </w:r>
      </w:hyperlink>
      <w:r w:rsidRPr="00695EA8">
        <w:rPr>
          <w:b/>
          <w:bCs/>
        </w:rPr>
        <w:t xml:space="preserve"> (Purposes) of the Act are repealed and the following substituted:</w:t>
      </w:r>
    </w:p>
    <w:p w14:paraId="6D5C1EFF" w14:textId="77777777" w:rsidR="003C29E1" w:rsidRPr="00035163" w:rsidRDefault="003C29E1" w:rsidP="003C29E1">
      <w:pPr>
        <w:pStyle w:val="NormalWeb"/>
        <w:spacing w:before="240" w:beforeAutospacing="0" w:after="0" w:afterAutospacing="0"/>
        <w:ind w:left="540"/>
        <w:jc w:val="both"/>
        <w:rPr>
          <w:color w:val="000000"/>
        </w:rPr>
      </w:pPr>
      <w:r w:rsidRPr="00695EA8">
        <w:t xml:space="preserve">2.  To provide </w:t>
      </w:r>
      <w:r w:rsidRPr="00695EA8">
        <w:rPr>
          <w:color w:val="000000"/>
        </w:rPr>
        <w:t>for the protection and conservation of species at risk while taking into account social and economic considerations including the need for sustainable economic growth in Ontario.</w:t>
      </w:r>
    </w:p>
    <w:p w14:paraId="021E0551" w14:textId="77777777" w:rsidR="003C29E1" w:rsidRPr="00035163" w:rsidRDefault="003C29E1" w:rsidP="003C29E1">
      <w:pPr>
        <w:pStyle w:val="NormalWeb"/>
        <w:spacing w:before="240" w:beforeAutospacing="0" w:after="0" w:afterAutospacing="0"/>
        <w:jc w:val="both"/>
        <w:rPr>
          <w:b/>
          <w:bCs/>
          <w:color w:val="000000"/>
        </w:rPr>
      </w:pPr>
      <w:r w:rsidRPr="00695EA8">
        <w:rPr>
          <w:b/>
          <w:bCs/>
          <w:color w:val="000000"/>
        </w:rPr>
        <w:t>(3) The definition of “habitat” in subsection 2 (1) of the Act is repealed and the following substituted:</w:t>
      </w:r>
    </w:p>
    <w:p w14:paraId="54BE9E76" w14:textId="77777777" w:rsidR="003C29E1" w:rsidRPr="00695EA8" w:rsidRDefault="003C29E1" w:rsidP="003C29E1">
      <w:pPr>
        <w:pStyle w:val="NormalWeb"/>
        <w:spacing w:before="240" w:beforeAutospacing="0" w:after="0" w:afterAutospacing="0"/>
        <w:ind w:left="180"/>
        <w:jc w:val="both"/>
      </w:pPr>
      <w:r w:rsidRPr="00695EA8">
        <w:rPr>
          <w:color w:val="000000"/>
        </w:rPr>
        <w:t>“habitat” means, subject to subsection (3),</w:t>
      </w:r>
    </w:p>
    <w:p w14:paraId="2FD1EAE3" w14:textId="77777777" w:rsidR="003C29E1" w:rsidRPr="00695EA8" w:rsidRDefault="003C29E1" w:rsidP="003C29E1">
      <w:pPr>
        <w:pStyle w:val="NormalWeb"/>
        <w:spacing w:before="240" w:beforeAutospacing="0" w:after="0" w:afterAutospacing="0"/>
        <w:ind w:left="540"/>
        <w:jc w:val="both"/>
      </w:pPr>
      <w:r w:rsidRPr="00695EA8">
        <w:rPr>
          <w:color w:val="000000"/>
        </w:rPr>
        <w:t>(a)  in respect of an animal species,</w:t>
      </w:r>
    </w:p>
    <w:p w14:paraId="232CE507" w14:textId="77777777" w:rsidR="003C29E1" w:rsidRPr="00695EA8" w:rsidRDefault="003C29E1" w:rsidP="003C29E1">
      <w:pPr>
        <w:pStyle w:val="NormalWeb"/>
        <w:spacing w:before="240" w:beforeAutospacing="0" w:after="0" w:afterAutospacing="0"/>
        <w:ind w:left="960"/>
        <w:jc w:val="both"/>
      </w:pPr>
      <w:r w:rsidRPr="00695EA8">
        <w:rPr>
          <w:color w:val="000000"/>
        </w:rPr>
        <w:t>(i)  a dwelling-place, such as a den, nest or other similar place, that is occupied or habitually occupied by one or more members of a species for the purposes of breeding, rearing, staging, wintering or hibernating, and</w:t>
      </w:r>
    </w:p>
    <w:p w14:paraId="0C5AF9DD" w14:textId="77777777" w:rsidR="003C29E1" w:rsidRPr="00695EA8" w:rsidRDefault="003C29E1" w:rsidP="003C29E1">
      <w:pPr>
        <w:pStyle w:val="NormalWeb"/>
        <w:spacing w:before="240" w:beforeAutospacing="0" w:after="0" w:afterAutospacing="0"/>
        <w:ind w:left="960"/>
        <w:jc w:val="both"/>
      </w:pPr>
      <w:r w:rsidRPr="00695EA8">
        <w:rPr>
          <w:color w:val="000000"/>
        </w:rPr>
        <w:t>(ii)  the area immediately around a dwelling place described in subclause (i) that is essential for the purposes set out in that subclause.</w:t>
      </w:r>
    </w:p>
    <w:p w14:paraId="19304F3B" w14:textId="77777777" w:rsidR="003C29E1" w:rsidRPr="00695EA8" w:rsidRDefault="003C29E1" w:rsidP="003C29E1">
      <w:pPr>
        <w:pStyle w:val="NormalWeb"/>
        <w:spacing w:before="240" w:beforeAutospacing="0" w:after="0" w:afterAutospacing="0"/>
        <w:ind w:left="540"/>
        <w:jc w:val="both"/>
      </w:pPr>
      <w:r w:rsidRPr="00695EA8">
        <w:rPr>
          <w:color w:val="000000"/>
        </w:rPr>
        <w:lastRenderedPageBreak/>
        <w:t>(b)  in respect of a vascular plant species, the critical root zone surrounding a member of the species, and</w:t>
      </w:r>
    </w:p>
    <w:p w14:paraId="6D5C49E5" w14:textId="77777777" w:rsidR="003C29E1" w:rsidRPr="00695EA8" w:rsidRDefault="003C29E1" w:rsidP="003C29E1">
      <w:pPr>
        <w:pStyle w:val="NormalWeb"/>
        <w:spacing w:before="240" w:beforeAutospacing="0" w:after="0" w:afterAutospacing="0"/>
        <w:ind w:left="540"/>
        <w:jc w:val="both"/>
      </w:pPr>
      <w:r w:rsidRPr="00695EA8">
        <w:rPr>
          <w:color w:val="000000"/>
        </w:rPr>
        <w:t>(c)  in respect of all other species, an area on which any member of a species directly depends in order to carry on its life processes; (“habitat”)</w:t>
      </w:r>
    </w:p>
    <w:p w14:paraId="51FBFED2" w14:textId="77777777" w:rsidR="003C29E1" w:rsidRPr="003C29E1" w:rsidRDefault="003C29E1" w:rsidP="003C29E1"/>
    <w:p w14:paraId="1B26E2C0" w14:textId="77777777" w:rsidR="00A85602" w:rsidRDefault="00A85602" w:rsidP="00497CA4"/>
    <w:p w14:paraId="3DD598C5" w14:textId="77777777" w:rsidR="000623D3" w:rsidRDefault="000623D3" w:rsidP="00497CA4">
      <w:pPr>
        <w:sectPr w:rsidR="000623D3" w:rsidSect="00BD5B4A">
          <w:pgSz w:w="12240" w:h="15840" w:code="1"/>
          <w:pgMar w:top="1440" w:right="1440" w:bottom="1440" w:left="1440" w:header="720" w:footer="720" w:gutter="0"/>
          <w:pgNumType w:start="1"/>
          <w:cols w:space="720"/>
          <w:docGrid w:linePitch="360"/>
        </w:sectPr>
      </w:pPr>
    </w:p>
    <w:tbl>
      <w:tblPr>
        <w:tblW w:w="5000" w:type="pct"/>
        <w:tblLayout w:type="fixed"/>
        <w:tblCellMar>
          <w:left w:w="0" w:type="dxa"/>
          <w:right w:w="0" w:type="dxa"/>
        </w:tblCellMar>
        <w:tblLook w:val="0000" w:firstRow="0" w:lastRow="0" w:firstColumn="0" w:lastColumn="0" w:noHBand="0" w:noVBand="0"/>
      </w:tblPr>
      <w:tblGrid>
        <w:gridCol w:w="5941"/>
        <w:gridCol w:w="1105"/>
        <w:gridCol w:w="5914"/>
      </w:tblGrid>
      <w:tr w:rsidR="00663B7A" w14:paraId="68AC1881" w14:textId="77777777" w:rsidTr="00663B7A">
        <w:tc>
          <w:tcPr>
            <w:tcW w:w="5941" w:type="dxa"/>
            <w:tcBorders>
              <w:top w:val="nil"/>
              <w:left w:val="nil"/>
              <w:bottom w:val="nil"/>
              <w:right w:val="nil"/>
            </w:tcBorders>
          </w:tcPr>
          <w:p w14:paraId="4652A02C" w14:textId="053519BA" w:rsidR="002F3DDD" w:rsidRPr="003F436A" w:rsidRDefault="00E91273" w:rsidP="00497CA4">
            <w:pPr>
              <w:spacing w:line="1" w:lineRule="atLeast"/>
              <w:rPr>
                <w:rStyle w:val="Bold"/>
              </w:rPr>
            </w:pPr>
            <w:r>
              <w:rPr>
                <w:rStyle w:val="Bold"/>
              </w:rPr>
              <w:lastRenderedPageBreak/>
              <w:t>HIS MAJESTY THE KING</w:t>
            </w:r>
          </w:p>
        </w:tc>
        <w:tc>
          <w:tcPr>
            <w:tcW w:w="1105" w:type="dxa"/>
            <w:tcBorders>
              <w:top w:val="nil"/>
              <w:left w:val="nil"/>
              <w:bottom w:val="nil"/>
              <w:right w:val="nil"/>
            </w:tcBorders>
          </w:tcPr>
          <w:p w14:paraId="6AD79352" w14:textId="77777777" w:rsidR="00663B7A" w:rsidRDefault="00663B7A" w:rsidP="00497CA4">
            <w:pPr>
              <w:spacing w:line="1" w:lineRule="atLeast"/>
              <w:ind w:left="-479"/>
              <w:jc w:val="center"/>
              <w:rPr>
                <w:b/>
                <w:color w:val="000000"/>
              </w:rPr>
            </w:pPr>
            <w:r>
              <w:rPr>
                <w:b/>
                <w:color w:val="000000"/>
              </w:rPr>
              <w:t>-and-</w:t>
            </w:r>
          </w:p>
        </w:tc>
        <w:tc>
          <w:tcPr>
            <w:tcW w:w="5914" w:type="dxa"/>
            <w:tcBorders>
              <w:top w:val="nil"/>
              <w:left w:val="nil"/>
              <w:bottom w:val="nil"/>
              <w:right w:val="nil"/>
            </w:tcBorders>
          </w:tcPr>
          <w:p w14:paraId="6B3B9ABC" w14:textId="7113FE9F" w:rsidR="00663B7A" w:rsidRDefault="00E91273" w:rsidP="00497CA4">
            <w:pPr>
              <w:spacing w:line="1" w:lineRule="atLeast"/>
              <w:jc w:val="right"/>
              <w:rPr>
                <w:b/>
                <w:color w:val="000000"/>
              </w:rPr>
            </w:pPr>
            <w:r>
              <w:rPr>
                <w:b/>
                <w:color w:val="000000"/>
              </w:rPr>
              <w:t>CONSOLIDATED HOMES</w:t>
            </w:r>
            <w:r w:rsidR="00E052B6" w:rsidRPr="00B30077">
              <w:rPr>
                <w:b/>
                <w:color w:val="000000"/>
              </w:rPr>
              <w:t xml:space="preserve"> LTD.</w:t>
            </w:r>
          </w:p>
        </w:tc>
      </w:tr>
      <w:tr w:rsidR="00663B7A" w14:paraId="5627B7E1" w14:textId="77777777" w:rsidTr="00663B7A">
        <w:tc>
          <w:tcPr>
            <w:tcW w:w="5941" w:type="dxa"/>
            <w:tcBorders>
              <w:top w:val="nil"/>
              <w:left w:val="nil"/>
              <w:bottom w:val="nil"/>
              <w:right w:val="nil"/>
            </w:tcBorders>
          </w:tcPr>
          <w:p w14:paraId="2D34F098" w14:textId="6128A87E" w:rsidR="00663B7A" w:rsidRDefault="00663B7A" w:rsidP="00497CA4">
            <w:pPr>
              <w:spacing w:line="1" w:lineRule="atLeast"/>
              <w:rPr>
                <w:color w:val="000000"/>
              </w:rPr>
            </w:pPr>
            <w:r>
              <w:rPr>
                <w:color w:val="000000"/>
              </w:rPr>
              <w:t>APPELLANT</w:t>
            </w:r>
            <w:r>
              <w:rPr>
                <w:color w:val="000000"/>
              </w:rPr>
              <w:br/>
            </w:r>
          </w:p>
        </w:tc>
        <w:tc>
          <w:tcPr>
            <w:tcW w:w="1105" w:type="dxa"/>
            <w:tcBorders>
              <w:top w:val="nil"/>
              <w:left w:val="nil"/>
              <w:bottom w:val="nil"/>
              <w:right w:val="nil"/>
            </w:tcBorders>
          </w:tcPr>
          <w:p w14:paraId="62FEC7FD" w14:textId="77777777" w:rsidR="00663B7A" w:rsidRDefault="00663B7A" w:rsidP="00497CA4">
            <w:pPr>
              <w:spacing w:line="1" w:lineRule="atLeast"/>
              <w:jc w:val="center"/>
              <w:rPr>
                <w:color w:val="000000"/>
              </w:rPr>
            </w:pPr>
          </w:p>
        </w:tc>
        <w:tc>
          <w:tcPr>
            <w:tcW w:w="5914" w:type="dxa"/>
            <w:tcBorders>
              <w:top w:val="nil"/>
              <w:left w:val="nil"/>
              <w:bottom w:val="nil"/>
              <w:right w:val="nil"/>
            </w:tcBorders>
          </w:tcPr>
          <w:p w14:paraId="634B2DC5" w14:textId="312DA9C4" w:rsidR="00663B7A" w:rsidRDefault="00CE6DCA" w:rsidP="00497CA4">
            <w:pPr>
              <w:spacing w:line="1" w:lineRule="atLeast"/>
              <w:jc w:val="right"/>
              <w:rPr>
                <w:color w:val="000000"/>
              </w:rPr>
            </w:pPr>
            <w:r>
              <w:rPr>
                <w:color w:val="000000"/>
              </w:rPr>
              <w:t>RESPONDENT</w:t>
            </w:r>
            <w:r>
              <w:rPr>
                <w:color w:val="000000"/>
              </w:rPr>
              <w:br/>
            </w:r>
          </w:p>
        </w:tc>
      </w:tr>
    </w:tbl>
    <w:p w14:paraId="4CC6205C" w14:textId="2AB43AAB" w:rsidR="00663B7A" w:rsidRDefault="00C606E4" w:rsidP="00497CA4">
      <w:pPr>
        <w:jc w:val="right"/>
        <w:rPr>
          <w:noProof/>
        </w:rPr>
      </w:pPr>
      <w:r>
        <w:t>S.</w:t>
      </w:r>
      <w:r w:rsidR="00896769">
        <w:t>E.M.C.C. File Number: 0</w:t>
      </w:r>
      <w:r w:rsidR="00E052B6">
        <w:t>2</w:t>
      </w:r>
      <w:r w:rsidR="00896769">
        <w:t>-</w:t>
      </w:r>
      <w:r w:rsidR="00E91273">
        <w:t>14</w:t>
      </w:r>
      <w:r w:rsidR="00896769">
        <w:t>-</w:t>
      </w:r>
      <w:r w:rsidR="00915A04">
        <w:t>202</w:t>
      </w:r>
      <w:r w:rsidR="00E91273">
        <w:t>6</w:t>
      </w:r>
    </w:p>
    <w:tbl>
      <w:tblPr>
        <w:tblW w:w="13230" w:type="dxa"/>
        <w:tblInd w:w="-72" w:type="dxa"/>
        <w:tblLayout w:type="fixed"/>
        <w:tblLook w:val="0000" w:firstRow="0" w:lastRow="0" w:firstColumn="0" w:lastColumn="0" w:noHBand="0" w:noVBand="0"/>
      </w:tblPr>
      <w:tblGrid>
        <w:gridCol w:w="8729"/>
        <w:gridCol w:w="4501"/>
      </w:tblGrid>
      <w:tr w:rsidR="00663B7A" w14:paraId="2BFF4952" w14:textId="77777777" w:rsidTr="00EF7E0B">
        <w:trPr>
          <w:cantSplit/>
          <w:trHeight w:val="1065"/>
        </w:trPr>
        <w:tc>
          <w:tcPr>
            <w:tcW w:w="8729" w:type="dxa"/>
            <w:vMerge w:val="restart"/>
            <w:tcBorders>
              <w:top w:val="single" w:sz="6" w:space="0" w:color="auto"/>
              <w:left w:val="nil"/>
              <w:bottom w:val="nil"/>
              <w:right w:val="nil"/>
            </w:tcBorders>
          </w:tcPr>
          <w:p w14:paraId="67D4394B" w14:textId="77777777" w:rsidR="00663B7A" w:rsidRDefault="00663B7A" w:rsidP="00497CA4">
            <w:pPr>
              <w:rPr>
                <w:noProof/>
              </w:rPr>
            </w:pPr>
          </w:p>
          <w:p w14:paraId="53A6E436" w14:textId="77777777" w:rsidR="00663B7A" w:rsidRDefault="00663B7A" w:rsidP="00497CA4">
            <w:pPr>
              <w:rPr>
                <w:noProof/>
              </w:rPr>
            </w:pPr>
          </w:p>
        </w:tc>
        <w:tc>
          <w:tcPr>
            <w:tcW w:w="4501" w:type="dxa"/>
            <w:tcBorders>
              <w:top w:val="single" w:sz="6" w:space="0" w:color="auto"/>
              <w:left w:val="single" w:sz="6" w:space="0" w:color="auto"/>
              <w:bottom w:val="double" w:sz="4" w:space="0" w:color="auto"/>
              <w:right w:val="nil"/>
            </w:tcBorders>
          </w:tcPr>
          <w:p w14:paraId="448DD005" w14:textId="77777777" w:rsidR="00663B7A" w:rsidRPr="00287298" w:rsidRDefault="00663B7A" w:rsidP="00497CA4">
            <w:pPr>
              <w:jc w:val="center"/>
              <w:rPr>
                <w:noProof/>
              </w:rPr>
            </w:pPr>
          </w:p>
          <w:p w14:paraId="0F7238F2" w14:textId="77777777" w:rsidR="00663B7A" w:rsidRPr="00287298" w:rsidRDefault="00663B7A" w:rsidP="00497CA4">
            <w:pPr>
              <w:pStyle w:val="TitleBold"/>
              <w:rPr>
                <w:b w:val="0"/>
                <w:sz w:val="24"/>
              </w:rPr>
            </w:pPr>
            <w:r w:rsidRPr="00287298">
              <w:rPr>
                <w:b w:val="0"/>
                <w:sz w:val="24"/>
              </w:rPr>
              <w:t>SUPREME ENVIRONMENTAL MOOT COURT OF CANADA</w:t>
            </w:r>
            <w:r w:rsidRPr="00287298">
              <w:rPr>
                <w:noProof/>
                <w:sz w:val="24"/>
              </w:rPr>
              <w:br/>
            </w:r>
          </w:p>
        </w:tc>
      </w:tr>
      <w:tr w:rsidR="00663B7A" w14:paraId="65A63C80" w14:textId="77777777" w:rsidTr="00EF6D27">
        <w:trPr>
          <w:cantSplit/>
          <w:trHeight w:val="1221"/>
        </w:trPr>
        <w:tc>
          <w:tcPr>
            <w:tcW w:w="8729" w:type="dxa"/>
            <w:vMerge/>
            <w:tcBorders>
              <w:top w:val="nil"/>
              <w:left w:val="nil"/>
              <w:bottom w:val="nil"/>
              <w:right w:val="nil"/>
            </w:tcBorders>
          </w:tcPr>
          <w:p w14:paraId="7BACAB79" w14:textId="77777777" w:rsidR="00663B7A" w:rsidRDefault="00663B7A" w:rsidP="00497CA4">
            <w:pPr>
              <w:rPr>
                <w:noProof/>
              </w:rPr>
            </w:pPr>
          </w:p>
        </w:tc>
        <w:tc>
          <w:tcPr>
            <w:tcW w:w="4501" w:type="dxa"/>
            <w:tcBorders>
              <w:top w:val="double" w:sz="4" w:space="0" w:color="auto"/>
              <w:left w:val="single" w:sz="6" w:space="0" w:color="auto"/>
              <w:bottom w:val="double" w:sz="4" w:space="0" w:color="auto"/>
              <w:right w:val="nil"/>
            </w:tcBorders>
          </w:tcPr>
          <w:p w14:paraId="2A3B353F" w14:textId="77777777" w:rsidR="00663B7A" w:rsidRPr="00287298" w:rsidRDefault="00663B7A" w:rsidP="00497CA4">
            <w:pPr>
              <w:jc w:val="center"/>
              <w:rPr>
                <w:b/>
                <w:bCs/>
                <w:noProof/>
              </w:rPr>
            </w:pPr>
          </w:p>
          <w:p w14:paraId="3C768821" w14:textId="77777777" w:rsidR="00663B7A" w:rsidRPr="00287298" w:rsidRDefault="00663B7A" w:rsidP="00497CA4">
            <w:pPr>
              <w:jc w:val="center"/>
              <w:rPr>
                <w:b/>
                <w:bCs/>
                <w:noProof/>
              </w:rPr>
            </w:pPr>
            <w:r w:rsidRPr="00287298">
              <w:rPr>
                <w:b/>
                <w:bCs/>
                <w:noProof/>
              </w:rPr>
              <w:t xml:space="preserve">FACTUM OF THE </w:t>
            </w:r>
            <w:r w:rsidR="00EE2290" w:rsidRPr="00287298">
              <w:rPr>
                <w:b/>
                <w:bCs/>
                <w:noProof/>
              </w:rPr>
              <w:t>RESPONDENT</w:t>
            </w:r>
          </w:p>
          <w:p w14:paraId="4E9465D9" w14:textId="1D376E30" w:rsidR="00C300C4" w:rsidRDefault="00E91273" w:rsidP="00497CA4">
            <w:pPr>
              <w:jc w:val="center"/>
              <w:rPr>
                <w:b/>
                <w:bCs/>
                <w:noProof/>
              </w:rPr>
            </w:pPr>
            <w:r>
              <w:rPr>
                <w:b/>
                <w:color w:val="000000"/>
              </w:rPr>
              <w:t>CONSOLIDATED HOMES</w:t>
            </w:r>
            <w:r w:rsidR="00E052B6" w:rsidRPr="00E052B6">
              <w:rPr>
                <w:b/>
                <w:color w:val="000000"/>
              </w:rPr>
              <w:t xml:space="preserve"> LTD.</w:t>
            </w:r>
          </w:p>
          <w:p w14:paraId="08A2B92A" w14:textId="77777777" w:rsidR="00890B0B" w:rsidRPr="005902D1" w:rsidRDefault="00890B0B" w:rsidP="00497CA4">
            <w:pPr>
              <w:jc w:val="center"/>
              <w:rPr>
                <w:b/>
                <w:bCs/>
                <w:noProof/>
              </w:rPr>
            </w:pPr>
          </w:p>
        </w:tc>
      </w:tr>
      <w:tr w:rsidR="00663B7A" w14:paraId="7951E9B4" w14:textId="77777777" w:rsidTr="00EE2290">
        <w:trPr>
          <w:trHeight w:val="4155"/>
        </w:trPr>
        <w:tc>
          <w:tcPr>
            <w:tcW w:w="8729" w:type="dxa"/>
            <w:vMerge/>
            <w:tcBorders>
              <w:top w:val="nil"/>
              <w:left w:val="nil"/>
              <w:bottom w:val="nil"/>
              <w:right w:val="nil"/>
            </w:tcBorders>
          </w:tcPr>
          <w:p w14:paraId="356BD5D7" w14:textId="77777777" w:rsidR="00663B7A" w:rsidRDefault="00663B7A" w:rsidP="00497CA4">
            <w:pPr>
              <w:rPr>
                <w:noProof/>
              </w:rPr>
            </w:pPr>
          </w:p>
        </w:tc>
        <w:tc>
          <w:tcPr>
            <w:tcW w:w="4501" w:type="dxa"/>
            <w:tcBorders>
              <w:top w:val="double" w:sz="4" w:space="0" w:color="auto"/>
              <w:left w:val="single" w:sz="6" w:space="0" w:color="auto"/>
              <w:bottom w:val="nil"/>
              <w:right w:val="nil"/>
            </w:tcBorders>
          </w:tcPr>
          <w:p w14:paraId="04F75CB2" w14:textId="77777777" w:rsidR="00663B7A" w:rsidRPr="00287298" w:rsidRDefault="00663B7A" w:rsidP="00497CA4">
            <w:pPr>
              <w:pStyle w:val="BodyText"/>
              <w:spacing w:before="0" w:after="0"/>
              <w:jc w:val="center"/>
              <w:rPr>
                <w:noProof/>
              </w:rPr>
            </w:pPr>
          </w:p>
          <w:p w14:paraId="20ABC5FF" w14:textId="3CDFFCBA" w:rsidR="00663B7A" w:rsidRPr="00287298" w:rsidRDefault="00663B7A" w:rsidP="00497CA4">
            <w:pPr>
              <w:widowControl w:val="0"/>
              <w:ind w:left="96"/>
              <w:jc w:val="center"/>
              <w:rPr>
                <w:b/>
                <w:bCs/>
              </w:rPr>
            </w:pPr>
            <w:r w:rsidRPr="00287298">
              <w:rPr>
                <w:b/>
                <w:bCs/>
              </w:rPr>
              <w:t>TEAM #</w:t>
            </w:r>
            <w:r w:rsidR="0034467F">
              <w:rPr>
                <w:b/>
                <w:bCs/>
              </w:rPr>
              <w:t xml:space="preserve"> </w:t>
            </w:r>
            <w:r w:rsidR="00407B8C">
              <w:rPr>
                <w:b/>
                <w:bCs/>
              </w:rPr>
              <w:t>2026-02</w:t>
            </w:r>
          </w:p>
          <w:p w14:paraId="78D79D5A" w14:textId="77777777" w:rsidR="00287298" w:rsidRPr="00287298" w:rsidRDefault="00287298" w:rsidP="00497CA4">
            <w:pPr>
              <w:widowControl w:val="0"/>
              <w:ind w:left="96"/>
              <w:jc w:val="center"/>
              <w:rPr>
                <w:b/>
                <w:bCs/>
              </w:rPr>
            </w:pPr>
          </w:p>
          <w:p w14:paraId="02BC7E1C" w14:textId="6CE71DC6" w:rsidR="00287298" w:rsidRPr="00287298" w:rsidRDefault="00407B8C" w:rsidP="00497CA4">
            <w:pPr>
              <w:widowControl w:val="0"/>
              <w:ind w:left="96"/>
              <w:jc w:val="center"/>
              <w:rPr>
                <w:b/>
                <w:bCs/>
              </w:rPr>
            </w:pPr>
            <w:r>
              <w:rPr>
                <w:b/>
                <w:bCs/>
              </w:rPr>
              <w:t>Kaitlin Schaaf</w:t>
            </w:r>
          </w:p>
          <w:p w14:paraId="1B1B12C4" w14:textId="77777777" w:rsidR="00407B8C" w:rsidRDefault="00407B8C" w:rsidP="00497CA4">
            <w:pPr>
              <w:widowControl w:val="0"/>
              <w:ind w:left="96"/>
              <w:jc w:val="center"/>
              <w:rPr>
                <w:b/>
                <w:bCs/>
              </w:rPr>
            </w:pPr>
          </w:p>
          <w:p w14:paraId="42B657B4" w14:textId="3DFFD855" w:rsidR="00287298" w:rsidRPr="00287298" w:rsidRDefault="00407B8C" w:rsidP="00497CA4">
            <w:pPr>
              <w:widowControl w:val="0"/>
              <w:ind w:left="96"/>
              <w:jc w:val="center"/>
              <w:rPr>
                <w:bCs/>
              </w:rPr>
            </w:pPr>
            <w:r>
              <w:rPr>
                <w:b/>
                <w:bCs/>
              </w:rPr>
              <w:t>Ruby Pyke</w:t>
            </w:r>
          </w:p>
          <w:p w14:paraId="684F74E5" w14:textId="77777777" w:rsidR="00287298" w:rsidRPr="00287298" w:rsidRDefault="00287298" w:rsidP="00497CA4">
            <w:pPr>
              <w:widowControl w:val="0"/>
              <w:ind w:left="96"/>
              <w:jc w:val="center"/>
              <w:rPr>
                <w:bCs/>
              </w:rPr>
            </w:pPr>
          </w:p>
          <w:p w14:paraId="4B447398" w14:textId="77777777" w:rsidR="00287298" w:rsidRPr="00287298" w:rsidRDefault="000B51BA" w:rsidP="00497CA4">
            <w:pPr>
              <w:widowControl w:val="0"/>
              <w:ind w:left="96"/>
              <w:jc w:val="center"/>
              <w:rPr>
                <w:bCs/>
              </w:rPr>
            </w:pPr>
            <w:r>
              <w:rPr>
                <w:bCs/>
              </w:rPr>
              <w:t>Counsel</w:t>
            </w:r>
            <w:r w:rsidR="00287298" w:rsidRPr="00287298">
              <w:rPr>
                <w:bCs/>
              </w:rPr>
              <w:t xml:space="preserve"> for the Respondent,</w:t>
            </w:r>
          </w:p>
          <w:p w14:paraId="32015CCD" w14:textId="302FA017" w:rsidR="00287298" w:rsidRPr="00287298" w:rsidRDefault="00E91273" w:rsidP="00497CA4">
            <w:pPr>
              <w:jc w:val="center"/>
              <w:rPr>
                <w:color w:val="000000"/>
              </w:rPr>
            </w:pPr>
            <w:r>
              <w:t>Consolidated Homes</w:t>
            </w:r>
            <w:r w:rsidR="00594299">
              <w:t xml:space="preserve"> Ltd.</w:t>
            </w:r>
          </w:p>
        </w:tc>
      </w:tr>
    </w:tbl>
    <w:p w14:paraId="72867BEF" w14:textId="2B8B50D9" w:rsidR="00501E7F" w:rsidRPr="00687CFB" w:rsidRDefault="00B30F48" w:rsidP="00497CA4">
      <w:pPr>
        <w:pStyle w:val="DocsID"/>
        <w:spacing w:before="0"/>
        <w:rPr>
          <w:rFonts w:ascii="Arial" w:hAnsi="Arial" w:cs="Arial"/>
        </w:rPr>
      </w:pPr>
      <w:bookmarkStart w:id="35" w:name="docsstamplast"/>
      <w:r w:rsidRPr="00687CFB">
        <w:rPr>
          <w:rFonts w:ascii="Arial" w:hAnsi="Arial" w:cs="Arial"/>
        </w:rPr>
        <w:t>Document #:</w:t>
      </w:r>
      <w:bookmarkEnd w:id="35"/>
      <w:r w:rsidR="00501E7F" w:rsidRPr="00687CFB">
        <w:rPr>
          <w:rFonts w:ascii="Arial" w:hAnsi="Arial" w:cs="Arial"/>
        </w:rPr>
        <w:fldChar w:fldCharType="begin"/>
      </w:r>
      <w:r w:rsidR="00501E7F" w:rsidRPr="00687CFB">
        <w:rPr>
          <w:rFonts w:ascii="Arial" w:hAnsi="Arial" w:cs="Arial"/>
        </w:rPr>
        <w:instrText xml:space="preserve"> DOCVARIABLE ndGeneratedStamp \* MERGEFORMAT </w:instrText>
      </w:r>
      <w:r w:rsidR="00501E7F" w:rsidRPr="00687CFB">
        <w:rPr>
          <w:rFonts w:ascii="Arial" w:hAnsi="Arial" w:cs="Arial"/>
        </w:rPr>
        <w:fldChar w:fldCharType="separate"/>
      </w:r>
      <w:r w:rsidR="00C85C02">
        <w:rPr>
          <w:rFonts w:ascii="Arial" w:hAnsi="Arial" w:cs="Arial"/>
        </w:rPr>
        <w:t>1374-7285-3275, v. 1</w:t>
      </w:r>
      <w:r w:rsidR="00501E7F" w:rsidRPr="00687CFB">
        <w:rPr>
          <w:rFonts w:ascii="Arial" w:hAnsi="Arial" w:cs="Arial"/>
        </w:rPr>
        <w:fldChar w:fldCharType="end"/>
      </w:r>
    </w:p>
    <w:sectPr w:rsidR="00501E7F" w:rsidRPr="00687CFB" w:rsidSect="000623D3">
      <w:pgSz w:w="15840" w:h="12240" w:orient="landscape" w:code="1"/>
      <w:pgMar w:top="1440" w:right="1440" w:bottom="1440" w:left="144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108F" w14:textId="77777777" w:rsidR="008C54D8" w:rsidRDefault="008C54D8" w:rsidP="00FC1F68">
      <w:r>
        <w:separator/>
      </w:r>
    </w:p>
  </w:endnote>
  <w:endnote w:type="continuationSeparator" w:id="0">
    <w:p w14:paraId="659CD292" w14:textId="77777777" w:rsidR="008C54D8" w:rsidRDefault="008C54D8" w:rsidP="00FC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7272443"/>
      <w:docPartObj>
        <w:docPartGallery w:val="Page Numbers (Bottom of Page)"/>
        <w:docPartUnique/>
      </w:docPartObj>
    </w:sdtPr>
    <w:sdtEndPr>
      <w:rPr>
        <w:rStyle w:val="PageNumber"/>
      </w:rPr>
    </w:sdtEndPr>
    <w:sdtContent>
      <w:p w14:paraId="62620960" w14:textId="56EEEB81" w:rsidR="00441021" w:rsidRDefault="00441021" w:rsidP="00D75EB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64F064F" w14:textId="77777777" w:rsidR="00441021" w:rsidRDefault="00441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5F83" w14:textId="0892251B" w:rsidR="007C43C1" w:rsidRDefault="007C43C1" w:rsidP="007C43C1">
    <w:pPr>
      <w:pStyle w:val="Footer"/>
      <w:jc w:val="center"/>
      <w:rPr>
        <w:lang w:val="en-CA"/>
      </w:rPr>
    </w:pPr>
  </w:p>
  <w:p w14:paraId="7B2B54A0" w14:textId="77777777" w:rsidR="00BD5B4A" w:rsidRPr="00BD5B4A" w:rsidRDefault="00BD5B4A" w:rsidP="007C43C1">
    <w:pPr>
      <w:pStyle w:val="Footer"/>
      <w:jc w:val="cen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FEA4" w14:textId="77777777" w:rsidR="008C54D8" w:rsidRDefault="008C54D8" w:rsidP="00FC1F68">
      <w:r>
        <w:separator/>
      </w:r>
    </w:p>
  </w:footnote>
  <w:footnote w:type="continuationSeparator" w:id="0">
    <w:p w14:paraId="24A00D00" w14:textId="77777777" w:rsidR="008C54D8" w:rsidRDefault="008C54D8" w:rsidP="00FC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078455"/>
      <w:docPartObj>
        <w:docPartGallery w:val="Page Numbers (Top of Page)"/>
        <w:docPartUnique/>
      </w:docPartObj>
    </w:sdtPr>
    <w:sdtEndPr>
      <w:rPr>
        <w:rStyle w:val="PageNumber"/>
      </w:rPr>
    </w:sdtEndPr>
    <w:sdtContent>
      <w:p w14:paraId="5455A368" w14:textId="3D8E8693" w:rsidR="00BD5B4A" w:rsidRDefault="00BD5B4A" w:rsidP="00BD5B4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BF1357" w14:textId="77777777" w:rsidR="00BD5B4A" w:rsidRDefault="00BD5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4772453"/>
      <w:docPartObj>
        <w:docPartGallery w:val="Page Numbers (Top of Page)"/>
        <w:docPartUnique/>
      </w:docPartObj>
    </w:sdtPr>
    <w:sdtEndPr>
      <w:rPr>
        <w:rStyle w:val="PageNumber"/>
      </w:rPr>
    </w:sdtEndPr>
    <w:sdtContent>
      <w:p w14:paraId="2555D817" w14:textId="74AEC129" w:rsidR="00BD5B4A" w:rsidRDefault="00BD5B4A" w:rsidP="00BD5B4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4A010CD3" w14:textId="77777777" w:rsidR="00BD5B4A" w:rsidRDefault="00BD5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2613"/>
    <w:multiLevelType w:val="multilevel"/>
    <w:tmpl w:val="6402261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ascii="Times New Roman" w:hAnsi="Times New Roman" w:hint="default"/>
        <w:b/>
        <w:i w:val="0"/>
        <w:sz w:val="24"/>
      </w:rPr>
    </w:lvl>
    <w:lvl w:ilvl="2">
      <w:start w:val="1"/>
      <w:numFmt w:val="decimal"/>
      <w:lvlText w:val="%3."/>
      <w:lvlJc w:val="left"/>
      <w:pPr>
        <w:ind w:left="1440" w:firstLine="0"/>
      </w:pPr>
      <w:rPr>
        <w:rFonts w:ascii="Times New Roman" w:hAnsi="Times New Roman" w:hint="default"/>
        <w:b/>
        <w:i w:val="0"/>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52FB3D79"/>
    <w:multiLevelType w:val="multilevel"/>
    <w:tmpl w:val="F7AC10B6"/>
    <w:lvl w:ilvl="0">
      <w:start w:val="1"/>
      <w:numFmt w:val="decimal"/>
      <w:pStyle w:val="WSFourthLevelParaNum"/>
      <w:lvlText w:val="%1."/>
      <w:lvlJc w:val="left"/>
      <w:pPr>
        <w:tabs>
          <w:tab w:val="num" w:pos="2880"/>
        </w:tabs>
        <w:ind w:left="28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54A04EA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6693F24"/>
    <w:multiLevelType w:val="hybridMultilevel"/>
    <w:tmpl w:val="45ECDF58"/>
    <w:lvl w:ilvl="0" w:tplc="1C2E752A">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E35B8D"/>
    <w:multiLevelType w:val="multilevel"/>
    <w:tmpl w:val="E3FCBD22"/>
    <w:lvl w:ilvl="0">
      <w:start w:val="1"/>
      <w:numFmt w:val="decimal"/>
      <w:pStyle w:val="WSParaNum"/>
      <w:lvlText w:val="%1"/>
      <w:lvlJc w:val="left"/>
      <w:pPr>
        <w:tabs>
          <w:tab w:val="num" w:pos="72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B1702BE"/>
    <w:multiLevelType w:val="hybridMultilevel"/>
    <w:tmpl w:val="88ACBE02"/>
    <w:lvl w:ilvl="0" w:tplc="62D26664">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A3F27"/>
    <w:multiLevelType w:val="multilevel"/>
    <w:tmpl w:val="E878F19C"/>
    <w:lvl w:ilvl="0">
      <w:start w:val="1"/>
      <w:numFmt w:val="upperRoman"/>
      <w:pStyle w:val="Heading1"/>
      <w:suff w:val="nothing"/>
      <w:lvlText w:val="PART %1 -- "/>
      <w:lvlJc w:val="left"/>
      <w:pPr>
        <w:ind w:left="0" w:firstLine="0"/>
      </w:pPr>
      <w:rPr>
        <w:rFonts w:ascii="Times New Roman" w:hAnsi="Times New Roman" w:hint="default"/>
        <w:b/>
        <w:i w:val="0"/>
        <w:sz w:val="24"/>
      </w:rPr>
    </w:lvl>
    <w:lvl w:ilvl="1">
      <w:start w:val="1"/>
      <w:numFmt w:val="upperLetter"/>
      <w:pStyle w:val="Heading2"/>
      <w:lvlText w:val="%2."/>
      <w:lvlJc w:val="left"/>
      <w:pPr>
        <w:ind w:left="3840" w:hanging="720"/>
      </w:pPr>
      <w:rPr>
        <w:rFonts w:ascii="Times New Roman" w:hAnsi="Times New Roman" w:hint="default"/>
        <w:b/>
        <w:i w:val="0"/>
        <w:sz w:val="24"/>
      </w:rPr>
    </w:lvl>
    <w:lvl w:ilvl="2">
      <w:start w:val="1"/>
      <w:numFmt w:val="lowerRoman"/>
      <w:pStyle w:val="Heading3"/>
      <w:lvlText w:val="(%3)"/>
      <w:lvlJc w:val="left"/>
      <w:pPr>
        <w:ind w:left="720" w:hanging="720"/>
      </w:pPr>
      <w:rPr>
        <w:rFonts w:ascii="Times New Roman" w:hAnsi="Times New Roman" w:hint="default"/>
        <w:b w:val="0"/>
        <w:i w:val="0"/>
        <w:sz w:val="24"/>
      </w:rPr>
    </w:lvl>
    <w:lvl w:ilvl="3">
      <w:start w:val="1"/>
      <w:numFmt w:val="lowerLetter"/>
      <w:pStyle w:val="Heading4"/>
      <w:lvlText w:val="(%4)"/>
      <w:lvlJc w:val="left"/>
      <w:pPr>
        <w:ind w:left="720" w:hanging="720"/>
      </w:pPr>
      <w:rPr>
        <w:rFonts w:ascii="Times New Roman" w:hAnsi="Times New Roman" w:hint="default"/>
        <w:b w:val="0"/>
        <w:i/>
        <w:sz w:val="24"/>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630987846">
    <w:abstractNumId w:val="6"/>
  </w:num>
  <w:num w:numId="2" w16cid:durableId="748692426">
    <w:abstractNumId w:val="2"/>
  </w:num>
  <w:num w:numId="3" w16cid:durableId="775254267">
    <w:abstractNumId w:val="1"/>
  </w:num>
  <w:num w:numId="4" w16cid:durableId="2099864798">
    <w:abstractNumId w:val="4"/>
  </w:num>
  <w:num w:numId="5" w16cid:durableId="210194528">
    <w:abstractNumId w:val="0"/>
  </w:num>
  <w:num w:numId="6" w16cid:durableId="446698420">
    <w:abstractNumId w:val="4"/>
  </w:num>
  <w:num w:numId="7" w16cid:durableId="1565675314">
    <w:abstractNumId w:val="4"/>
  </w:num>
  <w:num w:numId="8" w16cid:durableId="719129718">
    <w:abstractNumId w:val="4"/>
  </w:num>
  <w:num w:numId="9" w16cid:durableId="2013414909">
    <w:abstractNumId w:val="4"/>
    <w:lvlOverride w:ilvl="0">
      <w:startOverride w:val="62"/>
    </w:lvlOverride>
  </w:num>
  <w:num w:numId="10" w16cid:durableId="1169522190">
    <w:abstractNumId w:val="4"/>
    <w:lvlOverride w:ilvl="0">
      <w:startOverride w:val="65"/>
    </w:lvlOverride>
  </w:num>
  <w:num w:numId="11" w16cid:durableId="253442588">
    <w:abstractNumId w:val="4"/>
    <w:lvlOverride w:ilvl="0">
      <w:startOverride w:val="3"/>
    </w:lvlOverride>
  </w:num>
  <w:num w:numId="12" w16cid:durableId="889263516">
    <w:abstractNumId w:val="5"/>
  </w:num>
  <w:num w:numId="13" w16cid:durableId="44910216">
    <w:abstractNumId w:val="3"/>
  </w:num>
  <w:num w:numId="14" w16cid:durableId="1518688516">
    <w:abstractNumId w:val="4"/>
  </w:num>
  <w:num w:numId="15" w16cid:durableId="1025131114">
    <w:abstractNumId w:val="4"/>
    <w:lvlOverride w:ilvl="0">
      <w:startOverride w:val="22"/>
    </w:lvlOverride>
  </w:num>
  <w:num w:numId="16" w16cid:durableId="1351446210">
    <w:abstractNumId w:val="4"/>
  </w:num>
  <w:num w:numId="17" w16cid:durableId="1438137592">
    <w:abstractNumId w:val="4"/>
    <w:lvlOverride w:ilvl="0">
      <w:startOverride w:val="56"/>
    </w:lvlOverride>
  </w:num>
  <w:num w:numId="18" w16cid:durableId="257832434">
    <w:abstractNumId w:val="4"/>
    <w:lvlOverride w:ilvl="0">
      <w:startOverride w:val="29"/>
    </w:lvlOverride>
  </w:num>
  <w:num w:numId="19" w16cid:durableId="659164822">
    <w:abstractNumId w:val="4"/>
    <w:lvlOverride w:ilvl="0">
      <w:startOverride w:val="5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74-7285-3275, v. 1"/>
    <w:docVar w:name="ndGeneratedStampLocation" w:val="LastPage"/>
  </w:docVars>
  <w:rsids>
    <w:rsidRoot w:val="00982941"/>
    <w:rsid w:val="00014496"/>
    <w:rsid w:val="000212C8"/>
    <w:rsid w:val="000217BE"/>
    <w:rsid w:val="000300B6"/>
    <w:rsid w:val="000308BF"/>
    <w:rsid w:val="00031F01"/>
    <w:rsid w:val="00032B48"/>
    <w:rsid w:val="0003349F"/>
    <w:rsid w:val="00034E1F"/>
    <w:rsid w:val="00036AB1"/>
    <w:rsid w:val="0003757F"/>
    <w:rsid w:val="00037BFB"/>
    <w:rsid w:val="00037FA2"/>
    <w:rsid w:val="00040B9A"/>
    <w:rsid w:val="000451CD"/>
    <w:rsid w:val="000548C6"/>
    <w:rsid w:val="000623D3"/>
    <w:rsid w:val="0007010B"/>
    <w:rsid w:val="0007098C"/>
    <w:rsid w:val="0007124A"/>
    <w:rsid w:val="00073C2E"/>
    <w:rsid w:val="000922D3"/>
    <w:rsid w:val="000923C1"/>
    <w:rsid w:val="00094363"/>
    <w:rsid w:val="000A3364"/>
    <w:rsid w:val="000A768A"/>
    <w:rsid w:val="000B3CC7"/>
    <w:rsid w:val="000B3D13"/>
    <w:rsid w:val="000B51BA"/>
    <w:rsid w:val="000C0550"/>
    <w:rsid w:val="000C1D94"/>
    <w:rsid w:val="000C4357"/>
    <w:rsid w:val="000E4220"/>
    <w:rsid w:val="000E4FAA"/>
    <w:rsid w:val="000E5178"/>
    <w:rsid w:val="000E7D05"/>
    <w:rsid w:val="000F036A"/>
    <w:rsid w:val="000F128F"/>
    <w:rsid w:val="000F4F93"/>
    <w:rsid w:val="000F7478"/>
    <w:rsid w:val="0011797A"/>
    <w:rsid w:val="00120A36"/>
    <w:rsid w:val="00132120"/>
    <w:rsid w:val="001338FF"/>
    <w:rsid w:val="001366C9"/>
    <w:rsid w:val="00147531"/>
    <w:rsid w:val="00154994"/>
    <w:rsid w:val="00161369"/>
    <w:rsid w:val="001655FD"/>
    <w:rsid w:val="00174633"/>
    <w:rsid w:val="001776E6"/>
    <w:rsid w:val="001855E6"/>
    <w:rsid w:val="00191BFA"/>
    <w:rsid w:val="00194038"/>
    <w:rsid w:val="00196698"/>
    <w:rsid w:val="001B4B84"/>
    <w:rsid w:val="001B7635"/>
    <w:rsid w:val="001C0F6D"/>
    <w:rsid w:val="001C48DA"/>
    <w:rsid w:val="001C7177"/>
    <w:rsid w:val="001E2C95"/>
    <w:rsid w:val="001E6D70"/>
    <w:rsid w:val="001F08EB"/>
    <w:rsid w:val="001F1E1C"/>
    <w:rsid w:val="001F5409"/>
    <w:rsid w:val="00210580"/>
    <w:rsid w:val="00211745"/>
    <w:rsid w:val="00215879"/>
    <w:rsid w:val="00216A01"/>
    <w:rsid w:val="002268EB"/>
    <w:rsid w:val="00233179"/>
    <w:rsid w:val="00235F15"/>
    <w:rsid w:val="0024187B"/>
    <w:rsid w:val="00255B92"/>
    <w:rsid w:val="002620F2"/>
    <w:rsid w:val="00263051"/>
    <w:rsid w:val="002762CE"/>
    <w:rsid w:val="00277F5D"/>
    <w:rsid w:val="0028382F"/>
    <w:rsid w:val="00287298"/>
    <w:rsid w:val="00292738"/>
    <w:rsid w:val="002B26C0"/>
    <w:rsid w:val="002C1353"/>
    <w:rsid w:val="002D0A80"/>
    <w:rsid w:val="002D4193"/>
    <w:rsid w:val="002D6C7D"/>
    <w:rsid w:val="002E143A"/>
    <w:rsid w:val="002F209E"/>
    <w:rsid w:val="002F3DDD"/>
    <w:rsid w:val="002F7693"/>
    <w:rsid w:val="00306789"/>
    <w:rsid w:val="00323482"/>
    <w:rsid w:val="00323C31"/>
    <w:rsid w:val="00332BD0"/>
    <w:rsid w:val="00334F22"/>
    <w:rsid w:val="0034467F"/>
    <w:rsid w:val="0034630D"/>
    <w:rsid w:val="00346BCB"/>
    <w:rsid w:val="003558FD"/>
    <w:rsid w:val="00356420"/>
    <w:rsid w:val="003565A9"/>
    <w:rsid w:val="003606E4"/>
    <w:rsid w:val="00362D6E"/>
    <w:rsid w:val="00365D5F"/>
    <w:rsid w:val="003822BD"/>
    <w:rsid w:val="0038295D"/>
    <w:rsid w:val="003842EB"/>
    <w:rsid w:val="00387166"/>
    <w:rsid w:val="003A1794"/>
    <w:rsid w:val="003A7C1F"/>
    <w:rsid w:val="003B57D8"/>
    <w:rsid w:val="003B61F7"/>
    <w:rsid w:val="003C29E1"/>
    <w:rsid w:val="003E1AED"/>
    <w:rsid w:val="003F3A10"/>
    <w:rsid w:val="00407B8C"/>
    <w:rsid w:val="00420835"/>
    <w:rsid w:val="0042172A"/>
    <w:rsid w:val="004219A2"/>
    <w:rsid w:val="00425D39"/>
    <w:rsid w:val="00441021"/>
    <w:rsid w:val="0044118E"/>
    <w:rsid w:val="00445FC3"/>
    <w:rsid w:val="004462BE"/>
    <w:rsid w:val="00460D9D"/>
    <w:rsid w:val="00464BAF"/>
    <w:rsid w:val="00464D8E"/>
    <w:rsid w:val="00465015"/>
    <w:rsid w:val="0047065C"/>
    <w:rsid w:val="00471DA0"/>
    <w:rsid w:val="004812DC"/>
    <w:rsid w:val="00485CCF"/>
    <w:rsid w:val="00497CA4"/>
    <w:rsid w:val="004A2301"/>
    <w:rsid w:val="004B3166"/>
    <w:rsid w:val="004C4C80"/>
    <w:rsid w:val="004C6803"/>
    <w:rsid w:val="004C6B45"/>
    <w:rsid w:val="004D51F9"/>
    <w:rsid w:val="004F1965"/>
    <w:rsid w:val="004F26A5"/>
    <w:rsid w:val="00501E7F"/>
    <w:rsid w:val="00502AE6"/>
    <w:rsid w:val="00521D3D"/>
    <w:rsid w:val="00541069"/>
    <w:rsid w:val="00551968"/>
    <w:rsid w:val="005527E1"/>
    <w:rsid w:val="00555F8D"/>
    <w:rsid w:val="00562AC6"/>
    <w:rsid w:val="005648CE"/>
    <w:rsid w:val="00573EB6"/>
    <w:rsid w:val="005777BB"/>
    <w:rsid w:val="00577D48"/>
    <w:rsid w:val="005902D1"/>
    <w:rsid w:val="00594299"/>
    <w:rsid w:val="00594726"/>
    <w:rsid w:val="005A07EA"/>
    <w:rsid w:val="005A483B"/>
    <w:rsid w:val="005A7DA6"/>
    <w:rsid w:val="005B0AD4"/>
    <w:rsid w:val="005B57AE"/>
    <w:rsid w:val="005C1AAD"/>
    <w:rsid w:val="005C2216"/>
    <w:rsid w:val="005C60CF"/>
    <w:rsid w:val="005E0098"/>
    <w:rsid w:val="005E1582"/>
    <w:rsid w:val="005F4707"/>
    <w:rsid w:val="006012D8"/>
    <w:rsid w:val="00605BFF"/>
    <w:rsid w:val="00616132"/>
    <w:rsid w:val="00633712"/>
    <w:rsid w:val="00647609"/>
    <w:rsid w:val="0065653A"/>
    <w:rsid w:val="00656FFC"/>
    <w:rsid w:val="00661414"/>
    <w:rsid w:val="00663B7A"/>
    <w:rsid w:val="00665D50"/>
    <w:rsid w:val="006705E8"/>
    <w:rsid w:val="00673995"/>
    <w:rsid w:val="006806CF"/>
    <w:rsid w:val="00684C5D"/>
    <w:rsid w:val="00687CFB"/>
    <w:rsid w:val="006B1283"/>
    <w:rsid w:val="006B7401"/>
    <w:rsid w:val="006C3E1D"/>
    <w:rsid w:val="006D72C8"/>
    <w:rsid w:val="006D7CF7"/>
    <w:rsid w:val="006E368D"/>
    <w:rsid w:val="006E45E4"/>
    <w:rsid w:val="006F0F0C"/>
    <w:rsid w:val="006F2998"/>
    <w:rsid w:val="006F39B7"/>
    <w:rsid w:val="00701167"/>
    <w:rsid w:val="00701704"/>
    <w:rsid w:val="00704A57"/>
    <w:rsid w:val="00712A5A"/>
    <w:rsid w:val="00713CDA"/>
    <w:rsid w:val="00717752"/>
    <w:rsid w:val="00735CEC"/>
    <w:rsid w:val="007409E4"/>
    <w:rsid w:val="007541A0"/>
    <w:rsid w:val="00754AFB"/>
    <w:rsid w:val="0075532A"/>
    <w:rsid w:val="00763DB5"/>
    <w:rsid w:val="007809E5"/>
    <w:rsid w:val="00797309"/>
    <w:rsid w:val="007A0BE5"/>
    <w:rsid w:val="007A0F02"/>
    <w:rsid w:val="007A4329"/>
    <w:rsid w:val="007B714A"/>
    <w:rsid w:val="007C01F5"/>
    <w:rsid w:val="007C3285"/>
    <w:rsid w:val="007C43C1"/>
    <w:rsid w:val="007E270A"/>
    <w:rsid w:val="007E4C81"/>
    <w:rsid w:val="007E5003"/>
    <w:rsid w:val="007F40E0"/>
    <w:rsid w:val="00801C5A"/>
    <w:rsid w:val="00803711"/>
    <w:rsid w:val="008106A7"/>
    <w:rsid w:val="00812A9C"/>
    <w:rsid w:val="00825A39"/>
    <w:rsid w:val="00840F39"/>
    <w:rsid w:val="00841106"/>
    <w:rsid w:val="00847C80"/>
    <w:rsid w:val="008611ED"/>
    <w:rsid w:val="0088292B"/>
    <w:rsid w:val="00883093"/>
    <w:rsid w:val="00890B0B"/>
    <w:rsid w:val="00890D19"/>
    <w:rsid w:val="00896769"/>
    <w:rsid w:val="00896C96"/>
    <w:rsid w:val="008A009C"/>
    <w:rsid w:val="008B6C78"/>
    <w:rsid w:val="008C00C1"/>
    <w:rsid w:val="008C1E6C"/>
    <w:rsid w:val="008C3D34"/>
    <w:rsid w:val="008C54D8"/>
    <w:rsid w:val="008C63D1"/>
    <w:rsid w:val="008D22C7"/>
    <w:rsid w:val="00911AB1"/>
    <w:rsid w:val="00915A04"/>
    <w:rsid w:val="009166C3"/>
    <w:rsid w:val="009307A9"/>
    <w:rsid w:val="00951E49"/>
    <w:rsid w:val="00954B13"/>
    <w:rsid w:val="00955DD2"/>
    <w:rsid w:val="0098092A"/>
    <w:rsid w:val="00981D2F"/>
    <w:rsid w:val="00982941"/>
    <w:rsid w:val="00995AB2"/>
    <w:rsid w:val="009A6A55"/>
    <w:rsid w:val="009B0A26"/>
    <w:rsid w:val="009B1D60"/>
    <w:rsid w:val="009C697B"/>
    <w:rsid w:val="009D097E"/>
    <w:rsid w:val="009D2F81"/>
    <w:rsid w:val="009E72EF"/>
    <w:rsid w:val="009F5FF0"/>
    <w:rsid w:val="009F693C"/>
    <w:rsid w:val="009F7745"/>
    <w:rsid w:val="00A015A4"/>
    <w:rsid w:val="00A12307"/>
    <w:rsid w:val="00A14559"/>
    <w:rsid w:val="00A212E0"/>
    <w:rsid w:val="00A41BA9"/>
    <w:rsid w:val="00A50678"/>
    <w:rsid w:val="00A602F1"/>
    <w:rsid w:val="00A74633"/>
    <w:rsid w:val="00A82073"/>
    <w:rsid w:val="00A85602"/>
    <w:rsid w:val="00A92AE2"/>
    <w:rsid w:val="00AA72AB"/>
    <w:rsid w:val="00AB1763"/>
    <w:rsid w:val="00AC4CE5"/>
    <w:rsid w:val="00AC7FFC"/>
    <w:rsid w:val="00AD79A2"/>
    <w:rsid w:val="00AE0B19"/>
    <w:rsid w:val="00AE0E21"/>
    <w:rsid w:val="00AE6503"/>
    <w:rsid w:val="00AF7F74"/>
    <w:rsid w:val="00B125A2"/>
    <w:rsid w:val="00B236CE"/>
    <w:rsid w:val="00B30F48"/>
    <w:rsid w:val="00B531FA"/>
    <w:rsid w:val="00B544B6"/>
    <w:rsid w:val="00B60A5D"/>
    <w:rsid w:val="00B66AC1"/>
    <w:rsid w:val="00B72782"/>
    <w:rsid w:val="00B77C90"/>
    <w:rsid w:val="00B959CF"/>
    <w:rsid w:val="00BA1664"/>
    <w:rsid w:val="00BB043D"/>
    <w:rsid w:val="00BB51D1"/>
    <w:rsid w:val="00BD092F"/>
    <w:rsid w:val="00BD4335"/>
    <w:rsid w:val="00BD583D"/>
    <w:rsid w:val="00BD5B4A"/>
    <w:rsid w:val="00BD6834"/>
    <w:rsid w:val="00BE6F98"/>
    <w:rsid w:val="00BF4A4F"/>
    <w:rsid w:val="00C16F2A"/>
    <w:rsid w:val="00C300C4"/>
    <w:rsid w:val="00C30230"/>
    <w:rsid w:val="00C573D9"/>
    <w:rsid w:val="00C606E4"/>
    <w:rsid w:val="00C61AD1"/>
    <w:rsid w:val="00C63495"/>
    <w:rsid w:val="00C643E7"/>
    <w:rsid w:val="00C6765E"/>
    <w:rsid w:val="00C73486"/>
    <w:rsid w:val="00C75A20"/>
    <w:rsid w:val="00C77F12"/>
    <w:rsid w:val="00C85C02"/>
    <w:rsid w:val="00C87C03"/>
    <w:rsid w:val="00C9622F"/>
    <w:rsid w:val="00CA548B"/>
    <w:rsid w:val="00CA7D47"/>
    <w:rsid w:val="00CB1754"/>
    <w:rsid w:val="00CC08F6"/>
    <w:rsid w:val="00CD02D7"/>
    <w:rsid w:val="00CD72AB"/>
    <w:rsid w:val="00CE4218"/>
    <w:rsid w:val="00CE4DF8"/>
    <w:rsid w:val="00CE6DCA"/>
    <w:rsid w:val="00CF3F66"/>
    <w:rsid w:val="00D00E65"/>
    <w:rsid w:val="00D06899"/>
    <w:rsid w:val="00D177BC"/>
    <w:rsid w:val="00D551BA"/>
    <w:rsid w:val="00D57A27"/>
    <w:rsid w:val="00D64B68"/>
    <w:rsid w:val="00D65501"/>
    <w:rsid w:val="00D678D8"/>
    <w:rsid w:val="00D7530F"/>
    <w:rsid w:val="00D84AFF"/>
    <w:rsid w:val="00D918D6"/>
    <w:rsid w:val="00D921E9"/>
    <w:rsid w:val="00D958DA"/>
    <w:rsid w:val="00D9754A"/>
    <w:rsid w:val="00DA1169"/>
    <w:rsid w:val="00DA1E3C"/>
    <w:rsid w:val="00DB21A8"/>
    <w:rsid w:val="00DB7946"/>
    <w:rsid w:val="00DC274D"/>
    <w:rsid w:val="00DD0BAA"/>
    <w:rsid w:val="00DD6309"/>
    <w:rsid w:val="00DD6E8C"/>
    <w:rsid w:val="00DF59A0"/>
    <w:rsid w:val="00DF64F0"/>
    <w:rsid w:val="00E00970"/>
    <w:rsid w:val="00E01921"/>
    <w:rsid w:val="00E052B6"/>
    <w:rsid w:val="00E165EA"/>
    <w:rsid w:val="00E20B10"/>
    <w:rsid w:val="00E216B5"/>
    <w:rsid w:val="00E34E86"/>
    <w:rsid w:val="00E3740B"/>
    <w:rsid w:val="00E46859"/>
    <w:rsid w:val="00E579DC"/>
    <w:rsid w:val="00E704A7"/>
    <w:rsid w:val="00E75969"/>
    <w:rsid w:val="00E81AEC"/>
    <w:rsid w:val="00E8494E"/>
    <w:rsid w:val="00E91273"/>
    <w:rsid w:val="00E937E6"/>
    <w:rsid w:val="00EB1717"/>
    <w:rsid w:val="00EC70B5"/>
    <w:rsid w:val="00EE2290"/>
    <w:rsid w:val="00EE63CE"/>
    <w:rsid w:val="00EF38C0"/>
    <w:rsid w:val="00EF4EBB"/>
    <w:rsid w:val="00EF6D27"/>
    <w:rsid w:val="00EF7E0B"/>
    <w:rsid w:val="00F045DC"/>
    <w:rsid w:val="00F1643D"/>
    <w:rsid w:val="00F25EA8"/>
    <w:rsid w:val="00F326C0"/>
    <w:rsid w:val="00F42889"/>
    <w:rsid w:val="00F50655"/>
    <w:rsid w:val="00F67204"/>
    <w:rsid w:val="00F70A7F"/>
    <w:rsid w:val="00F8331D"/>
    <w:rsid w:val="00F84962"/>
    <w:rsid w:val="00F84CC8"/>
    <w:rsid w:val="00F97ECB"/>
    <w:rsid w:val="00FA64D1"/>
    <w:rsid w:val="00FA7884"/>
    <w:rsid w:val="00FB2CE0"/>
    <w:rsid w:val="00FB579F"/>
    <w:rsid w:val="00FC1F68"/>
    <w:rsid w:val="00FC4847"/>
    <w:rsid w:val="00FC5AA2"/>
    <w:rsid w:val="00FC6644"/>
    <w:rsid w:val="00FD0F84"/>
    <w:rsid w:val="00FD65AA"/>
    <w:rsid w:val="00FE14FB"/>
    <w:rsid w:val="00FE1711"/>
    <w:rsid w:val="00FF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97D8D"/>
  <w15:docId w15:val="{D40198B6-1B3C-4883-9D46-5140377D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90"/>
    <w:rPr>
      <w:sz w:val="24"/>
      <w:szCs w:val="24"/>
    </w:rPr>
  </w:style>
  <w:style w:type="paragraph" w:styleId="Heading1">
    <w:name w:val="heading 1"/>
    <w:basedOn w:val="Normal"/>
    <w:next w:val="Normal"/>
    <w:link w:val="Heading1Char"/>
    <w:uiPriority w:val="9"/>
    <w:qFormat/>
    <w:rsid w:val="00562AC6"/>
    <w:pPr>
      <w:keepNext/>
      <w:numPr>
        <w:numId w:val="1"/>
      </w:numPr>
      <w:spacing w:after="60"/>
      <w:outlineLvl w:val="0"/>
    </w:pPr>
    <w:rPr>
      <w:b/>
      <w:bCs/>
      <w:kern w:val="32"/>
    </w:rPr>
  </w:style>
  <w:style w:type="paragraph" w:styleId="Heading2">
    <w:name w:val="heading 2"/>
    <w:basedOn w:val="Normal"/>
    <w:next w:val="Normal"/>
    <w:link w:val="Heading2Char"/>
    <w:uiPriority w:val="9"/>
    <w:unhideWhenUsed/>
    <w:qFormat/>
    <w:rsid w:val="00562AC6"/>
    <w:pPr>
      <w:keepNext/>
      <w:numPr>
        <w:ilvl w:val="1"/>
        <w:numId w:val="1"/>
      </w:numPr>
      <w:tabs>
        <w:tab w:val="num" w:pos="720"/>
      </w:tabs>
      <w:spacing w:before="240" w:after="60" w:line="360" w:lineRule="auto"/>
      <w:ind w:left="720"/>
      <w:outlineLvl w:val="1"/>
    </w:pPr>
    <w:rPr>
      <w:b/>
      <w:bCs/>
      <w:iCs/>
    </w:rPr>
  </w:style>
  <w:style w:type="paragraph" w:styleId="Heading3">
    <w:name w:val="heading 3"/>
    <w:basedOn w:val="Normal"/>
    <w:next w:val="Normal"/>
    <w:link w:val="Heading3Char"/>
    <w:uiPriority w:val="9"/>
    <w:unhideWhenUsed/>
    <w:qFormat/>
    <w:rsid w:val="00562AC6"/>
    <w:pPr>
      <w:keepNext/>
      <w:numPr>
        <w:ilvl w:val="2"/>
        <w:numId w:val="1"/>
      </w:numPr>
      <w:spacing w:before="240" w:after="60" w:line="360" w:lineRule="auto"/>
      <w:outlineLvl w:val="2"/>
    </w:pPr>
    <w:rPr>
      <w:bCs/>
    </w:rPr>
  </w:style>
  <w:style w:type="paragraph" w:styleId="Heading4">
    <w:name w:val="heading 4"/>
    <w:basedOn w:val="Normal"/>
    <w:next w:val="Normal"/>
    <w:link w:val="Heading4Char"/>
    <w:uiPriority w:val="9"/>
    <w:unhideWhenUsed/>
    <w:qFormat/>
    <w:rsid w:val="00A85602"/>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85602"/>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85602"/>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85602"/>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A85602"/>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85602"/>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F68"/>
    <w:pPr>
      <w:tabs>
        <w:tab w:val="center" w:pos="4513"/>
        <w:tab w:val="right" w:pos="9026"/>
      </w:tabs>
    </w:pPr>
  </w:style>
  <w:style w:type="paragraph" w:styleId="TOC1">
    <w:name w:val="toc 1"/>
    <w:basedOn w:val="Normal"/>
    <w:next w:val="Normal"/>
    <w:autoRedefine/>
    <w:uiPriority w:val="39"/>
    <w:unhideWhenUsed/>
    <w:rsid w:val="00037BFB"/>
  </w:style>
  <w:style w:type="character" w:customStyle="1" w:styleId="HeaderChar">
    <w:name w:val="Header Char"/>
    <w:link w:val="Header"/>
    <w:uiPriority w:val="99"/>
    <w:rsid w:val="00FC1F68"/>
    <w:rPr>
      <w:sz w:val="24"/>
      <w:szCs w:val="24"/>
      <w:lang w:val="en-US" w:eastAsia="en-US"/>
    </w:rPr>
  </w:style>
  <w:style w:type="paragraph" w:styleId="Footer">
    <w:name w:val="footer"/>
    <w:basedOn w:val="Normal"/>
    <w:link w:val="FooterChar"/>
    <w:uiPriority w:val="99"/>
    <w:unhideWhenUsed/>
    <w:rsid w:val="00FC1F68"/>
    <w:pPr>
      <w:tabs>
        <w:tab w:val="center" w:pos="4513"/>
        <w:tab w:val="right" w:pos="9026"/>
      </w:tabs>
    </w:pPr>
  </w:style>
  <w:style w:type="character" w:customStyle="1" w:styleId="FooterChar">
    <w:name w:val="Footer Char"/>
    <w:link w:val="Footer"/>
    <w:uiPriority w:val="99"/>
    <w:rsid w:val="00FC1F68"/>
    <w:rPr>
      <w:sz w:val="24"/>
      <w:szCs w:val="24"/>
      <w:lang w:val="en-US" w:eastAsia="en-US"/>
    </w:rPr>
  </w:style>
  <w:style w:type="character" w:customStyle="1" w:styleId="Heading1Char">
    <w:name w:val="Heading 1 Char"/>
    <w:link w:val="Heading1"/>
    <w:uiPriority w:val="9"/>
    <w:rsid w:val="00562AC6"/>
    <w:rPr>
      <w:b/>
      <w:bCs/>
      <w:kern w:val="32"/>
      <w:sz w:val="24"/>
      <w:szCs w:val="24"/>
    </w:rPr>
  </w:style>
  <w:style w:type="character" w:customStyle="1" w:styleId="Heading2Char">
    <w:name w:val="Heading 2 Char"/>
    <w:link w:val="Heading2"/>
    <w:uiPriority w:val="9"/>
    <w:rsid w:val="00562AC6"/>
    <w:rPr>
      <w:b/>
      <w:bCs/>
      <w:iCs/>
      <w:sz w:val="24"/>
      <w:szCs w:val="24"/>
    </w:rPr>
  </w:style>
  <w:style w:type="character" w:customStyle="1" w:styleId="Heading3Char">
    <w:name w:val="Heading 3 Char"/>
    <w:link w:val="Heading3"/>
    <w:uiPriority w:val="9"/>
    <w:rsid w:val="00562AC6"/>
    <w:rPr>
      <w:bCs/>
      <w:sz w:val="24"/>
      <w:szCs w:val="24"/>
    </w:rPr>
  </w:style>
  <w:style w:type="character" w:customStyle="1" w:styleId="Heading4Char">
    <w:name w:val="Heading 4 Char"/>
    <w:link w:val="Heading4"/>
    <w:uiPriority w:val="9"/>
    <w:rsid w:val="00A85602"/>
    <w:rPr>
      <w:rFonts w:ascii="Calibri" w:hAnsi="Calibri"/>
      <w:b/>
      <w:bCs/>
      <w:sz w:val="28"/>
      <w:szCs w:val="28"/>
      <w:lang w:val="en-US" w:eastAsia="en-US"/>
    </w:rPr>
  </w:style>
  <w:style w:type="character" w:customStyle="1" w:styleId="Heading5Char">
    <w:name w:val="Heading 5 Char"/>
    <w:link w:val="Heading5"/>
    <w:uiPriority w:val="9"/>
    <w:semiHidden/>
    <w:rsid w:val="00A85602"/>
    <w:rPr>
      <w:rFonts w:ascii="Calibri" w:hAnsi="Calibri"/>
      <w:b/>
      <w:bCs/>
      <w:i/>
      <w:iCs/>
      <w:sz w:val="26"/>
      <w:szCs w:val="26"/>
      <w:lang w:val="en-US" w:eastAsia="en-US"/>
    </w:rPr>
  </w:style>
  <w:style w:type="character" w:customStyle="1" w:styleId="Heading6Char">
    <w:name w:val="Heading 6 Char"/>
    <w:link w:val="Heading6"/>
    <w:uiPriority w:val="9"/>
    <w:semiHidden/>
    <w:rsid w:val="00A85602"/>
    <w:rPr>
      <w:rFonts w:ascii="Calibri" w:hAnsi="Calibri"/>
      <w:b/>
      <w:bCs/>
      <w:sz w:val="22"/>
      <w:szCs w:val="22"/>
      <w:lang w:val="en-US" w:eastAsia="en-US"/>
    </w:rPr>
  </w:style>
  <w:style w:type="character" w:customStyle="1" w:styleId="Heading7Char">
    <w:name w:val="Heading 7 Char"/>
    <w:link w:val="Heading7"/>
    <w:uiPriority w:val="9"/>
    <w:semiHidden/>
    <w:rsid w:val="00A85602"/>
    <w:rPr>
      <w:rFonts w:ascii="Calibri" w:hAnsi="Calibri"/>
      <w:sz w:val="24"/>
      <w:szCs w:val="24"/>
      <w:lang w:val="en-US" w:eastAsia="en-US"/>
    </w:rPr>
  </w:style>
  <w:style w:type="character" w:customStyle="1" w:styleId="Heading8Char">
    <w:name w:val="Heading 8 Char"/>
    <w:link w:val="Heading8"/>
    <w:uiPriority w:val="9"/>
    <w:semiHidden/>
    <w:rsid w:val="00A85602"/>
    <w:rPr>
      <w:rFonts w:ascii="Calibri" w:hAnsi="Calibri"/>
      <w:i/>
      <w:iCs/>
      <w:sz w:val="24"/>
      <w:szCs w:val="24"/>
      <w:lang w:val="en-US" w:eastAsia="en-US"/>
    </w:rPr>
  </w:style>
  <w:style w:type="character" w:customStyle="1" w:styleId="Heading9Char">
    <w:name w:val="Heading 9 Char"/>
    <w:link w:val="Heading9"/>
    <w:uiPriority w:val="9"/>
    <w:semiHidden/>
    <w:rsid w:val="00A85602"/>
    <w:rPr>
      <w:rFonts w:ascii="Cambria" w:hAnsi="Cambria"/>
      <w:sz w:val="22"/>
      <w:szCs w:val="22"/>
      <w:lang w:val="en-US" w:eastAsia="en-US"/>
    </w:rPr>
  </w:style>
  <w:style w:type="paragraph" w:styleId="BodyText">
    <w:name w:val="Body Text"/>
    <w:basedOn w:val="Normal"/>
    <w:link w:val="BodyTextChar"/>
    <w:rsid w:val="00DD6E8C"/>
    <w:pPr>
      <w:spacing w:before="120" w:after="120" w:line="360" w:lineRule="auto"/>
    </w:pPr>
    <w:rPr>
      <w:lang w:val="en-CA"/>
    </w:rPr>
  </w:style>
  <w:style w:type="character" w:customStyle="1" w:styleId="BodyTextChar">
    <w:name w:val="Body Text Char"/>
    <w:link w:val="BodyText"/>
    <w:rsid w:val="00DD6E8C"/>
    <w:rPr>
      <w:sz w:val="24"/>
      <w:szCs w:val="24"/>
      <w:lang w:val="en-CA" w:eastAsia="en-US"/>
    </w:rPr>
  </w:style>
  <w:style w:type="paragraph" w:customStyle="1" w:styleId="WSFourthLevelParaNum">
    <w:name w:val="WS Fourth Level Para Num"/>
    <w:basedOn w:val="BodyText"/>
    <w:rsid w:val="00DD6E8C"/>
    <w:pPr>
      <w:numPr>
        <w:numId w:val="3"/>
      </w:numPr>
      <w:spacing w:line="480" w:lineRule="auto"/>
    </w:pPr>
  </w:style>
  <w:style w:type="character" w:customStyle="1" w:styleId="Italic">
    <w:name w:val="Italic"/>
    <w:rsid w:val="00DD6E8C"/>
    <w:rPr>
      <w:i/>
    </w:rPr>
  </w:style>
  <w:style w:type="paragraph" w:customStyle="1" w:styleId="WSParaNum">
    <w:name w:val="WS ParaNum"/>
    <w:basedOn w:val="BodyText"/>
    <w:rsid w:val="00DD6E8C"/>
    <w:pPr>
      <w:numPr>
        <w:numId w:val="4"/>
      </w:numPr>
    </w:pPr>
  </w:style>
  <w:style w:type="paragraph" w:styleId="TOC2">
    <w:name w:val="toc 2"/>
    <w:basedOn w:val="Normal"/>
    <w:next w:val="Normal"/>
    <w:autoRedefine/>
    <w:uiPriority w:val="39"/>
    <w:unhideWhenUsed/>
    <w:rsid w:val="00F045DC"/>
    <w:pPr>
      <w:ind w:left="240"/>
    </w:pPr>
  </w:style>
  <w:style w:type="paragraph" w:styleId="TOC3">
    <w:name w:val="toc 3"/>
    <w:basedOn w:val="Normal"/>
    <w:next w:val="Normal"/>
    <w:autoRedefine/>
    <w:uiPriority w:val="39"/>
    <w:unhideWhenUsed/>
    <w:rsid w:val="00F045DC"/>
    <w:pPr>
      <w:ind w:left="480"/>
    </w:pPr>
  </w:style>
  <w:style w:type="character" w:customStyle="1" w:styleId="Bold">
    <w:name w:val="Bold"/>
    <w:rsid w:val="00663B7A"/>
    <w:rPr>
      <w:b/>
    </w:rPr>
  </w:style>
  <w:style w:type="paragraph" w:customStyle="1" w:styleId="TitleBold">
    <w:name w:val="Title Bold"/>
    <w:basedOn w:val="Normal"/>
    <w:next w:val="BodyText"/>
    <w:rsid w:val="00663B7A"/>
    <w:pPr>
      <w:jc w:val="center"/>
    </w:pPr>
    <w:rPr>
      <w:b/>
      <w:sz w:val="28"/>
      <w:lang w:val="en-CA"/>
    </w:rPr>
  </w:style>
  <w:style w:type="paragraph" w:customStyle="1" w:styleId="DocsID">
    <w:name w:val="DocsID"/>
    <w:basedOn w:val="Normal"/>
    <w:rsid w:val="00B30F48"/>
    <w:pPr>
      <w:spacing w:before="20"/>
    </w:pPr>
    <w:rPr>
      <w:sz w:val="16"/>
      <w:szCs w:val="20"/>
      <w:lang w:val="en-CA"/>
    </w:rPr>
  </w:style>
  <w:style w:type="paragraph" w:styleId="Revision">
    <w:name w:val="Revision"/>
    <w:hidden/>
    <w:uiPriority w:val="99"/>
    <w:semiHidden/>
    <w:rsid w:val="00915A04"/>
    <w:rPr>
      <w:sz w:val="24"/>
      <w:szCs w:val="24"/>
    </w:rPr>
  </w:style>
  <w:style w:type="character" w:styleId="CommentReference">
    <w:name w:val="annotation reference"/>
    <w:basedOn w:val="DefaultParagraphFont"/>
    <w:uiPriority w:val="99"/>
    <w:semiHidden/>
    <w:unhideWhenUsed/>
    <w:rsid w:val="00B544B6"/>
    <w:rPr>
      <w:sz w:val="16"/>
      <w:szCs w:val="16"/>
    </w:rPr>
  </w:style>
  <w:style w:type="paragraph" w:styleId="CommentText">
    <w:name w:val="annotation text"/>
    <w:basedOn w:val="Normal"/>
    <w:link w:val="CommentTextChar"/>
    <w:uiPriority w:val="99"/>
    <w:unhideWhenUsed/>
    <w:rsid w:val="00B544B6"/>
    <w:rPr>
      <w:sz w:val="20"/>
      <w:szCs w:val="20"/>
    </w:rPr>
  </w:style>
  <w:style w:type="character" w:customStyle="1" w:styleId="CommentTextChar">
    <w:name w:val="Comment Text Char"/>
    <w:basedOn w:val="DefaultParagraphFont"/>
    <w:link w:val="CommentText"/>
    <w:uiPriority w:val="99"/>
    <w:rsid w:val="00B544B6"/>
  </w:style>
  <w:style w:type="paragraph" w:styleId="CommentSubject">
    <w:name w:val="annotation subject"/>
    <w:basedOn w:val="CommentText"/>
    <w:next w:val="CommentText"/>
    <w:link w:val="CommentSubjectChar"/>
    <w:uiPriority w:val="99"/>
    <w:semiHidden/>
    <w:unhideWhenUsed/>
    <w:rsid w:val="00B544B6"/>
    <w:rPr>
      <w:b/>
      <w:bCs/>
    </w:rPr>
  </w:style>
  <w:style w:type="character" w:customStyle="1" w:styleId="CommentSubjectChar">
    <w:name w:val="Comment Subject Char"/>
    <w:basedOn w:val="CommentTextChar"/>
    <w:link w:val="CommentSubject"/>
    <w:uiPriority w:val="99"/>
    <w:semiHidden/>
    <w:rsid w:val="00B544B6"/>
    <w:rPr>
      <w:b/>
      <w:bCs/>
    </w:rPr>
  </w:style>
  <w:style w:type="table" w:styleId="TableGrid">
    <w:name w:val="Table Grid"/>
    <w:basedOn w:val="TableNormal"/>
    <w:uiPriority w:val="59"/>
    <w:rsid w:val="008A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29E1"/>
    <w:pPr>
      <w:spacing w:before="100" w:beforeAutospacing="1" w:after="100" w:afterAutospacing="1"/>
    </w:pPr>
    <w:rPr>
      <w:lang w:val="en-CA"/>
    </w:rPr>
  </w:style>
  <w:style w:type="character" w:styleId="Hyperlink">
    <w:name w:val="Hyperlink"/>
    <w:basedOn w:val="DefaultParagraphFont"/>
    <w:uiPriority w:val="99"/>
    <w:semiHidden/>
    <w:unhideWhenUsed/>
    <w:rsid w:val="003C29E1"/>
    <w:rPr>
      <w:color w:val="0000FF"/>
      <w:u w:val="single"/>
    </w:rPr>
  </w:style>
  <w:style w:type="character" w:styleId="PageNumber">
    <w:name w:val="page number"/>
    <w:basedOn w:val="DefaultParagraphFont"/>
    <w:uiPriority w:val="99"/>
    <w:semiHidden/>
    <w:unhideWhenUsed/>
    <w:rsid w:val="0044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nlii.org/en/on/laws/stat/so-2007-c-6/190861/so-2007-c-6.html" TargetMode="External"/><Relationship Id="rId18" Type="http://schemas.openxmlformats.org/officeDocument/2006/relationships/hyperlink" Target="https://www.canlii.org/en/on/laws/astat/so-2025-c-4/latest/so-2025-c-4.html?resultId=8945af3f1691421080b3d78c63df5e4d&amp;searchId=2026-01-19T17:25:27:414/9a5ef3ecbc3e4e6da3e85953b4a4904b"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canlii.org/en/on/laws/astat/so-2025-c-4/latest/so-2025-c-4.html?resultId=8945af3f1691421080b3d78c63df5e4d&amp;searchId=2026-01-19T17:25:27:414/9a5ef3ecbc3e4e6da3e85953b4a4904b" TargetMode="External"/><Relationship Id="rId2" Type="http://schemas.openxmlformats.org/officeDocument/2006/relationships/customXml" Target="../customXml/item1.xml"/><Relationship Id="rId16" Type="http://schemas.openxmlformats.org/officeDocument/2006/relationships/hyperlink" Target="https://www.canlii.org/en/on/laws/astat/so-2025-c-4/latest/so-2025-c-4.html?resultId=8945af3f1691421080b3d78c63df5e4d&amp;searchId=2026-01-19T17:25:27:414/9a5ef3ecbc3e4e6da3e85953b4a4904b"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anlii.org/en/on/laws/regu/o-reg-230-08/latest/o-reg-230-08.htm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canlii.org/en/on/laws/regu/o-reg-230-08/latest/o-reg-230-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ED27-748E-42DF-ADBB-191DA5E3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8478</Words>
  <Characters>48327</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56692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dc:creator>
  <cp:keywords/>
  <dc:description/>
  <cp:lastModifiedBy>Vijai Dasrat</cp:lastModifiedBy>
  <cp:revision>2</cp:revision>
  <cp:lastPrinted>2025-09-16T14:26:00Z</cp:lastPrinted>
  <dcterms:created xsi:type="dcterms:W3CDTF">2026-01-23T18:17:00Z</dcterms:created>
  <dcterms:modified xsi:type="dcterms:W3CDTF">2026-01-23T18:17:00Z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AutoUpdate">
    <vt:lpwstr>LAST</vt:lpwstr>
  </op:property>
  <op:property fmtid="{D5CDD505-2E9C-101B-9397-08002B2CF9AE}" pid="3" name="DocsID">
    <vt:lpwstr>2016903</vt:lpwstr>
  </op:property>
  <op:property fmtid="{D5CDD505-2E9C-101B-9397-08002B2CF9AE}" pid="4" name="ndDocumentId">
    <vt:lpwstr>1374-7285-3275</vt:lpwstr>
  </op:property>
</op:Properties>
</file>