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05C4" w14:textId="686469B7" w:rsidR="007C01F5" w:rsidRPr="003E027B" w:rsidRDefault="007C01F5" w:rsidP="007C01F5">
      <w:pPr>
        <w:jc w:val="center"/>
      </w:pPr>
      <w:r w:rsidRPr="003E027B">
        <w:t>WILLMS &amp; SHIER ENVIRONMENTAL LAW MOOT COURT COMPETITION</w:t>
      </w:r>
      <w:r>
        <w:t xml:space="preserve"> </w:t>
      </w:r>
      <w:r w:rsidR="001814EE">
        <w:t>20</w:t>
      </w:r>
      <w:r w:rsidR="00117E6A">
        <w:t>2</w:t>
      </w:r>
      <w:r w:rsidR="00627A1C">
        <w:t>6</w:t>
      </w:r>
    </w:p>
    <w:p w14:paraId="19B70FAA" w14:textId="77777777" w:rsidR="007C01F5" w:rsidRDefault="007C01F5" w:rsidP="007C01F5"/>
    <w:p w14:paraId="1EE0AFF9" w14:textId="77777777" w:rsidR="007C01F5" w:rsidRPr="003E027B" w:rsidRDefault="007C01F5" w:rsidP="007C01F5"/>
    <w:p w14:paraId="2CCB9450" w14:textId="5732DF53" w:rsidR="007C01F5" w:rsidRPr="003E027B" w:rsidRDefault="007C01F5" w:rsidP="007C01F5">
      <w:pPr>
        <w:jc w:val="right"/>
      </w:pPr>
      <w:r w:rsidRPr="003E027B">
        <w:t>S.</w:t>
      </w:r>
      <w:r w:rsidR="00FC1F68">
        <w:t>E.</w:t>
      </w:r>
      <w:r w:rsidRPr="003E027B">
        <w:t>M.C.C. File Number</w:t>
      </w:r>
      <w:r w:rsidR="00292738">
        <w:t>:</w:t>
      </w:r>
      <w:r w:rsidRPr="003E027B">
        <w:t xml:space="preserve"> 0</w:t>
      </w:r>
      <w:r w:rsidR="000B6040">
        <w:t>2</w:t>
      </w:r>
      <w:r w:rsidR="00F9686D">
        <w:t>-</w:t>
      </w:r>
      <w:r w:rsidR="00627A1C">
        <w:t>14</w:t>
      </w:r>
      <w:r w:rsidR="00C35F55">
        <w:t>-20</w:t>
      </w:r>
      <w:r w:rsidR="00117E6A">
        <w:t>2</w:t>
      </w:r>
      <w:r w:rsidR="00627A1C">
        <w:t>6</w:t>
      </w:r>
    </w:p>
    <w:p w14:paraId="19058506" w14:textId="77777777" w:rsidR="007C01F5" w:rsidRPr="003E027B" w:rsidRDefault="007C01F5" w:rsidP="007C01F5"/>
    <w:p w14:paraId="03CD075B" w14:textId="77777777" w:rsidR="007C01F5" w:rsidRPr="003E027B" w:rsidRDefault="007C01F5" w:rsidP="007C01F5">
      <w:pPr>
        <w:jc w:val="center"/>
        <w:rPr>
          <w:b/>
        </w:rPr>
      </w:pPr>
      <w:r w:rsidRPr="003E027B">
        <w:rPr>
          <w:b/>
        </w:rPr>
        <w:t xml:space="preserve">IN THE SUPREME </w:t>
      </w:r>
      <w:r w:rsidR="00FC1F68">
        <w:rPr>
          <w:b/>
        </w:rPr>
        <w:t xml:space="preserve">ENVIRONMENTAL </w:t>
      </w:r>
      <w:r w:rsidRPr="003E027B">
        <w:rPr>
          <w:b/>
        </w:rPr>
        <w:t>MOOT COURT OF CANADA</w:t>
      </w:r>
    </w:p>
    <w:p w14:paraId="6B9FEF2B" w14:textId="77777777" w:rsidR="007C01F5" w:rsidRPr="003E027B" w:rsidRDefault="007C01F5" w:rsidP="007C01F5">
      <w:pPr>
        <w:jc w:val="center"/>
      </w:pPr>
    </w:p>
    <w:p w14:paraId="71A73EE7" w14:textId="3F957E65" w:rsidR="007C01F5" w:rsidRPr="00665D50" w:rsidRDefault="007C01F5" w:rsidP="007C01F5">
      <w:pPr>
        <w:jc w:val="center"/>
        <w:rPr>
          <w:b/>
        </w:rPr>
      </w:pPr>
      <w:r w:rsidRPr="00665D50">
        <w:rPr>
          <w:b/>
        </w:rPr>
        <w:t xml:space="preserve">(ON APPEAL FROM THE </w:t>
      </w:r>
      <w:r w:rsidR="0001047F">
        <w:rPr>
          <w:b/>
        </w:rPr>
        <w:t>ONTARIO</w:t>
      </w:r>
      <w:r w:rsidR="001826D6">
        <w:rPr>
          <w:b/>
        </w:rPr>
        <w:t xml:space="preserve"> </w:t>
      </w:r>
      <w:r w:rsidR="00627A1C">
        <w:rPr>
          <w:b/>
        </w:rPr>
        <w:t>COURT OF JUSTICE</w:t>
      </w:r>
      <w:r w:rsidRPr="00665D50">
        <w:rPr>
          <w:b/>
        </w:rPr>
        <w:t>)</w:t>
      </w:r>
    </w:p>
    <w:p w14:paraId="38250E8B" w14:textId="77777777" w:rsidR="007C01F5" w:rsidRPr="003E027B" w:rsidRDefault="007C01F5" w:rsidP="007C01F5"/>
    <w:p w14:paraId="00ABB042" w14:textId="77777777" w:rsidR="007C01F5" w:rsidRPr="003E027B" w:rsidRDefault="007C01F5" w:rsidP="007C01F5">
      <w:r w:rsidRPr="003E027B">
        <w:t>B E T W E E N:</w:t>
      </w:r>
    </w:p>
    <w:p w14:paraId="55958B93" w14:textId="77777777" w:rsidR="007C01F5" w:rsidRPr="003E027B" w:rsidRDefault="007C01F5" w:rsidP="007C01F5"/>
    <w:p w14:paraId="651857B3" w14:textId="0DF61F02" w:rsidR="00C35F55" w:rsidRPr="003E027B" w:rsidRDefault="0001047F" w:rsidP="00C35F55">
      <w:pPr>
        <w:jc w:val="center"/>
        <w:rPr>
          <w:b/>
        </w:rPr>
      </w:pPr>
      <w:r>
        <w:rPr>
          <w:b/>
        </w:rPr>
        <w:t>HIS MAJESTY THE KING</w:t>
      </w:r>
    </w:p>
    <w:p w14:paraId="71E95666" w14:textId="77777777" w:rsidR="007C01F5" w:rsidRDefault="007C01F5" w:rsidP="007C01F5">
      <w:pPr>
        <w:jc w:val="right"/>
      </w:pPr>
    </w:p>
    <w:p w14:paraId="1FA4883C" w14:textId="3EF12622" w:rsidR="007C01F5" w:rsidRPr="00D7293C" w:rsidRDefault="007C01F5" w:rsidP="007C01F5">
      <w:pPr>
        <w:jc w:val="right"/>
      </w:pPr>
      <w:r w:rsidRPr="00D7293C">
        <w:t>APPELLANT</w:t>
      </w:r>
    </w:p>
    <w:p w14:paraId="060B1EF9" w14:textId="40976709" w:rsidR="007C01F5" w:rsidRPr="00D7293C" w:rsidRDefault="007C01F5" w:rsidP="007C01F5">
      <w:pPr>
        <w:jc w:val="right"/>
      </w:pPr>
    </w:p>
    <w:p w14:paraId="73AFDA45" w14:textId="77777777" w:rsidR="007C01F5" w:rsidRPr="00D7293C" w:rsidRDefault="007C01F5" w:rsidP="007C01F5">
      <w:pPr>
        <w:jc w:val="center"/>
      </w:pPr>
      <w:r w:rsidRPr="00D7293C">
        <w:t>- and -</w:t>
      </w:r>
    </w:p>
    <w:p w14:paraId="3C558287" w14:textId="77777777" w:rsidR="007C01F5" w:rsidRPr="00D7293C" w:rsidRDefault="007C01F5" w:rsidP="007C01F5"/>
    <w:p w14:paraId="377D3974" w14:textId="77777777" w:rsidR="007C01F5" w:rsidRPr="00D7293C" w:rsidRDefault="007C01F5" w:rsidP="007C01F5"/>
    <w:p w14:paraId="5A11EAC2" w14:textId="5314124B" w:rsidR="00C71774" w:rsidRPr="00D7293C" w:rsidRDefault="0001047F" w:rsidP="00C71774">
      <w:pPr>
        <w:jc w:val="center"/>
        <w:rPr>
          <w:b/>
        </w:rPr>
      </w:pPr>
      <w:r>
        <w:rPr>
          <w:b/>
        </w:rPr>
        <w:t>CONSOLIDATED HOMES</w:t>
      </w:r>
      <w:r w:rsidR="0006756C">
        <w:rPr>
          <w:b/>
        </w:rPr>
        <w:t xml:space="preserve"> LTD.</w:t>
      </w:r>
    </w:p>
    <w:p w14:paraId="0AB9BBF7" w14:textId="77777777" w:rsidR="00DB6D5A" w:rsidRDefault="00DB6D5A" w:rsidP="007C01F5">
      <w:pPr>
        <w:jc w:val="right"/>
      </w:pPr>
    </w:p>
    <w:p w14:paraId="7C680996" w14:textId="0081B2EC" w:rsidR="007C01F5" w:rsidRPr="00D7293C" w:rsidRDefault="007C01F5" w:rsidP="007C01F5">
      <w:pPr>
        <w:jc w:val="right"/>
      </w:pPr>
      <w:r w:rsidRPr="00D7293C">
        <w:t>RESPONDENT</w:t>
      </w:r>
    </w:p>
    <w:p w14:paraId="6DEE07D2" w14:textId="77777777" w:rsidR="007C01F5" w:rsidRPr="003E027B" w:rsidRDefault="007C01F5" w:rsidP="007C01F5"/>
    <w:p w14:paraId="5FAEF4BB" w14:textId="77777777" w:rsidR="007C01F5" w:rsidRDefault="007C01F5" w:rsidP="007C01F5"/>
    <w:p w14:paraId="55EF8412" w14:textId="77777777" w:rsidR="007C01F5" w:rsidRPr="003E027B" w:rsidRDefault="00122B70" w:rsidP="007C01F5">
      <w:r>
        <w:rPr>
          <w:noProof/>
          <w:lang w:eastAsia="it-IT"/>
        </w:rPr>
        <w:pict w14:anchorId="17311831">
          <v:shapetype id="_x0000_t32" coordsize="21600,21600" o:spt="32" o:oned="t" path="m,l21600,21600e" filled="f">
            <v:path arrowok="t" fillok="f" o:connecttype="none"/>
            <o:lock v:ext="edit" shapetype="t"/>
          </v:shapetype>
          <v:shape id="_x0000_s2051" type="#_x0000_t32" style="position:absolute;margin-left:0;margin-top:0;width:465.75pt;height:0;z-index:251658240;mso-width-percent:1000;mso-position-horizontal:left;mso-position-horizontal-relative:margin;mso-position-vertical:bottom;mso-position-vertical-relative:line;mso-width-percent:1000;mso-width-relative:margin" o:connectortype="straight" strokeweight="2.25pt">
            <w10:wrap anchorx="margin"/>
          </v:shape>
        </w:pict>
      </w:r>
    </w:p>
    <w:p w14:paraId="60AA9415" w14:textId="440EA355" w:rsidR="007C01F5" w:rsidRDefault="007C01F5" w:rsidP="007C01F5">
      <w:pPr>
        <w:jc w:val="center"/>
        <w:rPr>
          <w:b/>
        </w:rPr>
      </w:pPr>
      <w:r w:rsidRPr="007C01F5">
        <w:rPr>
          <w:b/>
        </w:rPr>
        <w:t xml:space="preserve">FACTUM OF THE </w:t>
      </w:r>
      <w:r w:rsidR="005A7DA6">
        <w:rPr>
          <w:b/>
        </w:rPr>
        <w:t>APPELLANT</w:t>
      </w:r>
    </w:p>
    <w:p w14:paraId="1430BF48" w14:textId="4211DA4C" w:rsidR="007C01F5" w:rsidRDefault="0001047F" w:rsidP="007C01F5">
      <w:pPr>
        <w:jc w:val="center"/>
      </w:pPr>
      <w:r>
        <w:rPr>
          <w:b/>
        </w:rPr>
        <w:t>HIS MAJESTY THE KING</w:t>
      </w:r>
    </w:p>
    <w:p w14:paraId="2D26EAD3" w14:textId="77777777" w:rsidR="007C01F5" w:rsidRPr="003E027B" w:rsidRDefault="007C01F5" w:rsidP="007C01F5">
      <w:pPr>
        <w:jc w:val="center"/>
      </w:pPr>
      <w:r w:rsidRPr="003E027B">
        <w:t xml:space="preserve">Pursuant to Rule </w:t>
      </w:r>
      <w:r w:rsidRPr="003526C9">
        <w:t>12</w:t>
      </w:r>
      <w:r w:rsidRPr="003E027B">
        <w:t xml:space="preserve"> of the</w:t>
      </w:r>
    </w:p>
    <w:p w14:paraId="490B66EF" w14:textId="41660FA3" w:rsidR="007C01F5" w:rsidRDefault="007C01F5" w:rsidP="007C01F5">
      <w:pPr>
        <w:jc w:val="center"/>
      </w:pPr>
      <w:r w:rsidRPr="003E027B">
        <w:t xml:space="preserve">Willms &amp; Shier Environmental Law Moot Official </w:t>
      </w:r>
      <w:r w:rsidR="00F9686D">
        <w:t xml:space="preserve">Competition Rules </w:t>
      </w:r>
      <w:r w:rsidR="003526C9">
        <w:t>20</w:t>
      </w:r>
      <w:r w:rsidR="00117E6A">
        <w:t>2</w:t>
      </w:r>
      <w:r w:rsidR="0001047F">
        <w:t>6</w:t>
      </w:r>
    </w:p>
    <w:p w14:paraId="5578C733" w14:textId="77777777" w:rsidR="007C01F5" w:rsidRPr="003E027B" w:rsidRDefault="007C01F5" w:rsidP="007C01F5">
      <w:pPr>
        <w:jc w:val="center"/>
      </w:pPr>
    </w:p>
    <w:p w14:paraId="157ECA58" w14:textId="77777777" w:rsidR="007C01F5" w:rsidRPr="003E027B" w:rsidRDefault="00122B70" w:rsidP="007C01F5">
      <w:r>
        <w:rPr>
          <w:noProof/>
          <w:lang w:eastAsia="it-IT"/>
        </w:rPr>
        <w:pict w14:anchorId="5179D81B">
          <v:shape id="_x0000_s2052" type="#_x0000_t32" style="position:absolute;margin-left:0;margin-top:0;width:465.65pt;height:0;z-index:251658241;mso-width-percent:1000;mso-position-horizontal:left;mso-position-horizontal-relative:margin;mso-position-vertical:top;mso-position-vertical-relative:line;mso-width-percent:1000;mso-width-relative:margin" o:connectortype="straight" strokeweight="2.25pt">
            <w10:wrap anchorx="margin"/>
          </v:shape>
        </w:pict>
      </w:r>
    </w:p>
    <w:p w14:paraId="3C254B24" w14:textId="77777777" w:rsidR="007C01F5" w:rsidRPr="003E027B" w:rsidRDefault="007C01F5" w:rsidP="007C01F5"/>
    <w:p w14:paraId="7DC06E41" w14:textId="6B224058" w:rsidR="00665D50" w:rsidRDefault="007C01F5" w:rsidP="00665D50">
      <w:pPr>
        <w:jc w:val="right"/>
      </w:pPr>
      <w:r w:rsidRPr="00790A7B">
        <w:t>T</w:t>
      </w:r>
      <w:r w:rsidR="00812A9C">
        <w:t>EAM #</w:t>
      </w:r>
      <w:r w:rsidR="00521A1C">
        <w:t>2026-05</w:t>
      </w:r>
    </w:p>
    <w:p w14:paraId="5A52AD12" w14:textId="77777777" w:rsidR="00347255" w:rsidRDefault="00347255" w:rsidP="00665D50">
      <w:pPr>
        <w:ind w:left="1440" w:hanging="1440"/>
        <w:rPr>
          <w:b/>
        </w:rPr>
        <w:sectPr w:rsidR="00347255" w:rsidSect="00194038">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14:paraId="30C67650" w14:textId="77777777" w:rsidR="00665D50" w:rsidRPr="00665D50" w:rsidRDefault="00665D50" w:rsidP="00665D50">
      <w:pPr>
        <w:ind w:left="1440" w:hanging="1440"/>
        <w:rPr>
          <w:b/>
        </w:rPr>
      </w:pPr>
      <w:r w:rsidRPr="00665D50">
        <w:rPr>
          <w:b/>
        </w:rPr>
        <w:lastRenderedPageBreak/>
        <w:t xml:space="preserve">TO: </w:t>
      </w:r>
      <w:r>
        <w:rPr>
          <w:b/>
        </w:rPr>
        <w:tab/>
      </w:r>
      <w:r w:rsidRPr="00665D50">
        <w:rPr>
          <w:b/>
        </w:rPr>
        <w:t xml:space="preserve">THE REGISTRAR OF THE </w:t>
      </w:r>
      <w:r w:rsidR="003857BB">
        <w:rPr>
          <w:b/>
        </w:rPr>
        <w:br/>
      </w:r>
      <w:r w:rsidRPr="00665D50">
        <w:rPr>
          <w:b/>
        </w:rPr>
        <w:t>SUPREME ENVIRONMENTAL MOOT COURT OF CANADA</w:t>
      </w:r>
    </w:p>
    <w:p w14:paraId="48B5AEAF" w14:textId="77777777" w:rsidR="00665D50" w:rsidRPr="00665D50" w:rsidRDefault="00665D50" w:rsidP="00665D50">
      <w:pPr>
        <w:ind w:left="1440" w:hanging="1440"/>
        <w:rPr>
          <w:b/>
        </w:rPr>
      </w:pPr>
    </w:p>
    <w:p w14:paraId="7CFB3E52" w14:textId="77777777" w:rsidR="00665D50" w:rsidRDefault="00665D50" w:rsidP="00665D50">
      <w:pPr>
        <w:ind w:left="1440" w:hanging="1440"/>
        <w:sectPr w:rsidR="00665D50" w:rsidSect="00194038">
          <w:headerReference w:type="default" r:id="rId12"/>
          <w:headerReference w:type="first" r:id="rId13"/>
          <w:footerReference w:type="first" r:id="rId14"/>
          <w:pgSz w:w="12240" w:h="15840" w:code="1"/>
          <w:pgMar w:top="1440" w:right="1440" w:bottom="1440" w:left="1440" w:header="720" w:footer="720" w:gutter="0"/>
          <w:cols w:space="720"/>
          <w:titlePg/>
          <w:docGrid w:linePitch="360"/>
        </w:sectPr>
      </w:pPr>
      <w:r w:rsidRPr="00665D50">
        <w:rPr>
          <w:b/>
        </w:rPr>
        <w:t xml:space="preserve">AND TO: </w:t>
      </w:r>
      <w:r>
        <w:rPr>
          <w:b/>
        </w:rPr>
        <w:tab/>
      </w:r>
      <w:r w:rsidRPr="00665D50">
        <w:rPr>
          <w:b/>
        </w:rPr>
        <w:t>ALL REGISTERED TEAMS</w:t>
      </w:r>
    </w:p>
    <w:p w14:paraId="5D347E73" w14:textId="2AEF4F27" w:rsidR="00B006D0" w:rsidRDefault="00940B08">
      <w:pPr>
        <w:pStyle w:val="TOC1"/>
        <w:tabs>
          <w:tab w:val="right" w:leader="dot" w:pos="9350"/>
        </w:tabs>
        <w:rPr>
          <w:rFonts w:asciiTheme="minorHAnsi" w:eastAsiaTheme="minorEastAsia" w:hAnsiTheme="minorHAnsi" w:cstheme="minorBidi"/>
          <w:noProof/>
          <w:kern w:val="2"/>
          <w:lang w:val="en-CA" w:eastAsia="en-CA"/>
          <w14:ligatures w14:val="standardContextual"/>
        </w:rPr>
      </w:pPr>
      <w:r>
        <w:lastRenderedPageBreak/>
        <w:fldChar w:fldCharType="begin"/>
      </w:r>
      <w:r w:rsidR="00945835">
        <w:instrText>TOC \o "1-3" \z \u</w:instrText>
      </w:r>
      <w:r>
        <w:fldChar w:fldCharType="separate"/>
      </w:r>
      <w:r w:rsidR="00B006D0" w:rsidRPr="00BD48D0">
        <w:rPr>
          <w:noProof/>
        </w:rPr>
        <w:t>PART I -- OVERVIEW AND STATEMENT OF FACTS</w:t>
      </w:r>
      <w:r w:rsidR="00B006D0">
        <w:rPr>
          <w:noProof/>
          <w:webHidden/>
        </w:rPr>
        <w:tab/>
      </w:r>
      <w:r w:rsidR="00B006D0">
        <w:rPr>
          <w:noProof/>
          <w:webHidden/>
        </w:rPr>
        <w:fldChar w:fldCharType="begin"/>
      </w:r>
      <w:r w:rsidR="00B006D0">
        <w:rPr>
          <w:noProof/>
          <w:webHidden/>
        </w:rPr>
        <w:instrText xml:space="preserve"> PAGEREF _Toc218858273 \h </w:instrText>
      </w:r>
      <w:r w:rsidR="00B006D0">
        <w:rPr>
          <w:noProof/>
          <w:webHidden/>
        </w:rPr>
      </w:r>
      <w:r w:rsidR="00B006D0">
        <w:rPr>
          <w:noProof/>
          <w:webHidden/>
        </w:rPr>
        <w:fldChar w:fldCharType="separate"/>
      </w:r>
      <w:r w:rsidR="00122B70">
        <w:rPr>
          <w:noProof/>
          <w:webHidden/>
        </w:rPr>
        <w:t>1</w:t>
      </w:r>
      <w:r w:rsidR="00B006D0">
        <w:rPr>
          <w:noProof/>
          <w:webHidden/>
        </w:rPr>
        <w:fldChar w:fldCharType="end"/>
      </w:r>
    </w:p>
    <w:p w14:paraId="41E3DE3D" w14:textId="0700E301" w:rsidR="00B006D0" w:rsidRDefault="00B006D0">
      <w:pPr>
        <w:pStyle w:val="TOC2"/>
        <w:tabs>
          <w:tab w:val="left" w:pos="720"/>
          <w:tab w:val="right" w:leader="dot" w:pos="9350"/>
        </w:tabs>
        <w:rPr>
          <w:rFonts w:asciiTheme="minorHAnsi" w:eastAsiaTheme="minorEastAsia" w:hAnsiTheme="minorHAnsi" w:cstheme="minorBidi"/>
          <w:noProof/>
          <w:kern w:val="2"/>
          <w:lang w:val="en-CA" w:eastAsia="en-CA"/>
          <w14:ligatures w14:val="standardContextual"/>
        </w:rPr>
      </w:pPr>
      <w:r w:rsidRPr="00BD48D0">
        <w:rPr>
          <w:noProof/>
        </w:rPr>
        <w:t>A.</w:t>
      </w:r>
      <w:r>
        <w:rPr>
          <w:rFonts w:asciiTheme="minorHAnsi" w:eastAsiaTheme="minorEastAsia" w:hAnsiTheme="minorHAnsi" w:cstheme="minorBidi"/>
          <w:noProof/>
          <w:kern w:val="2"/>
          <w:lang w:val="en-CA" w:eastAsia="en-CA"/>
          <w14:ligatures w14:val="standardContextual"/>
        </w:rPr>
        <w:tab/>
      </w:r>
      <w:r w:rsidRPr="00BD48D0">
        <w:rPr>
          <w:noProof/>
        </w:rPr>
        <w:t>Overview of the Appellant’s Position</w:t>
      </w:r>
      <w:r>
        <w:rPr>
          <w:noProof/>
          <w:webHidden/>
        </w:rPr>
        <w:tab/>
      </w:r>
      <w:r>
        <w:rPr>
          <w:noProof/>
          <w:webHidden/>
        </w:rPr>
        <w:fldChar w:fldCharType="begin"/>
      </w:r>
      <w:r>
        <w:rPr>
          <w:noProof/>
          <w:webHidden/>
        </w:rPr>
        <w:instrText xml:space="preserve"> PAGEREF _Toc218858274 \h </w:instrText>
      </w:r>
      <w:r>
        <w:rPr>
          <w:noProof/>
          <w:webHidden/>
        </w:rPr>
      </w:r>
      <w:r>
        <w:rPr>
          <w:noProof/>
          <w:webHidden/>
        </w:rPr>
        <w:fldChar w:fldCharType="separate"/>
      </w:r>
      <w:r w:rsidR="00122B70">
        <w:rPr>
          <w:noProof/>
          <w:webHidden/>
        </w:rPr>
        <w:t>1</w:t>
      </w:r>
      <w:r>
        <w:rPr>
          <w:noProof/>
          <w:webHidden/>
        </w:rPr>
        <w:fldChar w:fldCharType="end"/>
      </w:r>
    </w:p>
    <w:p w14:paraId="5DD1A98B" w14:textId="5A79C3BC" w:rsidR="00B006D0" w:rsidRDefault="00B006D0">
      <w:pPr>
        <w:pStyle w:val="TOC2"/>
        <w:tabs>
          <w:tab w:val="left" w:pos="720"/>
          <w:tab w:val="right" w:leader="dot" w:pos="9350"/>
        </w:tabs>
        <w:rPr>
          <w:rFonts w:asciiTheme="minorHAnsi" w:eastAsiaTheme="minorEastAsia" w:hAnsiTheme="minorHAnsi" w:cstheme="minorBidi"/>
          <w:noProof/>
          <w:kern w:val="2"/>
          <w:lang w:val="en-CA" w:eastAsia="en-CA"/>
          <w14:ligatures w14:val="standardContextual"/>
        </w:rPr>
      </w:pPr>
      <w:r w:rsidRPr="00BD48D0">
        <w:rPr>
          <w:noProof/>
        </w:rPr>
        <w:t>B.</w:t>
      </w:r>
      <w:r>
        <w:rPr>
          <w:rFonts w:asciiTheme="minorHAnsi" w:eastAsiaTheme="minorEastAsia" w:hAnsiTheme="minorHAnsi" w:cstheme="minorBidi"/>
          <w:noProof/>
          <w:kern w:val="2"/>
          <w:lang w:val="en-CA" w:eastAsia="en-CA"/>
          <w14:ligatures w14:val="standardContextual"/>
        </w:rPr>
        <w:tab/>
      </w:r>
      <w:r w:rsidRPr="00BD48D0">
        <w:rPr>
          <w:noProof/>
        </w:rPr>
        <w:t>Statement of the Facts</w:t>
      </w:r>
      <w:r>
        <w:rPr>
          <w:noProof/>
          <w:webHidden/>
        </w:rPr>
        <w:tab/>
      </w:r>
      <w:r>
        <w:rPr>
          <w:noProof/>
          <w:webHidden/>
        </w:rPr>
        <w:fldChar w:fldCharType="begin"/>
      </w:r>
      <w:r>
        <w:rPr>
          <w:noProof/>
          <w:webHidden/>
        </w:rPr>
        <w:instrText xml:space="preserve"> PAGEREF _Toc218858275 \h </w:instrText>
      </w:r>
      <w:r>
        <w:rPr>
          <w:noProof/>
          <w:webHidden/>
        </w:rPr>
      </w:r>
      <w:r>
        <w:rPr>
          <w:noProof/>
          <w:webHidden/>
        </w:rPr>
        <w:fldChar w:fldCharType="separate"/>
      </w:r>
      <w:r w:rsidR="00122B70">
        <w:rPr>
          <w:noProof/>
          <w:webHidden/>
        </w:rPr>
        <w:t>2</w:t>
      </w:r>
      <w:r>
        <w:rPr>
          <w:noProof/>
          <w:webHidden/>
        </w:rPr>
        <w:fldChar w:fldCharType="end"/>
      </w:r>
    </w:p>
    <w:p w14:paraId="4F621C1A" w14:textId="7CECA82F" w:rsidR="00B006D0" w:rsidRDefault="00B006D0">
      <w:pPr>
        <w:pStyle w:val="TOC3"/>
        <w:tabs>
          <w:tab w:val="left" w:pos="960"/>
          <w:tab w:val="right" w:leader="dot" w:pos="9350"/>
        </w:tabs>
        <w:rPr>
          <w:rFonts w:asciiTheme="minorHAnsi" w:eastAsiaTheme="minorEastAsia" w:hAnsiTheme="minorHAnsi" w:cstheme="minorBidi"/>
          <w:noProof/>
          <w:kern w:val="2"/>
          <w:lang w:val="en-CA" w:eastAsia="en-CA"/>
          <w14:ligatures w14:val="standardContextual"/>
        </w:rPr>
      </w:pPr>
      <w:r w:rsidRPr="00BD48D0">
        <w:rPr>
          <w:noProof/>
        </w:rPr>
        <w:t>(i)</w:t>
      </w:r>
      <w:r>
        <w:rPr>
          <w:rFonts w:asciiTheme="minorHAnsi" w:eastAsiaTheme="minorEastAsia" w:hAnsiTheme="minorHAnsi" w:cstheme="minorBidi"/>
          <w:noProof/>
          <w:kern w:val="2"/>
          <w:lang w:val="en-CA" w:eastAsia="en-CA"/>
          <w14:ligatures w14:val="standardContextual"/>
        </w:rPr>
        <w:tab/>
      </w:r>
      <w:r w:rsidRPr="00B006D0">
        <w:rPr>
          <w:noProof/>
        </w:rPr>
        <w:t>Procedural History</w:t>
      </w:r>
      <w:r>
        <w:rPr>
          <w:noProof/>
          <w:webHidden/>
        </w:rPr>
        <w:tab/>
      </w:r>
      <w:r>
        <w:rPr>
          <w:noProof/>
          <w:webHidden/>
        </w:rPr>
        <w:fldChar w:fldCharType="begin"/>
      </w:r>
      <w:r>
        <w:rPr>
          <w:noProof/>
          <w:webHidden/>
        </w:rPr>
        <w:instrText xml:space="preserve"> PAGEREF _Toc218858276 \h </w:instrText>
      </w:r>
      <w:r>
        <w:rPr>
          <w:noProof/>
          <w:webHidden/>
        </w:rPr>
      </w:r>
      <w:r>
        <w:rPr>
          <w:noProof/>
          <w:webHidden/>
        </w:rPr>
        <w:fldChar w:fldCharType="separate"/>
      </w:r>
      <w:r w:rsidR="00122B70">
        <w:rPr>
          <w:noProof/>
          <w:webHidden/>
        </w:rPr>
        <w:t>4</w:t>
      </w:r>
      <w:r>
        <w:rPr>
          <w:noProof/>
          <w:webHidden/>
        </w:rPr>
        <w:fldChar w:fldCharType="end"/>
      </w:r>
    </w:p>
    <w:p w14:paraId="01DCECC9" w14:textId="0F219068" w:rsidR="00B006D0" w:rsidRDefault="00B006D0">
      <w:pPr>
        <w:pStyle w:val="TOC1"/>
        <w:tabs>
          <w:tab w:val="right" w:leader="dot" w:pos="9350"/>
        </w:tabs>
        <w:rPr>
          <w:rFonts w:asciiTheme="minorHAnsi" w:eastAsiaTheme="minorEastAsia" w:hAnsiTheme="minorHAnsi" w:cstheme="minorBidi"/>
          <w:noProof/>
          <w:kern w:val="2"/>
          <w:lang w:val="en-CA" w:eastAsia="en-CA"/>
          <w14:ligatures w14:val="standardContextual"/>
        </w:rPr>
      </w:pPr>
      <w:r w:rsidRPr="00BD48D0">
        <w:rPr>
          <w:noProof/>
        </w:rPr>
        <w:t>PART II -- QUESTIONS IN ISSUE</w:t>
      </w:r>
      <w:r>
        <w:rPr>
          <w:noProof/>
          <w:webHidden/>
        </w:rPr>
        <w:tab/>
      </w:r>
      <w:r>
        <w:rPr>
          <w:noProof/>
          <w:webHidden/>
        </w:rPr>
        <w:fldChar w:fldCharType="begin"/>
      </w:r>
      <w:r>
        <w:rPr>
          <w:noProof/>
          <w:webHidden/>
        </w:rPr>
        <w:instrText xml:space="preserve"> PAGEREF _Toc218858277 \h </w:instrText>
      </w:r>
      <w:r>
        <w:rPr>
          <w:noProof/>
          <w:webHidden/>
        </w:rPr>
      </w:r>
      <w:r>
        <w:rPr>
          <w:noProof/>
          <w:webHidden/>
        </w:rPr>
        <w:fldChar w:fldCharType="separate"/>
      </w:r>
      <w:r w:rsidR="00122B70">
        <w:rPr>
          <w:noProof/>
          <w:webHidden/>
        </w:rPr>
        <w:t>5</w:t>
      </w:r>
      <w:r>
        <w:rPr>
          <w:noProof/>
          <w:webHidden/>
        </w:rPr>
        <w:fldChar w:fldCharType="end"/>
      </w:r>
    </w:p>
    <w:p w14:paraId="13749E9C" w14:textId="3EA3F8BF" w:rsidR="00B006D0" w:rsidRDefault="00B006D0">
      <w:pPr>
        <w:pStyle w:val="TOC1"/>
        <w:tabs>
          <w:tab w:val="right" w:leader="dot" w:pos="9350"/>
        </w:tabs>
        <w:rPr>
          <w:rFonts w:asciiTheme="minorHAnsi" w:eastAsiaTheme="minorEastAsia" w:hAnsiTheme="minorHAnsi" w:cstheme="minorBidi"/>
          <w:noProof/>
          <w:kern w:val="2"/>
          <w:lang w:val="en-CA" w:eastAsia="en-CA"/>
          <w14:ligatures w14:val="standardContextual"/>
        </w:rPr>
      </w:pPr>
      <w:r w:rsidRPr="00BD48D0">
        <w:rPr>
          <w:noProof/>
        </w:rPr>
        <w:t>PART III -- ARGUMENT</w:t>
      </w:r>
      <w:r>
        <w:rPr>
          <w:noProof/>
          <w:webHidden/>
        </w:rPr>
        <w:tab/>
      </w:r>
      <w:r>
        <w:rPr>
          <w:noProof/>
          <w:webHidden/>
        </w:rPr>
        <w:fldChar w:fldCharType="begin"/>
      </w:r>
      <w:r>
        <w:rPr>
          <w:noProof/>
          <w:webHidden/>
        </w:rPr>
        <w:instrText xml:space="preserve"> PAGEREF _Toc218858278 \h </w:instrText>
      </w:r>
      <w:r>
        <w:rPr>
          <w:noProof/>
          <w:webHidden/>
        </w:rPr>
      </w:r>
      <w:r>
        <w:rPr>
          <w:noProof/>
          <w:webHidden/>
        </w:rPr>
        <w:fldChar w:fldCharType="separate"/>
      </w:r>
      <w:r w:rsidR="00122B70">
        <w:rPr>
          <w:noProof/>
          <w:webHidden/>
        </w:rPr>
        <w:t>5</w:t>
      </w:r>
      <w:r>
        <w:rPr>
          <w:noProof/>
          <w:webHidden/>
        </w:rPr>
        <w:fldChar w:fldCharType="end"/>
      </w:r>
    </w:p>
    <w:p w14:paraId="7BF57401" w14:textId="6434A3C9" w:rsidR="00B006D0" w:rsidRDefault="00B006D0">
      <w:pPr>
        <w:pStyle w:val="TOC2"/>
        <w:tabs>
          <w:tab w:val="left" w:pos="720"/>
          <w:tab w:val="right" w:leader="dot" w:pos="9350"/>
        </w:tabs>
        <w:rPr>
          <w:rFonts w:asciiTheme="minorHAnsi" w:eastAsiaTheme="minorEastAsia" w:hAnsiTheme="minorHAnsi" w:cstheme="minorBidi"/>
          <w:noProof/>
          <w:kern w:val="2"/>
          <w:lang w:val="en-CA" w:eastAsia="en-CA"/>
          <w14:ligatures w14:val="standardContextual"/>
        </w:rPr>
      </w:pPr>
      <w:r w:rsidRPr="00BD48D0">
        <w:rPr>
          <w:noProof/>
        </w:rPr>
        <w:t>A.</w:t>
      </w:r>
      <w:r>
        <w:rPr>
          <w:rFonts w:asciiTheme="minorHAnsi" w:eastAsiaTheme="minorEastAsia" w:hAnsiTheme="minorHAnsi" w:cstheme="minorBidi"/>
          <w:noProof/>
          <w:kern w:val="2"/>
          <w:lang w:val="en-CA" w:eastAsia="en-CA"/>
          <w14:ligatures w14:val="standardContextual"/>
        </w:rPr>
        <w:tab/>
      </w:r>
      <w:r w:rsidRPr="00BD48D0">
        <w:rPr>
          <w:noProof/>
        </w:rPr>
        <w:t>Standard of Review Applicable to the SEMCC</w:t>
      </w:r>
      <w:r>
        <w:rPr>
          <w:noProof/>
          <w:webHidden/>
        </w:rPr>
        <w:tab/>
      </w:r>
      <w:r>
        <w:rPr>
          <w:noProof/>
          <w:webHidden/>
        </w:rPr>
        <w:fldChar w:fldCharType="begin"/>
      </w:r>
      <w:r>
        <w:rPr>
          <w:noProof/>
          <w:webHidden/>
        </w:rPr>
        <w:instrText xml:space="preserve"> PAGEREF _Toc218858279 \h </w:instrText>
      </w:r>
      <w:r>
        <w:rPr>
          <w:noProof/>
          <w:webHidden/>
        </w:rPr>
      </w:r>
      <w:r>
        <w:rPr>
          <w:noProof/>
          <w:webHidden/>
        </w:rPr>
        <w:fldChar w:fldCharType="separate"/>
      </w:r>
      <w:r w:rsidR="00122B70">
        <w:rPr>
          <w:noProof/>
          <w:webHidden/>
        </w:rPr>
        <w:t>5</w:t>
      </w:r>
      <w:r>
        <w:rPr>
          <w:noProof/>
          <w:webHidden/>
        </w:rPr>
        <w:fldChar w:fldCharType="end"/>
      </w:r>
    </w:p>
    <w:p w14:paraId="12703716" w14:textId="04F0D24F" w:rsidR="00B006D0" w:rsidRDefault="00B006D0">
      <w:pPr>
        <w:pStyle w:val="TOC2"/>
        <w:tabs>
          <w:tab w:val="left" w:pos="720"/>
          <w:tab w:val="right" w:leader="dot" w:pos="9350"/>
        </w:tabs>
        <w:rPr>
          <w:rFonts w:asciiTheme="minorHAnsi" w:eastAsiaTheme="minorEastAsia" w:hAnsiTheme="minorHAnsi" w:cstheme="minorBidi"/>
          <w:noProof/>
          <w:kern w:val="2"/>
          <w:lang w:val="en-CA" w:eastAsia="en-CA"/>
          <w14:ligatures w14:val="standardContextual"/>
        </w:rPr>
      </w:pPr>
      <w:r w:rsidRPr="00BD48D0">
        <w:rPr>
          <w:noProof/>
        </w:rPr>
        <w:t>B.</w:t>
      </w:r>
      <w:r>
        <w:rPr>
          <w:rFonts w:asciiTheme="minorHAnsi" w:eastAsiaTheme="minorEastAsia" w:hAnsiTheme="minorHAnsi" w:cstheme="minorBidi"/>
          <w:noProof/>
          <w:kern w:val="2"/>
          <w:lang w:val="en-CA" w:eastAsia="en-CA"/>
          <w14:ligatures w14:val="standardContextual"/>
        </w:rPr>
        <w:tab/>
      </w:r>
      <w:r w:rsidRPr="00BD48D0">
        <w:rPr>
          <w:noProof/>
        </w:rPr>
        <w:t>The OCJ Owes Deference to the Trier of Fact</w:t>
      </w:r>
      <w:r>
        <w:rPr>
          <w:noProof/>
          <w:webHidden/>
        </w:rPr>
        <w:tab/>
      </w:r>
      <w:r>
        <w:rPr>
          <w:noProof/>
          <w:webHidden/>
        </w:rPr>
        <w:fldChar w:fldCharType="begin"/>
      </w:r>
      <w:r>
        <w:rPr>
          <w:noProof/>
          <w:webHidden/>
        </w:rPr>
        <w:instrText xml:space="preserve"> PAGEREF _Toc218858280 \h </w:instrText>
      </w:r>
      <w:r>
        <w:rPr>
          <w:noProof/>
          <w:webHidden/>
        </w:rPr>
      </w:r>
      <w:r>
        <w:rPr>
          <w:noProof/>
          <w:webHidden/>
        </w:rPr>
        <w:fldChar w:fldCharType="separate"/>
      </w:r>
      <w:r w:rsidR="00122B70">
        <w:rPr>
          <w:noProof/>
          <w:webHidden/>
        </w:rPr>
        <w:t>6</w:t>
      </w:r>
      <w:r>
        <w:rPr>
          <w:noProof/>
          <w:webHidden/>
        </w:rPr>
        <w:fldChar w:fldCharType="end"/>
      </w:r>
    </w:p>
    <w:p w14:paraId="75FE100B" w14:textId="70CC7D33" w:rsidR="00B006D0" w:rsidRDefault="00B006D0">
      <w:pPr>
        <w:pStyle w:val="TOC2"/>
        <w:tabs>
          <w:tab w:val="left" w:pos="720"/>
          <w:tab w:val="right" w:leader="dot" w:pos="9350"/>
        </w:tabs>
        <w:rPr>
          <w:rFonts w:asciiTheme="minorHAnsi" w:eastAsiaTheme="minorEastAsia" w:hAnsiTheme="minorHAnsi" w:cstheme="minorBidi"/>
          <w:noProof/>
          <w:kern w:val="2"/>
          <w:lang w:val="en-CA" w:eastAsia="en-CA"/>
          <w14:ligatures w14:val="standardContextual"/>
        </w:rPr>
      </w:pPr>
      <w:r w:rsidRPr="00BD48D0">
        <w:rPr>
          <w:noProof/>
        </w:rPr>
        <w:t>C.</w:t>
      </w:r>
      <w:r>
        <w:rPr>
          <w:rFonts w:asciiTheme="minorHAnsi" w:eastAsiaTheme="minorEastAsia" w:hAnsiTheme="minorHAnsi" w:cstheme="minorBidi"/>
          <w:noProof/>
          <w:kern w:val="2"/>
          <w:lang w:val="en-CA" w:eastAsia="en-CA"/>
          <w14:ligatures w14:val="standardContextual"/>
        </w:rPr>
        <w:tab/>
      </w:r>
      <w:r w:rsidRPr="00BD48D0">
        <w:rPr>
          <w:noProof/>
        </w:rPr>
        <w:t>The OCJ Erred by Overturning the Trial Justice’s Factual Inferences About Blanding’s Turtle Habitat Without Identifying a Palpable and Overriding Error</w:t>
      </w:r>
      <w:r>
        <w:rPr>
          <w:noProof/>
          <w:webHidden/>
        </w:rPr>
        <w:tab/>
      </w:r>
      <w:r>
        <w:rPr>
          <w:noProof/>
          <w:webHidden/>
        </w:rPr>
        <w:fldChar w:fldCharType="begin"/>
      </w:r>
      <w:r>
        <w:rPr>
          <w:noProof/>
          <w:webHidden/>
        </w:rPr>
        <w:instrText xml:space="preserve"> PAGEREF _Toc218858281 \h </w:instrText>
      </w:r>
      <w:r>
        <w:rPr>
          <w:noProof/>
          <w:webHidden/>
        </w:rPr>
      </w:r>
      <w:r>
        <w:rPr>
          <w:noProof/>
          <w:webHidden/>
        </w:rPr>
        <w:fldChar w:fldCharType="separate"/>
      </w:r>
      <w:r w:rsidR="00122B70">
        <w:rPr>
          <w:noProof/>
          <w:webHidden/>
        </w:rPr>
        <w:t>9</w:t>
      </w:r>
      <w:r>
        <w:rPr>
          <w:noProof/>
          <w:webHidden/>
        </w:rPr>
        <w:fldChar w:fldCharType="end"/>
      </w:r>
    </w:p>
    <w:p w14:paraId="2EBA7A05" w14:textId="4BA14A3B" w:rsidR="00B006D0" w:rsidRDefault="00B006D0">
      <w:pPr>
        <w:pStyle w:val="TOC3"/>
        <w:tabs>
          <w:tab w:val="left" w:pos="960"/>
          <w:tab w:val="right" w:leader="dot" w:pos="9350"/>
        </w:tabs>
        <w:rPr>
          <w:rFonts w:asciiTheme="minorHAnsi" w:eastAsiaTheme="minorEastAsia" w:hAnsiTheme="minorHAnsi" w:cstheme="minorBidi"/>
          <w:noProof/>
          <w:kern w:val="2"/>
          <w:lang w:val="en-CA" w:eastAsia="en-CA"/>
          <w14:ligatures w14:val="standardContextual"/>
        </w:rPr>
      </w:pPr>
      <w:r w:rsidRPr="00BD48D0">
        <w:rPr>
          <w:noProof/>
        </w:rPr>
        <w:t>(i)</w:t>
      </w:r>
      <w:r>
        <w:rPr>
          <w:rFonts w:asciiTheme="minorHAnsi" w:eastAsiaTheme="minorEastAsia" w:hAnsiTheme="minorHAnsi" w:cstheme="minorBidi"/>
          <w:noProof/>
          <w:kern w:val="2"/>
          <w:lang w:val="en-CA" w:eastAsia="en-CA"/>
          <w14:ligatures w14:val="standardContextual"/>
        </w:rPr>
        <w:tab/>
      </w:r>
      <w:r w:rsidRPr="00B006D0">
        <w:rPr>
          <w:noProof/>
        </w:rPr>
        <w:t>The Turtle Sightings Support a Reasonable Inference about the Existence of Blanding’s Turtles in the Circle Lake Area</w:t>
      </w:r>
      <w:r>
        <w:rPr>
          <w:noProof/>
          <w:webHidden/>
        </w:rPr>
        <w:tab/>
      </w:r>
      <w:r>
        <w:rPr>
          <w:noProof/>
          <w:webHidden/>
        </w:rPr>
        <w:fldChar w:fldCharType="begin"/>
      </w:r>
      <w:r>
        <w:rPr>
          <w:noProof/>
          <w:webHidden/>
        </w:rPr>
        <w:instrText xml:space="preserve"> PAGEREF _Toc218858282 \h </w:instrText>
      </w:r>
      <w:r>
        <w:rPr>
          <w:noProof/>
          <w:webHidden/>
        </w:rPr>
      </w:r>
      <w:r>
        <w:rPr>
          <w:noProof/>
          <w:webHidden/>
        </w:rPr>
        <w:fldChar w:fldCharType="separate"/>
      </w:r>
      <w:r w:rsidR="00122B70">
        <w:rPr>
          <w:noProof/>
          <w:webHidden/>
        </w:rPr>
        <w:t>10</w:t>
      </w:r>
      <w:r>
        <w:rPr>
          <w:noProof/>
          <w:webHidden/>
        </w:rPr>
        <w:fldChar w:fldCharType="end"/>
      </w:r>
    </w:p>
    <w:p w14:paraId="42E7EDC1" w14:textId="587A93F5" w:rsidR="00B006D0" w:rsidRDefault="00B006D0">
      <w:pPr>
        <w:pStyle w:val="TOC3"/>
        <w:tabs>
          <w:tab w:val="left" w:pos="1200"/>
          <w:tab w:val="right" w:leader="dot" w:pos="9350"/>
        </w:tabs>
        <w:rPr>
          <w:rFonts w:asciiTheme="minorHAnsi" w:eastAsiaTheme="minorEastAsia" w:hAnsiTheme="minorHAnsi" w:cstheme="minorBidi"/>
          <w:noProof/>
          <w:kern w:val="2"/>
          <w:lang w:val="en-CA" w:eastAsia="en-CA"/>
          <w14:ligatures w14:val="standardContextual"/>
        </w:rPr>
      </w:pPr>
      <w:r w:rsidRPr="00BD48D0">
        <w:rPr>
          <w:noProof/>
          <w:color w:val="000000"/>
        </w:rPr>
        <w:t>(ii)</w:t>
      </w:r>
      <w:r>
        <w:rPr>
          <w:rFonts w:asciiTheme="minorHAnsi" w:eastAsiaTheme="minorEastAsia" w:hAnsiTheme="minorHAnsi" w:cstheme="minorBidi"/>
          <w:noProof/>
          <w:kern w:val="2"/>
          <w:lang w:val="en-CA" w:eastAsia="en-CA"/>
          <w14:ligatures w14:val="standardContextual"/>
        </w:rPr>
        <w:t xml:space="preserve">   </w:t>
      </w:r>
      <w:r w:rsidRPr="00B006D0">
        <w:rPr>
          <w:noProof/>
          <w:color w:val="000000"/>
        </w:rPr>
        <w:t>The GHD Supports a Reasonable Inference that Blanding’s Turtles were Dependent on the Site for Life Processes</w:t>
      </w:r>
      <w:r>
        <w:rPr>
          <w:noProof/>
          <w:webHidden/>
        </w:rPr>
        <w:tab/>
      </w:r>
      <w:r>
        <w:rPr>
          <w:noProof/>
          <w:webHidden/>
        </w:rPr>
        <w:fldChar w:fldCharType="begin"/>
      </w:r>
      <w:r>
        <w:rPr>
          <w:noProof/>
          <w:webHidden/>
        </w:rPr>
        <w:instrText xml:space="preserve"> PAGEREF _Toc218858283 \h </w:instrText>
      </w:r>
      <w:r>
        <w:rPr>
          <w:noProof/>
          <w:webHidden/>
        </w:rPr>
      </w:r>
      <w:r>
        <w:rPr>
          <w:noProof/>
          <w:webHidden/>
        </w:rPr>
        <w:fldChar w:fldCharType="separate"/>
      </w:r>
      <w:r w:rsidR="00122B70">
        <w:rPr>
          <w:noProof/>
          <w:webHidden/>
        </w:rPr>
        <w:t>11</w:t>
      </w:r>
      <w:r>
        <w:rPr>
          <w:noProof/>
          <w:webHidden/>
        </w:rPr>
        <w:fldChar w:fldCharType="end"/>
      </w:r>
    </w:p>
    <w:p w14:paraId="5698DA15" w14:textId="7EF0817F" w:rsidR="00B006D0" w:rsidRDefault="00B006D0">
      <w:pPr>
        <w:pStyle w:val="TOC2"/>
        <w:tabs>
          <w:tab w:val="left" w:pos="720"/>
          <w:tab w:val="right" w:leader="dot" w:pos="9350"/>
        </w:tabs>
        <w:rPr>
          <w:rFonts w:asciiTheme="minorHAnsi" w:eastAsiaTheme="minorEastAsia" w:hAnsiTheme="minorHAnsi" w:cstheme="minorBidi"/>
          <w:noProof/>
          <w:kern w:val="2"/>
          <w:lang w:val="en-CA" w:eastAsia="en-CA"/>
          <w14:ligatures w14:val="standardContextual"/>
        </w:rPr>
      </w:pPr>
      <w:r w:rsidRPr="00BD48D0">
        <w:rPr>
          <w:noProof/>
        </w:rPr>
        <w:t>D.</w:t>
      </w:r>
      <w:r>
        <w:rPr>
          <w:rFonts w:asciiTheme="minorHAnsi" w:eastAsiaTheme="minorEastAsia" w:hAnsiTheme="minorHAnsi" w:cstheme="minorBidi"/>
          <w:noProof/>
          <w:kern w:val="2"/>
          <w:lang w:val="en-CA" w:eastAsia="en-CA"/>
          <w14:ligatures w14:val="standardContextual"/>
        </w:rPr>
        <w:tab/>
      </w:r>
      <w:r w:rsidRPr="00BD48D0">
        <w:rPr>
          <w:noProof/>
        </w:rPr>
        <w:t>The OCJ Erred by Failing to Consider Whether Blandings Turtles Indirectly Depended on the Site for Life Processes at the Time of the Offence</w:t>
      </w:r>
      <w:r>
        <w:rPr>
          <w:noProof/>
          <w:webHidden/>
        </w:rPr>
        <w:tab/>
      </w:r>
      <w:r>
        <w:rPr>
          <w:noProof/>
          <w:webHidden/>
        </w:rPr>
        <w:fldChar w:fldCharType="begin"/>
      </w:r>
      <w:r>
        <w:rPr>
          <w:noProof/>
          <w:webHidden/>
        </w:rPr>
        <w:instrText xml:space="preserve"> PAGEREF _Toc218858284 \h </w:instrText>
      </w:r>
      <w:r>
        <w:rPr>
          <w:noProof/>
          <w:webHidden/>
        </w:rPr>
      </w:r>
      <w:r>
        <w:rPr>
          <w:noProof/>
          <w:webHidden/>
        </w:rPr>
        <w:fldChar w:fldCharType="separate"/>
      </w:r>
      <w:r w:rsidR="00122B70">
        <w:rPr>
          <w:noProof/>
          <w:webHidden/>
        </w:rPr>
        <w:t>12</w:t>
      </w:r>
      <w:r>
        <w:rPr>
          <w:noProof/>
          <w:webHidden/>
        </w:rPr>
        <w:fldChar w:fldCharType="end"/>
      </w:r>
    </w:p>
    <w:p w14:paraId="40F330B8" w14:textId="2C89B430" w:rsidR="00B006D0" w:rsidRDefault="00B006D0">
      <w:pPr>
        <w:pStyle w:val="TOC3"/>
        <w:tabs>
          <w:tab w:val="left" w:pos="960"/>
          <w:tab w:val="right" w:leader="dot" w:pos="9350"/>
        </w:tabs>
        <w:rPr>
          <w:rFonts w:asciiTheme="minorHAnsi" w:eastAsiaTheme="minorEastAsia" w:hAnsiTheme="minorHAnsi" w:cstheme="minorBidi"/>
          <w:noProof/>
          <w:kern w:val="2"/>
          <w:lang w:val="en-CA" w:eastAsia="en-CA"/>
          <w14:ligatures w14:val="standardContextual"/>
        </w:rPr>
      </w:pPr>
      <w:r w:rsidRPr="00BD48D0">
        <w:rPr>
          <w:noProof/>
        </w:rPr>
        <w:t>(i)</w:t>
      </w:r>
      <w:r>
        <w:rPr>
          <w:rFonts w:asciiTheme="minorHAnsi" w:eastAsiaTheme="minorEastAsia" w:hAnsiTheme="minorHAnsi" w:cstheme="minorBidi"/>
          <w:noProof/>
          <w:kern w:val="2"/>
          <w:lang w:val="en-CA" w:eastAsia="en-CA"/>
          <w14:ligatures w14:val="standardContextual"/>
        </w:rPr>
        <w:tab/>
      </w:r>
      <w:r w:rsidRPr="00B006D0">
        <w:rPr>
          <w:noProof/>
        </w:rPr>
        <w:t xml:space="preserve">The OCJ </w:t>
      </w:r>
      <w:r w:rsidRPr="00B006D0">
        <w:rPr>
          <w:noProof/>
          <w:color w:val="000000"/>
        </w:rPr>
        <w:t>Misinterpreted the Statutory Definition of “Habitat”</w:t>
      </w:r>
      <w:r>
        <w:rPr>
          <w:noProof/>
          <w:webHidden/>
        </w:rPr>
        <w:tab/>
      </w:r>
      <w:r>
        <w:rPr>
          <w:noProof/>
          <w:webHidden/>
        </w:rPr>
        <w:fldChar w:fldCharType="begin"/>
      </w:r>
      <w:r>
        <w:rPr>
          <w:noProof/>
          <w:webHidden/>
        </w:rPr>
        <w:instrText xml:space="preserve"> PAGEREF _Toc218858285 \h </w:instrText>
      </w:r>
      <w:r>
        <w:rPr>
          <w:noProof/>
          <w:webHidden/>
        </w:rPr>
      </w:r>
      <w:r>
        <w:rPr>
          <w:noProof/>
          <w:webHidden/>
        </w:rPr>
        <w:fldChar w:fldCharType="separate"/>
      </w:r>
      <w:r w:rsidR="00122B70">
        <w:rPr>
          <w:noProof/>
          <w:webHidden/>
        </w:rPr>
        <w:t>13</w:t>
      </w:r>
      <w:r>
        <w:rPr>
          <w:noProof/>
          <w:webHidden/>
        </w:rPr>
        <w:fldChar w:fldCharType="end"/>
      </w:r>
    </w:p>
    <w:p w14:paraId="4CA0DB8F" w14:textId="54BF799C" w:rsidR="00B006D0" w:rsidRDefault="00B006D0">
      <w:pPr>
        <w:pStyle w:val="TOC3"/>
        <w:tabs>
          <w:tab w:val="left" w:pos="1200"/>
          <w:tab w:val="right" w:leader="dot" w:pos="9350"/>
        </w:tabs>
        <w:rPr>
          <w:rFonts w:asciiTheme="minorHAnsi" w:eastAsiaTheme="minorEastAsia" w:hAnsiTheme="minorHAnsi" w:cstheme="minorBidi"/>
          <w:noProof/>
          <w:kern w:val="2"/>
          <w:lang w:val="en-CA" w:eastAsia="en-CA"/>
          <w14:ligatures w14:val="standardContextual"/>
        </w:rPr>
      </w:pPr>
      <w:r w:rsidRPr="00BD48D0">
        <w:rPr>
          <w:noProof/>
        </w:rPr>
        <w:t>(ii)</w:t>
      </w:r>
      <w:r>
        <w:rPr>
          <w:rFonts w:asciiTheme="minorHAnsi" w:eastAsiaTheme="minorEastAsia" w:hAnsiTheme="minorHAnsi" w:cstheme="minorBidi"/>
          <w:noProof/>
          <w:kern w:val="2"/>
          <w:lang w:val="en-CA" w:eastAsia="en-CA"/>
          <w14:ligatures w14:val="standardContextual"/>
        </w:rPr>
        <w:t xml:space="preserve">   </w:t>
      </w:r>
      <w:r w:rsidRPr="00B006D0">
        <w:rPr>
          <w:noProof/>
        </w:rPr>
        <w:t xml:space="preserve">The OCJ Erred by Failing </w:t>
      </w:r>
      <w:r w:rsidRPr="00B006D0">
        <w:rPr>
          <w:noProof/>
          <w:color w:val="000000"/>
        </w:rPr>
        <w:t>to Assess Whether the Evidence Satisfies Indirect Dependence</w:t>
      </w:r>
      <w:r>
        <w:rPr>
          <w:noProof/>
          <w:webHidden/>
        </w:rPr>
        <w:tab/>
      </w:r>
      <w:r>
        <w:rPr>
          <w:noProof/>
          <w:webHidden/>
        </w:rPr>
        <w:fldChar w:fldCharType="begin"/>
      </w:r>
      <w:r>
        <w:rPr>
          <w:noProof/>
          <w:webHidden/>
        </w:rPr>
        <w:instrText xml:space="preserve"> PAGEREF _Toc218858286 \h </w:instrText>
      </w:r>
      <w:r>
        <w:rPr>
          <w:noProof/>
          <w:webHidden/>
        </w:rPr>
      </w:r>
      <w:r>
        <w:rPr>
          <w:noProof/>
          <w:webHidden/>
        </w:rPr>
        <w:fldChar w:fldCharType="separate"/>
      </w:r>
      <w:r w:rsidR="00122B70">
        <w:rPr>
          <w:noProof/>
          <w:webHidden/>
        </w:rPr>
        <w:t>17</w:t>
      </w:r>
      <w:r>
        <w:rPr>
          <w:noProof/>
          <w:webHidden/>
        </w:rPr>
        <w:fldChar w:fldCharType="end"/>
      </w:r>
    </w:p>
    <w:p w14:paraId="5213D92F" w14:textId="0476D2F1" w:rsidR="00B006D0" w:rsidRDefault="00B006D0">
      <w:pPr>
        <w:pStyle w:val="TOC2"/>
        <w:tabs>
          <w:tab w:val="left" w:pos="720"/>
          <w:tab w:val="right" w:leader="dot" w:pos="9350"/>
        </w:tabs>
        <w:rPr>
          <w:rFonts w:asciiTheme="minorHAnsi" w:eastAsiaTheme="minorEastAsia" w:hAnsiTheme="minorHAnsi" w:cstheme="minorBidi"/>
          <w:noProof/>
          <w:kern w:val="2"/>
          <w:lang w:val="en-CA" w:eastAsia="en-CA"/>
          <w14:ligatures w14:val="standardContextual"/>
        </w:rPr>
      </w:pPr>
      <w:r w:rsidRPr="00BD48D0">
        <w:rPr>
          <w:noProof/>
        </w:rPr>
        <w:t>E.</w:t>
      </w:r>
      <w:r>
        <w:rPr>
          <w:rFonts w:asciiTheme="minorHAnsi" w:eastAsiaTheme="minorEastAsia" w:hAnsiTheme="minorHAnsi" w:cstheme="minorBidi"/>
          <w:noProof/>
          <w:kern w:val="2"/>
          <w:lang w:val="en-CA" w:eastAsia="en-CA"/>
          <w14:ligatures w14:val="standardContextual"/>
        </w:rPr>
        <w:tab/>
      </w:r>
      <w:r w:rsidRPr="00BD48D0">
        <w:rPr>
          <w:noProof/>
        </w:rPr>
        <w:t>The Offence is Still Established Under the New Definition</w:t>
      </w:r>
      <w:r>
        <w:rPr>
          <w:noProof/>
          <w:webHidden/>
        </w:rPr>
        <w:tab/>
      </w:r>
      <w:r>
        <w:rPr>
          <w:noProof/>
          <w:webHidden/>
        </w:rPr>
        <w:fldChar w:fldCharType="begin"/>
      </w:r>
      <w:r>
        <w:rPr>
          <w:noProof/>
          <w:webHidden/>
        </w:rPr>
        <w:instrText xml:space="preserve"> PAGEREF _Toc218858287 \h </w:instrText>
      </w:r>
      <w:r>
        <w:rPr>
          <w:noProof/>
          <w:webHidden/>
        </w:rPr>
      </w:r>
      <w:r>
        <w:rPr>
          <w:noProof/>
          <w:webHidden/>
        </w:rPr>
        <w:fldChar w:fldCharType="separate"/>
      </w:r>
      <w:r w:rsidR="00122B70">
        <w:rPr>
          <w:noProof/>
          <w:webHidden/>
        </w:rPr>
        <w:t>20</w:t>
      </w:r>
      <w:r>
        <w:rPr>
          <w:noProof/>
          <w:webHidden/>
        </w:rPr>
        <w:fldChar w:fldCharType="end"/>
      </w:r>
    </w:p>
    <w:p w14:paraId="5E7FD0EA" w14:textId="205BCD4A" w:rsidR="00B006D0" w:rsidRDefault="00B006D0">
      <w:pPr>
        <w:pStyle w:val="TOC1"/>
        <w:tabs>
          <w:tab w:val="right" w:leader="dot" w:pos="9350"/>
        </w:tabs>
        <w:rPr>
          <w:rFonts w:asciiTheme="minorHAnsi" w:eastAsiaTheme="minorEastAsia" w:hAnsiTheme="minorHAnsi" w:cstheme="minorBidi"/>
          <w:noProof/>
          <w:kern w:val="2"/>
          <w:lang w:val="en-CA" w:eastAsia="en-CA"/>
          <w14:ligatures w14:val="standardContextual"/>
        </w:rPr>
      </w:pPr>
      <w:r w:rsidRPr="00BD48D0">
        <w:rPr>
          <w:noProof/>
        </w:rPr>
        <w:t>PART IV -- SUBMISSIONS IN SUPPORT OF COSTS</w:t>
      </w:r>
      <w:r>
        <w:rPr>
          <w:noProof/>
          <w:webHidden/>
        </w:rPr>
        <w:tab/>
      </w:r>
      <w:r>
        <w:rPr>
          <w:noProof/>
          <w:webHidden/>
        </w:rPr>
        <w:fldChar w:fldCharType="begin"/>
      </w:r>
      <w:r>
        <w:rPr>
          <w:noProof/>
          <w:webHidden/>
        </w:rPr>
        <w:instrText xml:space="preserve"> PAGEREF _Toc218858288 \h </w:instrText>
      </w:r>
      <w:r>
        <w:rPr>
          <w:noProof/>
          <w:webHidden/>
        </w:rPr>
      </w:r>
      <w:r>
        <w:rPr>
          <w:noProof/>
          <w:webHidden/>
        </w:rPr>
        <w:fldChar w:fldCharType="separate"/>
      </w:r>
      <w:r w:rsidR="00122B70">
        <w:rPr>
          <w:noProof/>
          <w:webHidden/>
        </w:rPr>
        <w:t>22</w:t>
      </w:r>
      <w:r>
        <w:rPr>
          <w:noProof/>
          <w:webHidden/>
        </w:rPr>
        <w:fldChar w:fldCharType="end"/>
      </w:r>
    </w:p>
    <w:p w14:paraId="687E8FF9" w14:textId="1FC58874" w:rsidR="00B006D0" w:rsidRDefault="00B006D0">
      <w:pPr>
        <w:pStyle w:val="TOC1"/>
        <w:tabs>
          <w:tab w:val="right" w:leader="dot" w:pos="9350"/>
        </w:tabs>
        <w:rPr>
          <w:rFonts w:asciiTheme="minorHAnsi" w:eastAsiaTheme="minorEastAsia" w:hAnsiTheme="minorHAnsi" w:cstheme="minorBidi"/>
          <w:noProof/>
          <w:kern w:val="2"/>
          <w:lang w:val="en-CA" w:eastAsia="en-CA"/>
          <w14:ligatures w14:val="standardContextual"/>
        </w:rPr>
      </w:pPr>
      <w:r w:rsidRPr="00BD48D0">
        <w:rPr>
          <w:noProof/>
        </w:rPr>
        <w:t>PART V -- ORDER SOUGHT</w:t>
      </w:r>
      <w:r>
        <w:rPr>
          <w:noProof/>
          <w:webHidden/>
        </w:rPr>
        <w:tab/>
      </w:r>
      <w:r>
        <w:rPr>
          <w:noProof/>
          <w:webHidden/>
        </w:rPr>
        <w:fldChar w:fldCharType="begin"/>
      </w:r>
      <w:r>
        <w:rPr>
          <w:noProof/>
          <w:webHidden/>
        </w:rPr>
        <w:instrText xml:space="preserve"> PAGEREF _Toc218858289 \h </w:instrText>
      </w:r>
      <w:r>
        <w:rPr>
          <w:noProof/>
          <w:webHidden/>
        </w:rPr>
      </w:r>
      <w:r>
        <w:rPr>
          <w:noProof/>
          <w:webHidden/>
        </w:rPr>
        <w:fldChar w:fldCharType="separate"/>
      </w:r>
      <w:r w:rsidR="00122B70">
        <w:rPr>
          <w:noProof/>
          <w:webHidden/>
        </w:rPr>
        <w:t>22</w:t>
      </w:r>
      <w:r>
        <w:rPr>
          <w:noProof/>
          <w:webHidden/>
        </w:rPr>
        <w:fldChar w:fldCharType="end"/>
      </w:r>
    </w:p>
    <w:p w14:paraId="5A664408" w14:textId="2DFA4DB0" w:rsidR="00B006D0" w:rsidRDefault="00B006D0">
      <w:pPr>
        <w:pStyle w:val="TOC1"/>
        <w:tabs>
          <w:tab w:val="right" w:leader="dot" w:pos="9350"/>
        </w:tabs>
        <w:rPr>
          <w:rFonts w:asciiTheme="minorHAnsi" w:eastAsiaTheme="minorEastAsia" w:hAnsiTheme="minorHAnsi" w:cstheme="minorBidi"/>
          <w:noProof/>
          <w:kern w:val="2"/>
          <w:lang w:val="en-CA" w:eastAsia="en-CA"/>
          <w14:ligatures w14:val="standardContextual"/>
        </w:rPr>
      </w:pPr>
      <w:r w:rsidRPr="00BD48D0">
        <w:rPr>
          <w:noProof/>
        </w:rPr>
        <w:t>PART VI -- TABLE OF AUTHORITIES</w:t>
      </w:r>
      <w:r>
        <w:rPr>
          <w:noProof/>
          <w:webHidden/>
        </w:rPr>
        <w:tab/>
      </w:r>
      <w:r>
        <w:rPr>
          <w:noProof/>
          <w:webHidden/>
        </w:rPr>
        <w:fldChar w:fldCharType="begin"/>
      </w:r>
      <w:r>
        <w:rPr>
          <w:noProof/>
          <w:webHidden/>
        </w:rPr>
        <w:instrText xml:space="preserve"> PAGEREF _Toc218858290 \h </w:instrText>
      </w:r>
      <w:r>
        <w:rPr>
          <w:noProof/>
          <w:webHidden/>
        </w:rPr>
      </w:r>
      <w:r>
        <w:rPr>
          <w:noProof/>
          <w:webHidden/>
        </w:rPr>
        <w:fldChar w:fldCharType="separate"/>
      </w:r>
      <w:r w:rsidR="00122B70">
        <w:rPr>
          <w:noProof/>
          <w:webHidden/>
        </w:rPr>
        <w:t>23</w:t>
      </w:r>
      <w:r>
        <w:rPr>
          <w:noProof/>
          <w:webHidden/>
        </w:rPr>
        <w:fldChar w:fldCharType="end"/>
      </w:r>
    </w:p>
    <w:p w14:paraId="204CDB6C" w14:textId="22B2C8CB" w:rsidR="00B006D0" w:rsidRDefault="00B006D0">
      <w:pPr>
        <w:pStyle w:val="TOC1"/>
        <w:tabs>
          <w:tab w:val="right" w:leader="dot" w:pos="9350"/>
        </w:tabs>
        <w:rPr>
          <w:rFonts w:asciiTheme="minorHAnsi" w:eastAsiaTheme="minorEastAsia" w:hAnsiTheme="minorHAnsi" w:cstheme="minorBidi"/>
          <w:noProof/>
          <w:kern w:val="2"/>
          <w:lang w:val="en-CA" w:eastAsia="en-CA"/>
          <w14:ligatures w14:val="standardContextual"/>
        </w:rPr>
      </w:pPr>
      <w:r w:rsidRPr="00BD48D0">
        <w:rPr>
          <w:noProof/>
        </w:rPr>
        <w:t>PART VII -- LEGISLATION AT ISSUE</w:t>
      </w:r>
      <w:r>
        <w:rPr>
          <w:noProof/>
          <w:webHidden/>
        </w:rPr>
        <w:tab/>
      </w:r>
      <w:r>
        <w:rPr>
          <w:noProof/>
          <w:webHidden/>
        </w:rPr>
        <w:fldChar w:fldCharType="begin"/>
      </w:r>
      <w:r>
        <w:rPr>
          <w:noProof/>
          <w:webHidden/>
        </w:rPr>
        <w:instrText xml:space="preserve"> PAGEREF _Toc218858291 \h </w:instrText>
      </w:r>
      <w:r>
        <w:rPr>
          <w:noProof/>
          <w:webHidden/>
        </w:rPr>
      </w:r>
      <w:r>
        <w:rPr>
          <w:noProof/>
          <w:webHidden/>
        </w:rPr>
        <w:fldChar w:fldCharType="separate"/>
      </w:r>
      <w:r w:rsidR="00122B70">
        <w:rPr>
          <w:noProof/>
          <w:webHidden/>
        </w:rPr>
        <w:t>24</w:t>
      </w:r>
      <w:r>
        <w:rPr>
          <w:noProof/>
          <w:webHidden/>
        </w:rPr>
        <w:fldChar w:fldCharType="end"/>
      </w:r>
    </w:p>
    <w:p w14:paraId="0664D8CD" w14:textId="3F8A8305" w:rsidR="00940B08" w:rsidRDefault="00940B08" w:rsidP="6BAFBF55">
      <w:pPr>
        <w:pStyle w:val="TOC1"/>
        <w:tabs>
          <w:tab w:val="left" w:pos="1440"/>
          <w:tab w:val="right" w:leader="dot" w:pos="9345"/>
        </w:tabs>
        <w:rPr>
          <w:rFonts w:ascii="Calibri" w:eastAsia="MS Mincho" w:hAnsi="Calibri" w:cs="Arial"/>
          <w:kern w:val="2"/>
          <w:lang w:val="en-CA" w:eastAsia="en-CA"/>
        </w:rPr>
      </w:pPr>
      <w:r>
        <w:fldChar w:fldCharType="end"/>
      </w:r>
    </w:p>
    <w:p w14:paraId="04F6F843" w14:textId="65DDF3AE" w:rsidR="00945835" w:rsidRDefault="00945835" w:rsidP="4909DF12">
      <w:pPr>
        <w:pStyle w:val="TOC1"/>
        <w:tabs>
          <w:tab w:val="left" w:pos="1440"/>
          <w:tab w:val="right" w:leader="dot" w:pos="9345"/>
        </w:tabs>
        <w:rPr>
          <w:rFonts w:ascii="Calibri" w:eastAsia="MS Mincho" w:hAnsi="Calibri" w:cs="Arial"/>
          <w:kern w:val="2"/>
          <w:lang w:val="en-CA" w:eastAsia="en-CA"/>
        </w:rPr>
      </w:pPr>
    </w:p>
    <w:p w14:paraId="4E9AB3F6" w14:textId="119EE7F4" w:rsidR="00F36CC8" w:rsidRDefault="00F36CC8" w:rsidP="140AEA97">
      <w:pPr>
        <w:pStyle w:val="TOC1"/>
        <w:tabs>
          <w:tab w:val="left" w:pos="1440"/>
          <w:tab w:val="right" w:leader="dot" w:pos="9345"/>
        </w:tabs>
        <w:rPr>
          <w:rFonts w:ascii="Calibri" w:eastAsia="MS Mincho" w:hAnsi="Calibri" w:cs="Arial"/>
          <w:kern w:val="2"/>
          <w:lang w:val="en-CA" w:eastAsia="en-CA"/>
        </w:rPr>
      </w:pPr>
    </w:p>
    <w:p w14:paraId="77E32E4F" w14:textId="1FF6BFC8" w:rsidR="004D3700" w:rsidRDefault="004D3700" w:rsidP="004D3700">
      <w:pPr>
        <w:spacing w:line="360" w:lineRule="auto"/>
      </w:pPr>
    </w:p>
    <w:p w14:paraId="2FA5DCE9" w14:textId="77777777" w:rsidR="00037BFB" w:rsidRDefault="00037BFB" w:rsidP="000623D3">
      <w:pPr>
        <w:spacing w:line="360" w:lineRule="auto"/>
        <w:sectPr w:rsidR="00037BFB" w:rsidSect="00B92655">
          <w:headerReference w:type="default" r:id="rId15"/>
          <w:headerReference w:type="first" r:id="rId16"/>
          <w:footerReference w:type="first" r:id="rId17"/>
          <w:pgSz w:w="12240" w:h="15840" w:code="1"/>
          <w:pgMar w:top="1440" w:right="1440" w:bottom="1440" w:left="1440" w:header="720" w:footer="720" w:gutter="0"/>
          <w:pgNumType w:fmt="lowerRoman" w:start="1"/>
          <w:cols w:space="720"/>
          <w:docGrid w:linePitch="360"/>
        </w:sectPr>
      </w:pPr>
    </w:p>
    <w:p w14:paraId="1DADB135" w14:textId="72E0369F" w:rsidR="00DD6E8C" w:rsidRPr="00D678D8" w:rsidRDefault="601E3F20" w:rsidP="54ED07DF">
      <w:pPr>
        <w:pStyle w:val="Heading1"/>
        <w:spacing w:before="0" w:after="0"/>
        <w:jc w:val="both"/>
        <w:rPr>
          <w:rFonts w:ascii="Times New Roman" w:hAnsi="Times New Roman"/>
          <w:sz w:val="24"/>
          <w:szCs w:val="24"/>
        </w:rPr>
      </w:pPr>
      <w:bookmarkStart w:id="0" w:name="_Toc271703729"/>
      <w:bookmarkStart w:id="1" w:name="_Toc218630713"/>
      <w:bookmarkStart w:id="2" w:name="_Toc218783931"/>
      <w:bookmarkStart w:id="3" w:name="_Toc218846572"/>
      <w:bookmarkStart w:id="4" w:name="_Toc218858273"/>
      <w:r w:rsidRPr="601E3F20">
        <w:rPr>
          <w:rFonts w:ascii="Times New Roman" w:hAnsi="Times New Roman"/>
          <w:sz w:val="24"/>
          <w:szCs w:val="24"/>
        </w:rPr>
        <w:lastRenderedPageBreak/>
        <w:t>OVERVIEW AND STATEMENT OF FACTS</w:t>
      </w:r>
      <w:bookmarkEnd w:id="0"/>
      <w:bookmarkEnd w:id="1"/>
      <w:bookmarkEnd w:id="2"/>
      <w:bookmarkEnd w:id="3"/>
      <w:bookmarkEnd w:id="4"/>
      <w:r>
        <w:t xml:space="preserve"> </w:t>
      </w:r>
    </w:p>
    <w:p w14:paraId="2B73F75A" w14:textId="7FBB940E" w:rsidR="00DD6E8C" w:rsidRPr="00D678D8" w:rsidRDefault="00D678D8" w:rsidP="54ED07DF">
      <w:pPr>
        <w:pStyle w:val="Heading2"/>
        <w:tabs>
          <w:tab w:val="num" w:pos="720"/>
        </w:tabs>
        <w:spacing w:before="0" w:after="0" w:line="360" w:lineRule="auto"/>
        <w:jc w:val="both"/>
        <w:rPr>
          <w:rFonts w:ascii="Times New Roman" w:hAnsi="Times New Roman"/>
          <w:i w:val="0"/>
          <w:sz w:val="24"/>
          <w:szCs w:val="24"/>
        </w:rPr>
      </w:pPr>
      <w:bookmarkStart w:id="5" w:name="_Toc271703730"/>
      <w:bookmarkStart w:id="6" w:name="_Toc218630714"/>
      <w:bookmarkStart w:id="7" w:name="_Toc218783932"/>
      <w:bookmarkStart w:id="8" w:name="_Toc218846573"/>
      <w:bookmarkStart w:id="9" w:name="_Toc218858274"/>
      <w:r w:rsidRPr="00D678D8">
        <w:rPr>
          <w:rFonts w:ascii="Times New Roman" w:hAnsi="Times New Roman"/>
          <w:i w:val="0"/>
          <w:sz w:val="24"/>
          <w:szCs w:val="24"/>
        </w:rPr>
        <w:t xml:space="preserve">Overview of the </w:t>
      </w:r>
      <w:r w:rsidR="1725D5D9" w:rsidRPr="1725D5D9">
        <w:rPr>
          <w:rFonts w:ascii="Times New Roman" w:hAnsi="Times New Roman"/>
          <w:i w:val="0"/>
          <w:iCs w:val="0"/>
          <w:sz w:val="24"/>
          <w:szCs w:val="24"/>
        </w:rPr>
        <w:t>Appellant’s</w:t>
      </w:r>
      <w:r w:rsidR="005D4389">
        <w:rPr>
          <w:rFonts w:ascii="Times New Roman" w:hAnsi="Times New Roman"/>
          <w:i w:val="0"/>
          <w:iCs w:val="0"/>
          <w:sz w:val="24"/>
          <w:szCs w:val="24"/>
        </w:rPr>
        <w:t xml:space="preserve"> </w:t>
      </w:r>
      <w:r w:rsidRPr="00D678D8">
        <w:rPr>
          <w:rFonts w:ascii="Times New Roman" w:hAnsi="Times New Roman"/>
          <w:i w:val="0"/>
          <w:sz w:val="24"/>
          <w:szCs w:val="24"/>
        </w:rPr>
        <w:t>Position</w:t>
      </w:r>
      <w:bookmarkEnd w:id="5"/>
      <w:bookmarkEnd w:id="6"/>
      <w:bookmarkEnd w:id="7"/>
      <w:bookmarkEnd w:id="8"/>
      <w:bookmarkEnd w:id="9"/>
      <w:r w:rsidR="00DD6E8C" w:rsidRPr="00D678D8">
        <w:rPr>
          <w:rFonts w:ascii="Times New Roman" w:hAnsi="Times New Roman"/>
          <w:i w:val="0"/>
          <w:sz w:val="24"/>
          <w:szCs w:val="24"/>
        </w:rPr>
        <w:t xml:space="preserve"> </w:t>
      </w:r>
    </w:p>
    <w:p w14:paraId="4C38FB03" w14:textId="05787EA9" w:rsidR="0F7A71EC" w:rsidRDefault="2F18C888" w:rsidP="54ED07DF">
      <w:pPr>
        <w:pStyle w:val="WSParaNum"/>
        <w:jc w:val="both"/>
        <w:rPr>
          <w:rFonts w:eastAsia="Arial"/>
          <w:color w:val="000000"/>
        </w:rPr>
      </w:pPr>
      <w:r w:rsidRPr="005A0158">
        <w:rPr>
          <w:color w:val="000000"/>
        </w:rPr>
        <w:t xml:space="preserve">This appeal </w:t>
      </w:r>
      <w:r w:rsidR="33C2A35C" w:rsidRPr="005A0158">
        <w:rPr>
          <w:color w:val="000000"/>
        </w:rPr>
        <w:t xml:space="preserve">concerns </w:t>
      </w:r>
      <w:r w:rsidRPr="005A0158">
        <w:rPr>
          <w:color w:val="000000"/>
        </w:rPr>
        <w:t>appellate deference to a trier of fact’s evidentiary findings and the statutory imperative to protect a threatened species from serious harm to its habitat.</w:t>
      </w:r>
    </w:p>
    <w:p w14:paraId="6BDD7E37" w14:textId="7F670F10" w:rsidR="0F7A71EC" w:rsidRDefault="4D2A7F8C" w:rsidP="54ED07DF">
      <w:pPr>
        <w:pStyle w:val="WSParaNum"/>
        <w:jc w:val="both"/>
        <w:rPr>
          <w:rFonts w:eastAsia="Arial"/>
          <w:color w:val="000000"/>
        </w:rPr>
      </w:pPr>
      <w:r>
        <w:rPr>
          <w:rFonts w:eastAsia="Arial"/>
          <w:color w:val="000000"/>
        </w:rPr>
        <w:t xml:space="preserve"> More specifically, </w:t>
      </w:r>
      <w:r w:rsidR="436F4F55">
        <w:rPr>
          <w:rFonts w:eastAsia="Arial"/>
          <w:color w:val="000000"/>
        </w:rPr>
        <w:t>th</w:t>
      </w:r>
      <w:r w:rsidR="00DC63CE">
        <w:rPr>
          <w:rFonts w:eastAsia="Arial"/>
          <w:color w:val="000000"/>
        </w:rPr>
        <w:t>is</w:t>
      </w:r>
      <w:r w:rsidR="436F4F55">
        <w:rPr>
          <w:rFonts w:eastAsia="Arial"/>
          <w:color w:val="000000"/>
        </w:rPr>
        <w:t xml:space="preserve"> </w:t>
      </w:r>
      <w:r w:rsidR="44C32F4A">
        <w:rPr>
          <w:rFonts w:eastAsia="Arial"/>
          <w:color w:val="000000"/>
        </w:rPr>
        <w:t>appeal</w:t>
      </w:r>
      <w:r>
        <w:rPr>
          <w:rFonts w:eastAsia="Arial"/>
          <w:color w:val="000000"/>
        </w:rPr>
        <w:t xml:space="preserve"> asks whether the Ontario Court of Justice (“</w:t>
      </w:r>
      <w:r>
        <w:rPr>
          <w:rFonts w:eastAsia="Arial"/>
          <w:b/>
          <w:color w:val="000000"/>
        </w:rPr>
        <w:t>OCJ</w:t>
      </w:r>
      <w:r>
        <w:rPr>
          <w:rFonts w:eastAsia="Arial"/>
          <w:color w:val="000000"/>
        </w:rPr>
        <w:t xml:space="preserve">”) exceeded the scope of its appellate jurisdiction by </w:t>
      </w:r>
      <w:r>
        <w:rPr>
          <w:color w:val="000000"/>
        </w:rPr>
        <w:t xml:space="preserve">concluding that the </w:t>
      </w:r>
      <w:r>
        <w:rPr>
          <w:rFonts w:eastAsia="Arial"/>
          <w:color w:val="000000"/>
        </w:rPr>
        <w:t>accepted trial evidence wa</w:t>
      </w:r>
      <w:r>
        <w:rPr>
          <w:color w:val="000000"/>
        </w:rPr>
        <w:t>s insufficient to</w:t>
      </w:r>
      <w:r>
        <w:rPr>
          <w:rFonts w:eastAsia="Arial"/>
          <w:color w:val="000000"/>
        </w:rPr>
        <w:t xml:space="preserve"> </w:t>
      </w:r>
      <w:r>
        <w:rPr>
          <w:color w:val="000000"/>
        </w:rPr>
        <w:t>establish</w:t>
      </w:r>
      <w:r>
        <w:rPr>
          <w:rFonts w:eastAsia="Arial"/>
          <w:color w:val="000000"/>
        </w:rPr>
        <w:t xml:space="preserve"> that land </w:t>
      </w:r>
      <w:r>
        <w:rPr>
          <w:color w:val="000000"/>
        </w:rPr>
        <w:t>damaged by</w:t>
      </w:r>
      <w:r>
        <w:rPr>
          <w:rFonts w:eastAsia="Arial"/>
          <w:color w:val="000000"/>
        </w:rPr>
        <w:t xml:space="preserve"> construction activities </w:t>
      </w:r>
      <w:r>
        <w:rPr>
          <w:color w:val="000000"/>
        </w:rPr>
        <w:t>constituted</w:t>
      </w:r>
      <w:r>
        <w:rPr>
          <w:rFonts w:eastAsia="Arial"/>
          <w:color w:val="000000"/>
        </w:rPr>
        <w:t xml:space="preserve"> Blanding’s turtle habitat. Th</w:t>
      </w:r>
      <w:r w:rsidR="00DC63CE">
        <w:rPr>
          <w:rFonts w:eastAsia="Arial"/>
          <w:color w:val="000000"/>
        </w:rPr>
        <w:t>e outcome</w:t>
      </w:r>
      <w:r>
        <w:rPr>
          <w:rFonts w:eastAsia="Arial"/>
          <w:color w:val="000000"/>
        </w:rPr>
        <w:t xml:space="preserve"> turns on a finding that land disturbed by Consolidated Homes Ltd. (“</w:t>
      </w:r>
      <w:r>
        <w:rPr>
          <w:rFonts w:eastAsia="Arial"/>
          <w:b/>
          <w:color w:val="000000"/>
        </w:rPr>
        <w:t>CHL”</w:t>
      </w:r>
      <w:r>
        <w:rPr>
          <w:rFonts w:eastAsia="Arial"/>
          <w:color w:val="000000"/>
        </w:rPr>
        <w:t xml:space="preserve">) qualified as “habitat” within the meaning of the </w:t>
      </w:r>
      <w:r>
        <w:rPr>
          <w:rFonts w:eastAsia="Arial"/>
          <w:i/>
          <w:color w:val="000000"/>
        </w:rPr>
        <w:t>Endangered Species Act</w:t>
      </w:r>
      <w:r>
        <w:rPr>
          <w:rFonts w:eastAsia="Arial"/>
          <w:color w:val="000000"/>
        </w:rPr>
        <w:t xml:space="preserve">, </w:t>
      </w:r>
      <w:r>
        <w:rPr>
          <w:rFonts w:eastAsia="Arial"/>
          <w:i/>
          <w:color w:val="000000"/>
        </w:rPr>
        <w:t>2007</w:t>
      </w:r>
      <w:r>
        <w:rPr>
          <w:rFonts w:eastAsia="Arial"/>
          <w:color w:val="000000"/>
        </w:rPr>
        <w:t>, SO 2007, c. 6 (“</w:t>
      </w:r>
      <w:r>
        <w:rPr>
          <w:rFonts w:eastAsia="Arial"/>
          <w:b/>
          <w:i/>
          <w:color w:val="000000"/>
        </w:rPr>
        <w:t>ESA</w:t>
      </w:r>
      <w:r>
        <w:rPr>
          <w:rFonts w:eastAsia="Arial"/>
          <w:color w:val="000000"/>
        </w:rPr>
        <w:t xml:space="preserve">”), as it read at the time of the offence, and on the proper role of an appellate court intervening in a trial judge’s evaluation of evidence pursuant to the </w:t>
      </w:r>
      <w:r>
        <w:rPr>
          <w:rFonts w:eastAsia="Arial"/>
          <w:i/>
          <w:color w:val="000000"/>
        </w:rPr>
        <w:t>Provincial Offences Act</w:t>
      </w:r>
      <w:r>
        <w:rPr>
          <w:rFonts w:eastAsia="Arial"/>
          <w:color w:val="000000"/>
        </w:rPr>
        <w:t>, RSO 1990, c P.33 (“</w:t>
      </w:r>
      <w:r>
        <w:rPr>
          <w:rFonts w:eastAsia="Arial"/>
          <w:b/>
          <w:i/>
          <w:color w:val="000000"/>
        </w:rPr>
        <w:t>POA</w:t>
      </w:r>
      <w:r>
        <w:rPr>
          <w:rFonts w:eastAsia="Arial"/>
          <w:color w:val="000000"/>
        </w:rPr>
        <w:t>”).</w:t>
      </w:r>
    </w:p>
    <w:p w14:paraId="04722741" w14:textId="77993E9B" w:rsidR="2F18C888" w:rsidRDefault="4909DF12" w:rsidP="54ED07DF">
      <w:pPr>
        <w:pStyle w:val="WSParaNum"/>
        <w:numPr>
          <w:ilvl w:val="0"/>
          <w:numId w:val="0"/>
        </w:numPr>
        <w:ind w:firstLine="720"/>
        <w:jc w:val="both"/>
        <w:rPr>
          <w:rFonts w:eastAsia="Arial"/>
          <w:color w:val="000000"/>
          <w:sz w:val="20"/>
          <w:szCs w:val="20"/>
        </w:rPr>
      </w:pPr>
      <w:r>
        <w:rPr>
          <w:rFonts w:eastAsia="Arial"/>
          <w:i/>
          <w:color w:val="000000"/>
          <w:sz w:val="20"/>
          <w:szCs w:val="20"/>
        </w:rPr>
        <w:t>Endangered Species Act</w:t>
      </w:r>
      <w:r>
        <w:rPr>
          <w:rFonts w:eastAsia="Arial"/>
          <w:color w:val="000000"/>
          <w:sz w:val="20"/>
          <w:szCs w:val="20"/>
        </w:rPr>
        <w:t xml:space="preserve">, </w:t>
      </w:r>
      <w:r>
        <w:rPr>
          <w:rFonts w:eastAsia="Arial"/>
          <w:i/>
          <w:color w:val="000000"/>
          <w:sz w:val="20"/>
          <w:szCs w:val="20"/>
        </w:rPr>
        <w:t>2007</w:t>
      </w:r>
      <w:r>
        <w:rPr>
          <w:rFonts w:eastAsia="Arial"/>
          <w:color w:val="000000"/>
          <w:sz w:val="20"/>
          <w:szCs w:val="20"/>
        </w:rPr>
        <w:t>, SO 2007, c. 6 [</w:t>
      </w:r>
      <w:r>
        <w:rPr>
          <w:rFonts w:eastAsia="Arial"/>
          <w:i/>
          <w:color w:val="000000"/>
          <w:sz w:val="20"/>
          <w:szCs w:val="20"/>
        </w:rPr>
        <w:t>ESA</w:t>
      </w:r>
      <w:r>
        <w:rPr>
          <w:rFonts w:eastAsia="Arial"/>
          <w:color w:val="000000"/>
          <w:sz w:val="20"/>
          <w:szCs w:val="20"/>
        </w:rPr>
        <w:t>].</w:t>
      </w:r>
    </w:p>
    <w:p w14:paraId="75671D55" w14:textId="55CC12FA" w:rsidR="2F18C888" w:rsidRDefault="4909DF12" w:rsidP="54ED07DF">
      <w:pPr>
        <w:pStyle w:val="WSParaNum"/>
        <w:numPr>
          <w:ilvl w:val="0"/>
          <w:numId w:val="0"/>
        </w:numPr>
        <w:ind w:firstLine="720"/>
        <w:jc w:val="both"/>
        <w:rPr>
          <w:rFonts w:eastAsia="Arial"/>
          <w:color w:val="000000"/>
          <w:sz w:val="20"/>
          <w:szCs w:val="20"/>
        </w:rPr>
      </w:pPr>
      <w:r>
        <w:rPr>
          <w:rFonts w:eastAsia="Arial"/>
          <w:i/>
          <w:color w:val="000000"/>
          <w:sz w:val="20"/>
          <w:szCs w:val="20"/>
        </w:rPr>
        <w:t>Provincial Offences Act</w:t>
      </w:r>
      <w:r>
        <w:rPr>
          <w:rFonts w:eastAsia="Arial"/>
          <w:color w:val="000000"/>
          <w:sz w:val="20"/>
          <w:szCs w:val="20"/>
        </w:rPr>
        <w:t>, RSO 1990, c P.33 [</w:t>
      </w:r>
      <w:r>
        <w:rPr>
          <w:rFonts w:eastAsia="Arial"/>
          <w:i/>
          <w:color w:val="000000"/>
          <w:sz w:val="20"/>
          <w:szCs w:val="20"/>
        </w:rPr>
        <w:t>POA</w:t>
      </w:r>
      <w:r>
        <w:rPr>
          <w:rFonts w:eastAsia="Arial"/>
          <w:color w:val="000000"/>
          <w:sz w:val="20"/>
          <w:szCs w:val="20"/>
        </w:rPr>
        <w:t>].</w:t>
      </w:r>
    </w:p>
    <w:p w14:paraId="467F1D9C" w14:textId="1BF54F3F" w:rsidR="0F7A71EC" w:rsidRDefault="4909DF12" w:rsidP="4909DF12">
      <w:pPr>
        <w:pStyle w:val="WSParaNum"/>
        <w:jc w:val="both"/>
        <w:rPr>
          <w:color w:val="000000"/>
        </w:rPr>
      </w:pPr>
      <w:r>
        <w:rPr>
          <w:rFonts w:eastAsia="Arial"/>
          <w:color w:val="000000"/>
        </w:rPr>
        <w:t xml:space="preserve">There are two determinative questions in this appeal. </w:t>
      </w:r>
      <w:r>
        <w:rPr>
          <w:color w:val="000000"/>
        </w:rPr>
        <w:t>First,</w:t>
      </w:r>
      <w:r>
        <w:rPr>
          <w:rFonts w:eastAsia="Arial"/>
          <w:color w:val="000000"/>
        </w:rPr>
        <w:t xml:space="preserve"> whether an appellate court </w:t>
      </w:r>
      <w:r>
        <w:rPr>
          <w:color w:val="000000"/>
        </w:rPr>
        <w:t xml:space="preserve">acting under the </w:t>
      </w:r>
      <w:r>
        <w:rPr>
          <w:i/>
          <w:color w:val="000000"/>
        </w:rPr>
        <w:t xml:space="preserve">POA </w:t>
      </w:r>
      <w:r w:rsidR="2D1348DB">
        <w:rPr>
          <w:rFonts w:eastAsia="Arial"/>
          <w:color w:val="000000"/>
        </w:rPr>
        <w:t>is permitted to</w:t>
      </w:r>
      <w:r>
        <w:rPr>
          <w:rFonts w:eastAsia="Arial"/>
          <w:color w:val="000000"/>
        </w:rPr>
        <w:t xml:space="preserve"> overturn </w:t>
      </w:r>
      <w:r>
        <w:rPr>
          <w:color w:val="000000"/>
        </w:rPr>
        <w:t>a trial judge’s reasonable inferences of fact in the absence of a</w:t>
      </w:r>
      <w:r>
        <w:rPr>
          <w:rFonts w:eastAsia="Arial"/>
          <w:color w:val="000000"/>
        </w:rPr>
        <w:t xml:space="preserve"> palpable and overriding </w:t>
      </w:r>
      <w:r>
        <w:rPr>
          <w:color w:val="000000"/>
        </w:rPr>
        <w:t xml:space="preserve">error. Second, whether the OCJ correctly interpreted and applied the </w:t>
      </w:r>
      <w:r>
        <w:rPr>
          <w:i/>
          <w:color w:val="000000"/>
        </w:rPr>
        <w:t xml:space="preserve">ESA </w:t>
      </w:r>
      <w:r>
        <w:rPr>
          <w:color w:val="000000"/>
        </w:rPr>
        <w:t>in concluding that a trial decision was unreasonable or unsupported by the evidence.</w:t>
      </w:r>
    </w:p>
    <w:p w14:paraId="37517385" w14:textId="167497EF" w:rsidR="43053677" w:rsidRDefault="0D0F85FC" w:rsidP="54ED07DF">
      <w:pPr>
        <w:pStyle w:val="WSParaNum"/>
        <w:jc w:val="both"/>
        <w:rPr>
          <w:color w:val="000000"/>
        </w:rPr>
      </w:pPr>
      <w:r>
        <w:rPr>
          <w:color w:val="000000"/>
        </w:rPr>
        <w:t xml:space="preserve">On the first issue, the Appellant submits that the OCJ exceeded the scope of its appellate jurisdiction by overturning reasonable inferences drawn at trial without identifying any palpable and overriding error. It is well established that appellate courts </w:t>
      </w:r>
      <w:r w:rsidR="26E98FBC">
        <w:rPr>
          <w:color w:val="000000"/>
        </w:rPr>
        <w:t>cannot</w:t>
      </w:r>
      <w:r>
        <w:rPr>
          <w:color w:val="000000"/>
        </w:rPr>
        <w:t xml:space="preserve"> re-weigh evidence, substitute their own assessment of probative value, or recast a trial judge’s evidentiary reasoning as an error of law to justify intervention. Absent a reviewable error, findings of fact and the inferences drawn from them are entitled to deference and may not be disturbed. The OCJ’s intervention in this case contravened these settled principles and amounted to impermissible appellate fact-finding.</w:t>
      </w:r>
    </w:p>
    <w:p w14:paraId="641A95E5" w14:textId="02D3146C" w:rsidR="7255C247" w:rsidRDefault="004525B1" w:rsidP="790ED580">
      <w:pPr>
        <w:pStyle w:val="WSParaNum"/>
        <w:spacing w:before="240" w:after="240"/>
        <w:jc w:val="both"/>
        <w:rPr>
          <w:color w:val="000000"/>
        </w:rPr>
      </w:pPr>
      <w:r>
        <w:t>Regarding</w:t>
      </w:r>
      <w:r w:rsidR="4D2A7F8C">
        <w:t xml:space="preserve"> the second issue, </w:t>
      </w:r>
      <w:r w:rsidR="4D2A7F8C">
        <w:rPr>
          <w:color w:val="000000"/>
        </w:rPr>
        <w:t xml:space="preserve">the Appellant submits that the OCJ erred in its interpretation and application of the </w:t>
      </w:r>
      <w:r w:rsidR="4D2A7F8C">
        <w:rPr>
          <w:i/>
          <w:color w:val="000000"/>
        </w:rPr>
        <w:t>ESA</w:t>
      </w:r>
      <w:r w:rsidR="4D2A7F8C">
        <w:rPr>
          <w:color w:val="000000"/>
        </w:rPr>
        <w:t xml:space="preserve">’s section 2(1)(b) definition of habitat. The OCJ found that a </w:t>
      </w:r>
      <w:r w:rsidR="4D2A7F8C" w:rsidRPr="4D2A7F8C">
        <w:rPr>
          <w:lang w:val="en-US"/>
        </w:rPr>
        <w:t xml:space="preserve">factual </w:t>
      </w:r>
      <w:r w:rsidR="4D2A7F8C" w:rsidRPr="4D2A7F8C">
        <w:rPr>
          <w:lang w:val="en-US"/>
        </w:rPr>
        <w:lastRenderedPageBreak/>
        <w:t>inference about direct dependence was unreasonable or not supported by the evidence, without considering indirect dependence.</w:t>
      </w:r>
      <w:r w:rsidR="4D2A7F8C">
        <w:rPr>
          <w:color w:val="000000"/>
        </w:rPr>
        <w:t xml:space="preserve"> The </w:t>
      </w:r>
      <w:r w:rsidR="4D2A7F8C">
        <w:rPr>
          <w:i/>
          <w:color w:val="000000"/>
        </w:rPr>
        <w:t xml:space="preserve">ESA </w:t>
      </w:r>
      <w:r w:rsidR="4D2A7F8C">
        <w:rPr>
          <w:color w:val="000000"/>
        </w:rPr>
        <w:t xml:space="preserve">includes areas on which a species indirectly depends </w:t>
      </w:r>
      <w:r w:rsidR="00280198">
        <w:rPr>
          <w:color w:val="000000"/>
        </w:rPr>
        <w:t>for</w:t>
      </w:r>
      <w:r w:rsidR="4D2A7F8C">
        <w:rPr>
          <w:color w:val="000000"/>
        </w:rPr>
        <w:t xml:space="preserve"> its life processes in its definition of habitat. </w:t>
      </w:r>
      <w:r w:rsidR="02753A63">
        <w:rPr>
          <w:color w:val="000000"/>
        </w:rPr>
        <w:t xml:space="preserve"> This</w:t>
      </w:r>
      <w:r w:rsidR="4D2A7F8C">
        <w:rPr>
          <w:color w:val="000000"/>
        </w:rPr>
        <w:t xml:space="preserve"> definition must be read in its full context and in a manner consistent with the </w:t>
      </w:r>
      <w:r w:rsidR="4D2A7F8C">
        <w:rPr>
          <w:i/>
          <w:color w:val="000000"/>
        </w:rPr>
        <w:t>ESA’</w:t>
      </w:r>
      <w:r w:rsidR="4D2A7F8C">
        <w:rPr>
          <w:color w:val="000000"/>
        </w:rPr>
        <w:t xml:space="preserve">s remedial purpose and protective legislative scheme. Properly construed, habitat, within the meaning of the </w:t>
      </w:r>
      <w:r w:rsidR="4D2A7F8C">
        <w:rPr>
          <w:i/>
          <w:color w:val="000000"/>
        </w:rPr>
        <w:t>ESA</w:t>
      </w:r>
      <w:r w:rsidR="4D2A7F8C">
        <w:rPr>
          <w:color w:val="000000"/>
        </w:rPr>
        <w:t>,</w:t>
      </w:r>
      <w:r w:rsidR="4D2A7F8C">
        <w:rPr>
          <w:i/>
          <w:color w:val="000000"/>
        </w:rPr>
        <w:t xml:space="preserve"> </w:t>
      </w:r>
      <w:r w:rsidR="4D2A7F8C">
        <w:rPr>
          <w:color w:val="000000"/>
        </w:rPr>
        <w:t xml:space="preserve">includes areas that Blanding’s turtles indirectly require to survive. This definition encompasses areas that contain features essential to life processes of a nearby protected species, even if the species is not physically present or actively using the area in question at the time of an offence. </w:t>
      </w:r>
      <w:r w:rsidR="4D2A7F8C">
        <w:t xml:space="preserve">Requiring proof of active presence or use by a protected species at the time of an offence while failing to consider whether the evidence satisfies habitat through indirect dependence constitutes an error of law. It unduly restricts the </w:t>
      </w:r>
      <w:r w:rsidR="4D2A7F8C" w:rsidRPr="4D2A7F8C">
        <w:rPr>
          <w:i/>
          <w:iCs/>
        </w:rPr>
        <w:t>ESA</w:t>
      </w:r>
      <w:r w:rsidR="4D2A7F8C">
        <w:t xml:space="preserve">’s definition of habitat, undermines its purpose, and is out of step with governing authority. </w:t>
      </w:r>
    </w:p>
    <w:p w14:paraId="08E933B7" w14:textId="0B94F2FC" w:rsidR="74246CEF" w:rsidRDefault="2F18C888" w:rsidP="54ED07DF">
      <w:pPr>
        <w:pStyle w:val="WSParaNum"/>
        <w:jc w:val="both"/>
        <w:rPr>
          <w:rFonts w:eastAsia="Arial"/>
          <w:color w:val="000000"/>
        </w:rPr>
      </w:pPr>
      <w:r w:rsidRPr="005A0158">
        <w:rPr>
          <w:rFonts w:eastAsia="Arial"/>
          <w:color w:val="000000"/>
        </w:rPr>
        <w:t>Accordingly, the Appellant requests that the Supreme Environmental Moot Court of Canada (“</w:t>
      </w:r>
      <w:r w:rsidRPr="005A0158">
        <w:rPr>
          <w:rFonts w:eastAsia="Arial"/>
          <w:b/>
          <w:color w:val="000000"/>
        </w:rPr>
        <w:t>SEMCC</w:t>
      </w:r>
      <w:r w:rsidRPr="005A0158">
        <w:rPr>
          <w:rFonts w:eastAsia="Arial"/>
          <w:color w:val="000000"/>
        </w:rPr>
        <w:t>”) allow this appeal</w:t>
      </w:r>
      <w:r w:rsidR="6769F9E1" w:rsidRPr="005A0158">
        <w:rPr>
          <w:rFonts w:eastAsia="Arial"/>
          <w:color w:val="000000"/>
        </w:rPr>
        <w:t>.</w:t>
      </w:r>
    </w:p>
    <w:p w14:paraId="3CC78B76" w14:textId="77777777" w:rsidR="00DD6E8C" w:rsidRPr="00D678D8" w:rsidRDefault="00D678D8" w:rsidP="54ED07DF">
      <w:pPr>
        <w:pStyle w:val="Heading2"/>
        <w:tabs>
          <w:tab w:val="num" w:pos="720"/>
        </w:tabs>
        <w:spacing w:before="0" w:after="0" w:line="360" w:lineRule="auto"/>
        <w:jc w:val="both"/>
        <w:rPr>
          <w:rFonts w:ascii="Times New Roman" w:hAnsi="Times New Roman"/>
          <w:i w:val="0"/>
          <w:sz w:val="24"/>
          <w:szCs w:val="24"/>
        </w:rPr>
      </w:pPr>
      <w:bookmarkStart w:id="10" w:name="_Toc271703731"/>
      <w:bookmarkStart w:id="11" w:name="_Toc218630715"/>
      <w:bookmarkStart w:id="12" w:name="_Toc218783933"/>
      <w:bookmarkStart w:id="13" w:name="_Toc218846574"/>
      <w:bookmarkStart w:id="14" w:name="_Toc218858275"/>
      <w:r w:rsidRPr="00D678D8">
        <w:rPr>
          <w:rFonts w:ascii="Times New Roman" w:hAnsi="Times New Roman"/>
          <w:i w:val="0"/>
          <w:sz w:val="24"/>
          <w:szCs w:val="24"/>
        </w:rPr>
        <w:t>Statement of the Facts</w:t>
      </w:r>
      <w:bookmarkEnd w:id="10"/>
      <w:bookmarkEnd w:id="11"/>
      <w:bookmarkEnd w:id="12"/>
      <w:bookmarkEnd w:id="13"/>
      <w:bookmarkEnd w:id="14"/>
    </w:p>
    <w:p w14:paraId="5456F0CE" w14:textId="33D2BDFA" w:rsidR="1896EEB3" w:rsidRDefault="4909DF12" w:rsidP="54ED07DF">
      <w:pPr>
        <w:pStyle w:val="WSParaNum"/>
        <w:jc w:val="both"/>
        <w:rPr>
          <w:color w:val="000000"/>
        </w:rPr>
      </w:pPr>
      <w:r>
        <w:rPr>
          <w:color w:val="000000"/>
        </w:rPr>
        <w:t xml:space="preserve">The Blanding’s turtle is a threatened species under the </w:t>
      </w:r>
      <w:r>
        <w:rPr>
          <w:i/>
          <w:color w:val="000000"/>
        </w:rPr>
        <w:t>ESA.</w:t>
      </w:r>
      <w:r>
        <w:rPr>
          <w:color w:val="000000"/>
        </w:rPr>
        <w:t xml:space="preserve"> In the absence of a habitat regulation, an area </w:t>
      </w:r>
      <w:r w:rsidR="3415C24B">
        <w:rPr>
          <w:color w:val="000000"/>
        </w:rPr>
        <w:t>legally constitutes</w:t>
      </w:r>
      <w:r>
        <w:rPr>
          <w:color w:val="000000"/>
        </w:rPr>
        <w:t xml:space="preserve"> habitat where the species depends on it, directly or indirectly, to carry out its life processes.</w:t>
      </w:r>
    </w:p>
    <w:p w14:paraId="1A330637" w14:textId="0F619A2E" w:rsidR="6C4E2070" w:rsidRDefault="2F18C888" w:rsidP="54ED07DF">
      <w:pPr>
        <w:pStyle w:val="WSParaNum"/>
        <w:numPr>
          <w:ilvl w:val="0"/>
          <w:numId w:val="0"/>
        </w:numPr>
        <w:ind w:left="720"/>
        <w:jc w:val="both"/>
        <w:rPr>
          <w:sz w:val="20"/>
          <w:szCs w:val="20"/>
        </w:rPr>
      </w:pPr>
      <w:r w:rsidRPr="077EDFEA">
        <w:rPr>
          <w:i/>
          <w:sz w:val="20"/>
          <w:szCs w:val="20"/>
        </w:rPr>
        <w:t>Species at Risk in Ontario List</w:t>
      </w:r>
      <w:r w:rsidRPr="077EDFEA">
        <w:rPr>
          <w:sz w:val="20"/>
          <w:szCs w:val="20"/>
        </w:rPr>
        <w:t>, O Reg 230/08, Sch</w:t>
      </w:r>
      <w:r w:rsidR="00E71FFA">
        <w:rPr>
          <w:sz w:val="20"/>
          <w:szCs w:val="20"/>
        </w:rPr>
        <w:t>.</w:t>
      </w:r>
      <w:r w:rsidRPr="077EDFEA">
        <w:rPr>
          <w:sz w:val="20"/>
          <w:szCs w:val="20"/>
        </w:rPr>
        <w:t xml:space="preserve"> 3.</w:t>
      </w:r>
    </w:p>
    <w:p w14:paraId="7AE4FF2C" w14:textId="7E8B6ED3" w:rsidR="782D6623" w:rsidRDefault="4909DF12" w:rsidP="54ED07DF">
      <w:pPr>
        <w:pStyle w:val="WSParaNum"/>
        <w:numPr>
          <w:ilvl w:val="0"/>
          <w:numId w:val="0"/>
        </w:numPr>
        <w:ind w:firstLine="720"/>
        <w:jc w:val="both"/>
        <w:rPr>
          <w:rFonts w:eastAsia="Arial"/>
          <w:color w:val="000000"/>
          <w:sz w:val="20"/>
          <w:szCs w:val="20"/>
        </w:rPr>
      </w:pPr>
      <w:r w:rsidRPr="4909DF12">
        <w:rPr>
          <w:i/>
          <w:iCs/>
          <w:sz w:val="20"/>
          <w:szCs w:val="20"/>
        </w:rPr>
        <w:t>ESA</w:t>
      </w:r>
      <w:r w:rsidRPr="4909DF12">
        <w:rPr>
          <w:sz w:val="20"/>
          <w:szCs w:val="20"/>
        </w:rPr>
        <w:t xml:space="preserve">, </w:t>
      </w:r>
      <w:r w:rsidRPr="4909DF12">
        <w:rPr>
          <w:i/>
          <w:iCs/>
          <w:sz w:val="20"/>
          <w:szCs w:val="20"/>
        </w:rPr>
        <w:t xml:space="preserve">supra </w:t>
      </w:r>
      <w:r w:rsidRPr="4909DF12">
        <w:rPr>
          <w:sz w:val="20"/>
          <w:szCs w:val="20"/>
        </w:rPr>
        <w:t>para 2, s 2</w:t>
      </w:r>
      <w:r w:rsidR="4AB1FC8D" w:rsidRPr="4AB1FC8D">
        <w:rPr>
          <w:sz w:val="20"/>
          <w:szCs w:val="20"/>
        </w:rPr>
        <w:t>(1).</w:t>
      </w:r>
    </w:p>
    <w:p w14:paraId="3776DA67" w14:textId="4261A210" w:rsidR="782D6623" w:rsidRDefault="2FC0C364" w:rsidP="54ED07DF">
      <w:pPr>
        <w:pStyle w:val="WSParaNum"/>
        <w:jc w:val="both"/>
        <w:rPr>
          <w:rFonts w:eastAsia="Arial"/>
          <w:color w:val="000000"/>
        </w:rPr>
      </w:pPr>
      <w:r>
        <w:rPr>
          <w:rFonts w:eastAsia="Arial"/>
          <w:color w:val="000000"/>
        </w:rPr>
        <w:t xml:space="preserve">CHL is a residential developer in the City of North Bay, Ontario. In or around 2010, CHL began planning a residential development on wetlands located south of Circle Lake. Blanding’s turtles had previously been observed in </w:t>
      </w:r>
      <w:r w:rsidR="691EB016">
        <w:rPr>
          <w:rFonts w:eastAsia="Arial"/>
          <w:color w:val="000000"/>
        </w:rPr>
        <w:t>the area</w:t>
      </w:r>
      <w:r w:rsidR="6B0763D3">
        <w:rPr>
          <w:rFonts w:eastAsia="Arial"/>
          <w:color w:val="000000"/>
        </w:rPr>
        <w:t xml:space="preserve"> </w:t>
      </w:r>
      <w:r w:rsidR="72744DFF">
        <w:rPr>
          <w:rFonts w:eastAsia="Arial"/>
          <w:color w:val="000000"/>
        </w:rPr>
        <w:t xml:space="preserve">in </w:t>
      </w:r>
      <w:r w:rsidR="1DB673B2">
        <w:rPr>
          <w:rFonts w:eastAsia="Arial"/>
          <w:color w:val="000000"/>
        </w:rPr>
        <w:t>2007.</w:t>
      </w:r>
      <w:r>
        <w:rPr>
          <w:rFonts w:eastAsia="Arial"/>
          <w:color w:val="000000"/>
        </w:rPr>
        <w:t xml:space="preserve"> </w:t>
      </w:r>
      <w:r w:rsidR="463DE2B8">
        <w:rPr>
          <w:rFonts w:eastAsia="Arial"/>
          <w:color w:val="000000"/>
        </w:rPr>
        <w:t>In 2010, a</w:t>
      </w:r>
      <w:r w:rsidR="463DE2B8">
        <w:rPr>
          <w:color w:val="000000"/>
        </w:rPr>
        <w:t>n</w:t>
      </w:r>
      <w:r>
        <w:rPr>
          <w:color w:val="000000"/>
        </w:rPr>
        <w:t xml:space="preserve"> environmental impact study prepared for CHL acknowledged that Circle Lake provided suitable habitat for endangered species likely to be present, including the Blanding’s </w:t>
      </w:r>
      <w:r w:rsidR="7D94C1F3">
        <w:rPr>
          <w:color w:val="000000"/>
        </w:rPr>
        <w:t>turtle</w:t>
      </w:r>
      <w:r>
        <w:rPr>
          <w:color w:val="000000"/>
        </w:rPr>
        <w:t>, and identified specific activities, such as vegetation removal, that could harm its wetland habitat.</w:t>
      </w:r>
    </w:p>
    <w:p w14:paraId="09DA5389" w14:textId="0F4A0180" w:rsidR="782D6623" w:rsidRDefault="4D2A7F8C" w:rsidP="00D478F7">
      <w:pPr>
        <w:pStyle w:val="WSParaNum"/>
        <w:numPr>
          <w:ilvl w:val="0"/>
          <w:numId w:val="0"/>
        </w:numPr>
        <w:spacing w:before="240" w:after="240" w:line="240" w:lineRule="auto"/>
        <w:ind w:left="720"/>
        <w:jc w:val="both"/>
        <w:rPr>
          <w:rFonts w:eastAsia="Arial"/>
          <w:color w:val="000000"/>
          <w:sz w:val="20"/>
          <w:szCs w:val="20"/>
        </w:rPr>
      </w:pPr>
      <w:r>
        <w:rPr>
          <w:rFonts w:eastAsia="Arial"/>
          <w:i/>
          <w:color w:val="000000"/>
          <w:sz w:val="20"/>
          <w:szCs w:val="20"/>
        </w:rPr>
        <w:t>R v Consolidated Homes Ltd</w:t>
      </w:r>
      <w:r>
        <w:rPr>
          <w:rFonts w:eastAsia="Arial"/>
          <w:color w:val="000000"/>
          <w:sz w:val="20"/>
          <w:szCs w:val="20"/>
        </w:rPr>
        <w:t>., Reasons for Judgment, Transcript for August 20, 2024, at 4–5 [OCJ Decision].</w:t>
      </w:r>
    </w:p>
    <w:p w14:paraId="6293D857" w14:textId="4C1EE82B" w:rsidR="782D6623" w:rsidRDefault="6DCFAA61" w:rsidP="54ED07DF">
      <w:pPr>
        <w:pStyle w:val="WSParaNum"/>
        <w:numPr>
          <w:ilvl w:val="0"/>
          <w:numId w:val="0"/>
        </w:numPr>
        <w:spacing w:before="240" w:after="240"/>
        <w:ind w:firstLine="720"/>
        <w:jc w:val="both"/>
        <w:rPr>
          <w:rFonts w:eastAsia="Arial"/>
          <w:color w:val="000000"/>
          <w:sz w:val="20"/>
          <w:szCs w:val="20"/>
        </w:rPr>
      </w:pPr>
      <w:r w:rsidRPr="005A0158">
        <w:rPr>
          <w:i/>
          <w:color w:val="000000"/>
          <w:sz w:val="20"/>
          <w:szCs w:val="20"/>
        </w:rPr>
        <w:t>R v Consolidated Homes Ltd.</w:t>
      </w:r>
      <w:r w:rsidRPr="005A0158">
        <w:rPr>
          <w:color w:val="000000"/>
          <w:sz w:val="20"/>
          <w:szCs w:val="20"/>
        </w:rPr>
        <w:t xml:space="preserve">, 2025 ONCA 41 </w:t>
      </w:r>
      <w:r w:rsidR="12349705" w:rsidRPr="005A0158">
        <w:rPr>
          <w:rFonts w:eastAsia="Arial"/>
          <w:color w:val="000000"/>
          <w:sz w:val="20"/>
          <w:szCs w:val="20"/>
        </w:rPr>
        <w:t xml:space="preserve">at para 6 </w:t>
      </w:r>
      <w:r w:rsidR="12349705" w:rsidRPr="005A0158">
        <w:rPr>
          <w:color w:val="000000"/>
          <w:sz w:val="20"/>
          <w:szCs w:val="20"/>
        </w:rPr>
        <w:t>[ONCA Decision]</w:t>
      </w:r>
      <w:r w:rsidR="12349705" w:rsidRPr="005A0158">
        <w:rPr>
          <w:rFonts w:eastAsia="Arial"/>
          <w:color w:val="000000"/>
          <w:sz w:val="20"/>
          <w:szCs w:val="20"/>
        </w:rPr>
        <w:t>.</w:t>
      </w:r>
    </w:p>
    <w:p w14:paraId="72C53FA4" w14:textId="391DC317" w:rsidR="00DD6E8C" w:rsidRDefault="4D2A7F8C" w:rsidP="54ED07DF">
      <w:pPr>
        <w:pStyle w:val="WSParaNum"/>
        <w:jc w:val="both"/>
        <w:rPr>
          <w:rFonts w:eastAsia="Arial"/>
          <w:color w:val="000000"/>
        </w:rPr>
      </w:pPr>
      <w:r>
        <w:rPr>
          <w:rFonts w:eastAsia="Arial"/>
          <w:color w:val="000000"/>
        </w:rPr>
        <w:lastRenderedPageBreak/>
        <w:t>In 2017, officials from Ontario’s Ministry of Natural Resources and Foresty (“</w:t>
      </w:r>
      <w:r>
        <w:rPr>
          <w:rFonts w:eastAsia="Arial"/>
          <w:b/>
          <w:color w:val="000000"/>
        </w:rPr>
        <w:t>MNRF</w:t>
      </w:r>
      <w:r>
        <w:rPr>
          <w:rFonts w:eastAsia="Arial"/>
          <w:color w:val="000000"/>
        </w:rPr>
        <w:t>”) recorded a sighting of Blanding’s turtles proximate to the area that CHL planned for development. Another sighting occurred in 2020 when a local resident of North Bay took a picture of a Blanding’s turtle at the edge of Circle Lake.</w:t>
      </w:r>
    </w:p>
    <w:p w14:paraId="3766FCDC" w14:textId="6399A42A" w:rsidR="00DD6E8C" w:rsidRDefault="4D2A7F8C" w:rsidP="00D478F7">
      <w:pPr>
        <w:pStyle w:val="WSParaNum"/>
        <w:numPr>
          <w:ilvl w:val="0"/>
          <w:numId w:val="0"/>
        </w:numPr>
        <w:spacing w:line="240" w:lineRule="auto"/>
        <w:ind w:left="720"/>
        <w:rPr>
          <w:rFonts w:eastAsia="Arial"/>
          <w:sz w:val="20"/>
          <w:szCs w:val="20"/>
        </w:rPr>
      </w:pPr>
      <w:r>
        <w:rPr>
          <w:rFonts w:eastAsia="Arial"/>
          <w:i/>
          <w:color w:val="000000"/>
          <w:sz w:val="20"/>
          <w:szCs w:val="20"/>
        </w:rPr>
        <w:t xml:space="preserve">R v Consolidated Homes Ltd, </w:t>
      </w:r>
      <w:r w:rsidRPr="4D2A7F8C">
        <w:rPr>
          <w:sz w:val="20"/>
          <w:szCs w:val="20"/>
        </w:rPr>
        <w:t>Proceedings at Court, Transcript for October 12, 2022, at 2, 9 [Trial Decision].</w:t>
      </w:r>
    </w:p>
    <w:p w14:paraId="1B49EB00" w14:textId="658BD094" w:rsidR="00DD6E8C" w:rsidRDefault="4909DF12" w:rsidP="54ED07DF">
      <w:pPr>
        <w:pStyle w:val="WSParaNum"/>
        <w:jc w:val="both"/>
        <w:rPr>
          <w:rFonts w:eastAsia="Arial"/>
          <w:color w:val="000000"/>
        </w:rPr>
      </w:pPr>
      <w:r>
        <w:rPr>
          <w:rFonts w:eastAsia="Arial"/>
          <w:color w:val="000000"/>
        </w:rPr>
        <w:t xml:space="preserve">In March of 2017, the MNRF issued a stop work order to CHL in relation to their construction activities, accompanied by a covering letter. This letter </w:t>
      </w:r>
      <w:r>
        <w:t xml:space="preserve">stated that Blanding’s turtles receive both species and habitat protection under the </w:t>
      </w:r>
      <w:r w:rsidRPr="4909DF12">
        <w:rPr>
          <w:i/>
          <w:iCs/>
        </w:rPr>
        <w:t xml:space="preserve">ESA </w:t>
      </w:r>
      <w:r>
        <w:t xml:space="preserve">and </w:t>
      </w:r>
      <w:r>
        <w:rPr>
          <w:rFonts w:eastAsia="Arial"/>
          <w:color w:val="000000"/>
        </w:rPr>
        <w:t xml:space="preserve">advised CHL </w:t>
      </w:r>
      <w:r>
        <w:t xml:space="preserve">to discuss potential measures or authorization to ensure </w:t>
      </w:r>
      <w:r w:rsidR="2F21A18B">
        <w:t>compliance and</w:t>
      </w:r>
      <w:r>
        <w:t xml:space="preserve"> habitat protection</w:t>
      </w:r>
      <w:r>
        <w:rPr>
          <w:rFonts w:eastAsia="Arial"/>
          <w:color w:val="000000"/>
        </w:rPr>
        <w:t xml:space="preserve">. </w:t>
      </w:r>
    </w:p>
    <w:p w14:paraId="460B8A68" w14:textId="6C80E180" w:rsidR="00DD6E8C" w:rsidRDefault="4909DF12" w:rsidP="54ED07DF">
      <w:pPr>
        <w:pStyle w:val="WSParaNum"/>
        <w:numPr>
          <w:ilvl w:val="0"/>
          <w:numId w:val="0"/>
        </w:numPr>
        <w:ind w:firstLine="720"/>
        <w:jc w:val="both"/>
        <w:rPr>
          <w:rFonts w:eastAsia="Arial"/>
          <w:color w:val="000000"/>
          <w:sz w:val="20"/>
          <w:szCs w:val="20"/>
        </w:rPr>
      </w:pPr>
      <w:r>
        <w:rPr>
          <w:rFonts w:eastAsia="Arial"/>
          <w:color w:val="000000"/>
          <w:sz w:val="20"/>
          <w:szCs w:val="20"/>
        </w:rPr>
        <w:t xml:space="preserve">OCJ Decision, </w:t>
      </w:r>
      <w:r>
        <w:rPr>
          <w:rFonts w:eastAsia="Arial"/>
          <w:i/>
          <w:color w:val="000000"/>
          <w:sz w:val="20"/>
          <w:szCs w:val="20"/>
        </w:rPr>
        <w:t xml:space="preserve">supra </w:t>
      </w:r>
      <w:r>
        <w:rPr>
          <w:rFonts w:eastAsia="Arial"/>
          <w:color w:val="000000"/>
          <w:sz w:val="20"/>
          <w:szCs w:val="20"/>
        </w:rPr>
        <w:t>para 8 at 15.</w:t>
      </w:r>
    </w:p>
    <w:p w14:paraId="67488CEE" w14:textId="58E4A2B2" w:rsidR="00DD6E8C" w:rsidRDefault="4909DF12" w:rsidP="54ED07DF">
      <w:pPr>
        <w:pStyle w:val="WSParaNum"/>
        <w:numPr>
          <w:ilvl w:val="0"/>
          <w:numId w:val="0"/>
        </w:numPr>
        <w:ind w:firstLine="720"/>
        <w:jc w:val="both"/>
        <w:rPr>
          <w:rFonts w:eastAsia="Arial"/>
          <w:color w:val="000000"/>
          <w:sz w:val="20"/>
          <w:szCs w:val="20"/>
        </w:rPr>
      </w:pPr>
      <w:r>
        <w:rPr>
          <w:rFonts w:eastAsia="Arial"/>
          <w:color w:val="000000"/>
          <w:sz w:val="20"/>
          <w:szCs w:val="20"/>
        </w:rPr>
        <w:t xml:space="preserve">Trial Decision, </w:t>
      </w:r>
      <w:r>
        <w:rPr>
          <w:rFonts w:eastAsia="Arial"/>
          <w:i/>
          <w:color w:val="000000"/>
          <w:sz w:val="20"/>
          <w:szCs w:val="20"/>
        </w:rPr>
        <w:t xml:space="preserve">supra </w:t>
      </w:r>
      <w:r>
        <w:rPr>
          <w:rFonts w:eastAsia="Arial"/>
          <w:color w:val="000000"/>
          <w:sz w:val="20"/>
          <w:szCs w:val="20"/>
        </w:rPr>
        <w:t xml:space="preserve">para 9 at 5. </w:t>
      </w:r>
    </w:p>
    <w:p w14:paraId="231E7857" w14:textId="0E1AE958" w:rsidR="782D6623" w:rsidRDefault="4D2A7F8C" w:rsidP="54ED07DF">
      <w:pPr>
        <w:pStyle w:val="WSParaNum"/>
        <w:jc w:val="both"/>
        <w:rPr>
          <w:rFonts w:eastAsia="Arial"/>
          <w:color w:val="000000"/>
        </w:rPr>
      </w:pPr>
      <w:r>
        <w:rPr>
          <w:rFonts w:eastAsia="Arial"/>
          <w:color w:val="000000"/>
        </w:rPr>
        <w:t>MNRF staff subsequently attended CHL’s residential development property and physically marked a Circle Lake wetland boundary. This boundary reflects Category 2 Blanding’s turtle habitat as described in the General Habitat Description for the Blanding’s Turtle (“</w:t>
      </w:r>
      <w:r>
        <w:rPr>
          <w:rFonts w:eastAsia="Arial"/>
          <w:b/>
          <w:color w:val="000000"/>
        </w:rPr>
        <w:t>GHD</w:t>
      </w:r>
      <w:r>
        <w:rPr>
          <w:rFonts w:eastAsia="Arial"/>
          <w:color w:val="000000"/>
        </w:rPr>
        <w:t xml:space="preserve">”). The GHD is a technical document, authored by Ontario’s Ministry of the Environment, Conservation and Parks, that provides greater clarity on the area of habitat protected for a species based on the definition found in the </w:t>
      </w:r>
      <w:r>
        <w:rPr>
          <w:rFonts w:eastAsia="Arial"/>
          <w:i/>
          <w:color w:val="000000"/>
        </w:rPr>
        <w:t>ESA</w:t>
      </w:r>
      <w:r>
        <w:rPr>
          <w:rFonts w:eastAsia="Arial"/>
          <w:color w:val="000000"/>
        </w:rPr>
        <w:t xml:space="preserve">. The GHD lists suitable wetlands or waterbodies, near species sightings, and a 30 metre buffer around these areas, as “Category 2 habitat.” Category 2 habitat is defined in the GHD as including wetlands that Blanding’s turtles depend on for life processes including feeding, mating, thermoregulation, movement, and protection from predators. </w:t>
      </w:r>
    </w:p>
    <w:p w14:paraId="51C0568A" w14:textId="1112703E" w:rsidR="782D6623" w:rsidRDefault="4909DF12" w:rsidP="54ED07DF">
      <w:pPr>
        <w:pStyle w:val="WSParaNum"/>
        <w:numPr>
          <w:ilvl w:val="0"/>
          <w:numId w:val="0"/>
        </w:numPr>
        <w:ind w:firstLine="720"/>
        <w:jc w:val="both"/>
        <w:rPr>
          <w:rFonts w:eastAsia="Arial"/>
          <w:color w:val="000000"/>
          <w:sz w:val="20"/>
          <w:szCs w:val="20"/>
        </w:rPr>
      </w:pPr>
      <w:r>
        <w:rPr>
          <w:rFonts w:eastAsia="Arial"/>
          <w:color w:val="000000"/>
          <w:sz w:val="20"/>
          <w:szCs w:val="20"/>
        </w:rPr>
        <w:t xml:space="preserve">Trial Decision, </w:t>
      </w:r>
      <w:r>
        <w:rPr>
          <w:rFonts w:eastAsia="Arial"/>
          <w:i/>
          <w:color w:val="000000"/>
          <w:sz w:val="20"/>
          <w:szCs w:val="20"/>
        </w:rPr>
        <w:t xml:space="preserve">supra </w:t>
      </w:r>
      <w:r>
        <w:rPr>
          <w:rFonts w:eastAsia="Arial"/>
          <w:color w:val="000000"/>
          <w:sz w:val="20"/>
          <w:szCs w:val="20"/>
        </w:rPr>
        <w:t>para 9 at 5</w:t>
      </w:r>
      <w:r w:rsidR="00FD35BB">
        <w:rPr>
          <w:rFonts w:eastAsia="Arial"/>
          <w:color w:val="000000"/>
          <w:sz w:val="20"/>
          <w:szCs w:val="20"/>
        </w:rPr>
        <w:t>–</w:t>
      </w:r>
      <w:r>
        <w:rPr>
          <w:rFonts w:eastAsia="Arial"/>
          <w:color w:val="000000"/>
          <w:sz w:val="20"/>
          <w:szCs w:val="20"/>
        </w:rPr>
        <w:t>6.</w:t>
      </w:r>
    </w:p>
    <w:p w14:paraId="321EE4FD" w14:textId="0723CE0F" w:rsidR="4909DF12" w:rsidRDefault="4909DF12" w:rsidP="4909DF12">
      <w:pPr>
        <w:pStyle w:val="WSParaNum"/>
        <w:numPr>
          <w:ilvl w:val="0"/>
          <w:numId w:val="0"/>
        </w:numPr>
        <w:ind w:firstLine="720"/>
        <w:jc w:val="both"/>
        <w:rPr>
          <w:rFonts w:eastAsia="Arial"/>
          <w:color w:val="000000"/>
          <w:sz w:val="20"/>
          <w:szCs w:val="20"/>
        </w:rPr>
      </w:pPr>
      <w:r>
        <w:rPr>
          <w:rFonts w:eastAsia="Arial"/>
          <w:color w:val="000000"/>
          <w:sz w:val="20"/>
          <w:szCs w:val="20"/>
        </w:rPr>
        <w:t xml:space="preserve">OCJ Decision, </w:t>
      </w:r>
      <w:r>
        <w:rPr>
          <w:rFonts w:eastAsia="Arial"/>
          <w:i/>
          <w:color w:val="000000"/>
          <w:sz w:val="20"/>
          <w:szCs w:val="20"/>
        </w:rPr>
        <w:t xml:space="preserve">supra </w:t>
      </w:r>
      <w:r>
        <w:rPr>
          <w:rFonts w:eastAsia="Arial"/>
          <w:color w:val="000000"/>
          <w:sz w:val="20"/>
          <w:szCs w:val="20"/>
        </w:rPr>
        <w:t>para 8 at 5.</w:t>
      </w:r>
    </w:p>
    <w:p w14:paraId="2B2FA326" w14:textId="15E8B5A2" w:rsidR="4909DF12" w:rsidRDefault="4909DF12" w:rsidP="3DF03CE7">
      <w:pPr>
        <w:pStyle w:val="WSParaNum"/>
        <w:numPr>
          <w:ilvl w:val="0"/>
          <w:numId w:val="0"/>
        </w:numPr>
        <w:spacing w:line="240" w:lineRule="auto"/>
        <w:ind w:left="720"/>
        <w:jc w:val="both"/>
        <w:rPr>
          <w:rFonts w:eastAsia="Arial"/>
          <w:color w:val="000000"/>
          <w:sz w:val="20"/>
          <w:szCs w:val="20"/>
        </w:rPr>
      </w:pPr>
      <w:r>
        <w:rPr>
          <w:rFonts w:eastAsia="Arial"/>
          <w:color w:val="000000"/>
          <w:sz w:val="20"/>
          <w:szCs w:val="20"/>
        </w:rPr>
        <w:t>Ontario Ministry of the Environment, Conservation and Parks, “General Habitat Description for the Blanding’s Turtle (Emydoidea blandingii)” (updated March 2021), online: &lt;ontario.ca&gt; [https://www.ontario.ca/page/blandings-turtle-general-habitat-description] [GHD].</w:t>
      </w:r>
    </w:p>
    <w:p w14:paraId="1CEE6681" w14:textId="2E2A209A" w:rsidR="782D6623" w:rsidRDefault="4D2A7F8C" w:rsidP="54ED07DF">
      <w:pPr>
        <w:pStyle w:val="WSParaNum"/>
        <w:jc w:val="both"/>
        <w:rPr>
          <w:rFonts w:eastAsia="Arial"/>
          <w:color w:val="000000"/>
        </w:rPr>
      </w:pPr>
      <w:r>
        <w:t xml:space="preserve">Between June and August of 2018, CHL used a large excavator to “grub” an area located south of Circle Lake Road in the Circle Lake area </w:t>
      </w:r>
      <w:r>
        <w:rPr>
          <w:rFonts w:eastAsia="Arial"/>
          <w:color w:val="000000"/>
        </w:rPr>
        <w:t>(the “</w:t>
      </w:r>
      <w:r>
        <w:rPr>
          <w:rFonts w:eastAsia="Arial"/>
          <w:b/>
          <w:color w:val="000000"/>
        </w:rPr>
        <w:t>Site</w:t>
      </w:r>
      <w:r>
        <w:rPr>
          <w:rFonts w:eastAsia="Arial"/>
          <w:color w:val="000000"/>
        </w:rPr>
        <w:t>”)</w:t>
      </w:r>
      <w:r>
        <w:t xml:space="preserve">. The grubbing work pushed the soil towards and into the wetland, “blurring” the boundary previously marked by MNRF staff. </w:t>
      </w:r>
      <w:r>
        <w:lastRenderedPageBreak/>
        <w:t xml:space="preserve">North Bay-Mattawa Conservation officers attending at the Site later observed that boulders were freshly moved, an excavator was present, and that vegetation had been cleared and removed. </w:t>
      </w:r>
    </w:p>
    <w:p w14:paraId="7B8EDA67" w14:textId="70BE0829" w:rsidR="782D6623" w:rsidRDefault="4909DF12" w:rsidP="54ED07DF">
      <w:pPr>
        <w:pStyle w:val="WSParaNum"/>
        <w:numPr>
          <w:ilvl w:val="0"/>
          <w:numId w:val="0"/>
        </w:numPr>
        <w:ind w:firstLine="720"/>
        <w:jc w:val="both"/>
        <w:rPr>
          <w:rFonts w:eastAsia="Arial"/>
          <w:color w:val="000000"/>
          <w:sz w:val="20"/>
          <w:szCs w:val="20"/>
        </w:rPr>
      </w:pPr>
      <w:r>
        <w:rPr>
          <w:rFonts w:eastAsia="Arial"/>
          <w:color w:val="000000"/>
          <w:sz w:val="20"/>
          <w:szCs w:val="20"/>
        </w:rPr>
        <w:t xml:space="preserve">OCJ Decision, </w:t>
      </w:r>
      <w:r>
        <w:rPr>
          <w:rFonts w:eastAsia="Arial"/>
          <w:i/>
          <w:color w:val="000000"/>
          <w:sz w:val="20"/>
          <w:szCs w:val="20"/>
        </w:rPr>
        <w:t xml:space="preserve">supra </w:t>
      </w:r>
      <w:r>
        <w:rPr>
          <w:rFonts w:eastAsia="Arial"/>
          <w:color w:val="000000"/>
          <w:sz w:val="20"/>
          <w:szCs w:val="20"/>
        </w:rPr>
        <w:t xml:space="preserve">para </w:t>
      </w:r>
      <w:r w:rsidR="00526282">
        <w:rPr>
          <w:rFonts w:eastAsia="Arial"/>
          <w:color w:val="000000"/>
          <w:sz w:val="20"/>
          <w:szCs w:val="20"/>
        </w:rPr>
        <w:t>8</w:t>
      </w:r>
      <w:r>
        <w:rPr>
          <w:rFonts w:eastAsia="Arial"/>
          <w:color w:val="000000"/>
          <w:sz w:val="20"/>
          <w:szCs w:val="20"/>
        </w:rPr>
        <w:t xml:space="preserve"> at 2</w:t>
      </w:r>
      <w:r w:rsidR="00FD35BB">
        <w:rPr>
          <w:rFonts w:eastAsia="Arial"/>
          <w:color w:val="000000"/>
          <w:sz w:val="20"/>
          <w:szCs w:val="20"/>
        </w:rPr>
        <w:t>–</w:t>
      </w:r>
      <w:r>
        <w:rPr>
          <w:rFonts w:eastAsia="Arial"/>
          <w:color w:val="000000"/>
          <w:sz w:val="20"/>
          <w:szCs w:val="20"/>
        </w:rPr>
        <w:t xml:space="preserve">4. </w:t>
      </w:r>
    </w:p>
    <w:p w14:paraId="394B6918" w14:textId="77961FFF" w:rsidR="782D6623" w:rsidRDefault="4909DF12" w:rsidP="54ED07DF">
      <w:pPr>
        <w:pStyle w:val="WSParaNum"/>
        <w:numPr>
          <w:ilvl w:val="0"/>
          <w:numId w:val="0"/>
        </w:numPr>
        <w:ind w:firstLine="720"/>
        <w:jc w:val="both"/>
        <w:rPr>
          <w:rFonts w:eastAsia="Arial"/>
          <w:color w:val="000000"/>
          <w:sz w:val="20"/>
          <w:szCs w:val="20"/>
        </w:rPr>
      </w:pPr>
      <w:r>
        <w:rPr>
          <w:rFonts w:eastAsia="Arial"/>
          <w:color w:val="000000"/>
          <w:sz w:val="20"/>
          <w:szCs w:val="20"/>
        </w:rPr>
        <w:t xml:space="preserve">Trial Decision, </w:t>
      </w:r>
      <w:r>
        <w:rPr>
          <w:rFonts w:eastAsia="Arial"/>
          <w:i/>
          <w:color w:val="000000"/>
          <w:sz w:val="20"/>
          <w:szCs w:val="20"/>
        </w:rPr>
        <w:t xml:space="preserve">supra </w:t>
      </w:r>
      <w:r>
        <w:rPr>
          <w:rFonts w:eastAsia="Arial"/>
          <w:color w:val="000000"/>
          <w:sz w:val="20"/>
          <w:szCs w:val="20"/>
        </w:rPr>
        <w:t xml:space="preserve">para </w:t>
      </w:r>
      <w:r w:rsidR="00526282">
        <w:rPr>
          <w:rFonts w:eastAsia="Arial"/>
          <w:color w:val="000000"/>
          <w:sz w:val="20"/>
          <w:szCs w:val="20"/>
        </w:rPr>
        <w:t>9</w:t>
      </w:r>
      <w:r>
        <w:rPr>
          <w:rFonts w:eastAsia="Arial"/>
          <w:color w:val="000000"/>
          <w:sz w:val="20"/>
          <w:szCs w:val="20"/>
        </w:rPr>
        <w:t xml:space="preserve"> at 5</w:t>
      </w:r>
      <w:r w:rsidR="00FD35BB">
        <w:rPr>
          <w:rFonts w:eastAsia="Arial"/>
          <w:color w:val="000000"/>
          <w:sz w:val="20"/>
          <w:szCs w:val="20"/>
        </w:rPr>
        <w:t>–</w:t>
      </w:r>
      <w:r>
        <w:rPr>
          <w:rFonts w:eastAsia="Arial"/>
          <w:color w:val="000000"/>
          <w:sz w:val="20"/>
          <w:szCs w:val="20"/>
        </w:rPr>
        <w:t xml:space="preserve">6. </w:t>
      </w:r>
    </w:p>
    <w:p w14:paraId="3BDB8E1E" w14:textId="0353B3AF" w:rsidR="782D6623" w:rsidRDefault="4D2A7F8C" w:rsidP="54ED07DF">
      <w:pPr>
        <w:pStyle w:val="WSParaNum"/>
        <w:jc w:val="both"/>
      </w:pPr>
      <w:r>
        <w:rPr>
          <w:color w:val="000000"/>
        </w:rPr>
        <w:t xml:space="preserve">At trial, Mr. Shamus Snell, a biologist, </w:t>
      </w:r>
      <w:r w:rsidR="00BA1073">
        <w:rPr>
          <w:color w:val="000000"/>
        </w:rPr>
        <w:t xml:space="preserve">and </w:t>
      </w:r>
      <w:r>
        <w:t xml:space="preserve">fish and wildlife technician, who was qualified as a Blanding’s turtle expert, </w:t>
      </w:r>
      <w:r>
        <w:rPr>
          <w:color w:val="000000"/>
        </w:rPr>
        <w:t xml:space="preserve">provided evidence that </w:t>
      </w:r>
      <w:r>
        <w:rPr>
          <w:rFonts w:eastAsia="Arial"/>
          <w:color w:val="000000"/>
        </w:rPr>
        <w:t xml:space="preserve">removal of vegetation and shaded areas affects food supply, thermoregulation opportunities, and makes the Site less valuable as a nesting habitat because both eggs and young turtles are more susceptible to predators. </w:t>
      </w:r>
      <w:r>
        <w:t>Mr. Snell indicated that the species would utilize the area for mating, basking, hiding, nesting, foraging, thermal regulation</w:t>
      </w:r>
      <w:r w:rsidR="00BA1073">
        <w:t>,</w:t>
      </w:r>
      <w:r>
        <w:t xml:space="preserve"> and as a travel corridor. H</w:t>
      </w:r>
      <w:r>
        <w:rPr>
          <w:rFonts w:eastAsia="Arial"/>
          <w:color w:val="000000"/>
        </w:rPr>
        <w:t xml:space="preserve">is opinion is that </w:t>
      </w:r>
      <w:r>
        <w:t>the grubbing was done during the active nesting season for Blanding’s turtles. He also stated that the earth pushed up along the wetland boundary blocked water from flowing to the wetland and diminished the supply of water to a critical area for the species</w:t>
      </w:r>
      <w:r w:rsidR="1E74998B">
        <w:t>.</w:t>
      </w:r>
      <w:r>
        <w:t xml:space="preserve"> Mr. Snell’s expert opinion is that Blanding’s turtle habitat was damaged by the actions of CHL in June of 2018.</w:t>
      </w:r>
    </w:p>
    <w:p w14:paraId="1D16B74C" w14:textId="038E53F6" w:rsidR="782D6623" w:rsidRDefault="4909DF12" w:rsidP="54ED07DF">
      <w:pPr>
        <w:pStyle w:val="WSParaNum"/>
        <w:numPr>
          <w:ilvl w:val="0"/>
          <w:numId w:val="0"/>
        </w:numPr>
        <w:ind w:firstLine="720"/>
        <w:jc w:val="both"/>
        <w:rPr>
          <w:rFonts w:eastAsia="Arial"/>
          <w:color w:val="000000"/>
          <w:sz w:val="20"/>
          <w:szCs w:val="20"/>
        </w:rPr>
      </w:pPr>
      <w:r>
        <w:rPr>
          <w:rFonts w:eastAsia="Arial"/>
          <w:color w:val="000000"/>
          <w:sz w:val="20"/>
          <w:szCs w:val="20"/>
        </w:rPr>
        <w:t xml:space="preserve">Trial Decision, </w:t>
      </w:r>
      <w:r>
        <w:rPr>
          <w:rFonts w:eastAsia="Arial"/>
          <w:i/>
          <w:color w:val="000000"/>
          <w:sz w:val="20"/>
          <w:szCs w:val="20"/>
        </w:rPr>
        <w:t>supra</w:t>
      </w:r>
      <w:r w:rsidR="00526282">
        <w:rPr>
          <w:rFonts w:eastAsia="Arial"/>
          <w:iCs/>
          <w:color w:val="000000"/>
          <w:sz w:val="20"/>
          <w:szCs w:val="20"/>
        </w:rPr>
        <w:t xml:space="preserve"> para 9</w:t>
      </w:r>
      <w:r>
        <w:rPr>
          <w:rFonts w:eastAsia="Arial"/>
          <w:i/>
          <w:color w:val="000000"/>
          <w:sz w:val="20"/>
          <w:szCs w:val="20"/>
        </w:rPr>
        <w:t xml:space="preserve"> </w:t>
      </w:r>
      <w:r>
        <w:rPr>
          <w:rFonts w:eastAsia="Arial"/>
          <w:color w:val="000000"/>
          <w:sz w:val="20"/>
          <w:szCs w:val="20"/>
        </w:rPr>
        <w:t xml:space="preserve">at 7. </w:t>
      </w:r>
    </w:p>
    <w:p w14:paraId="2A6B1D2C" w14:textId="15C76299" w:rsidR="782D6623" w:rsidRDefault="4909DF12" w:rsidP="54ED07DF">
      <w:pPr>
        <w:pStyle w:val="WSParaNum"/>
        <w:jc w:val="both"/>
        <w:rPr>
          <w:rFonts w:eastAsia="Arial"/>
          <w:color w:val="000000"/>
        </w:rPr>
      </w:pPr>
      <w:r>
        <w:rPr>
          <w:rFonts w:eastAsia="Arial"/>
          <w:color w:val="000000"/>
        </w:rPr>
        <w:t xml:space="preserve">In 2018, CHL was charged with breaching </w:t>
      </w:r>
      <w:hyperlink r:id="rId18" w:anchor="sec10subsec1_smooth">
        <w:r>
          <w:rPr>
            <w:rFonts w:eastAsia="Arial"/>
            <w:color w:val="000000"/>
          </w:rPr>
          <w:t>section 10(1)</w:t>
        </w:r>
      </w:hyperlink>
      <w:r>
        <w:rPr>
          <w:rFonts w:eastAsia="Arial"/>
          <w:color w:val="000000"/>
        </w:rPr>
        <w:t xml:space="preserve">(a) of the </w:t>
      </w:r>
      <w:hyperlink r:id="rId19">
        <w:r>
          <w:rPr>
            <w:rFonts w:eastAsia="Arial"/>
            <w:i/>
            <w:color w:val="000000"/>
          </w:rPr>
          <w:t>ESA</w:t>
        </w:r>
      </w:hyperlink>
      <w:r>
        <w:rPr>
          <w:rFonts w:eastAsia="Arial"/>
          <w:color w:val="000000"/>
        </w:rPr>
        <w:t>, which makes it an offence to damage or destroy the habitat of an endangered or threatened species.</w:t>
      </w:r>
    </w:p>
    <w:p w14:paraId="51271BE9" w14:textId="6726F6AA" w:rsidR="00D95003" w:rsidRDefault="77A95D45" w:rsidP="77A95D45">
      <w:pPr>
        <w:pStyle w:val="WSParaNum"/>
        <w:numPr>
          <w:ilvl w:val="0"/>
          <w:numId w:val="0"/>
        </w:numPr>
        <w:ind w:left="720"/>
        <w:rPr>
          <w:rFonts w:eastAsia="Arial"/>
          <w:sz w:val="20"/>
          <w:szCs w:val="20"/>
        </w:rPr>
      </w:pPr>
      <w:r w:rsidRPr="77A95D45">
        <w:rPr>
          <w:rFonts w:eastAsia="Arial"/>
          <w:sz w:val="20"/>
          <w:szCs w:val="20"/>
        </w:rPr>
        <w:t xml:space="preserve">ESA, </w:t>
      </w:r>
      <w:r w:rsidRPr="77A95D45">
        <w:rPr>
          <w:rFonts w:eastAsia="Arial"/>
          <w:i/>
          <w:iCs/>
          <w:sz w:val="20"/>
          <w:szCs w:val="20"/>
        </w:rPr>
        <w:t xml:space="preserve">supra </w:t>
      </w:r>
      <w:r w:rsidRPr="77A95D45">
        <w:rPr>
          <w:rFonts w:eastAsia="Arial"/>
          <w:sz w:val="20"/>
          <w:szCs w:val="20"/>
        </w:rPr>
        <w:t>para 2, s 10(1)(a).</w:t>
      </w:r>
    </w:p>
    <w:p w14:paraId="1B4E00EE" w14:textId="7C4FFE5D" w:rsidR="00905DDB" w:rsidRPr="002B5644" w:rsidRDefault="00905DDB" w:rsidP="00905DDB">
      <w:pPr>
        <w:pStyle w:val="Heading3"/>
        <w:spacing w:before="120" w:after="120" w:line="360" w:lineRule="auto"/>
        <w:jc w:val="both"/>
        <w:rPr>
          <w:rFonts w:ascii="Times New Roman" w:hAnsi="Times New Roman"/>
          <w:b w:val="0"/>
          <w:bCs w:val="0"/>
          <w:sz w:val="24"/>
          <w:szCs w:val="24"/>
          <w:u w:val="single"/>
        </w:rPr>
      </w:pPr>
      <w:bookmarkStart w:id="15" w:name="_Toc218858276"/>
      <w:r>
        <w:rPr>
          <w:rFonts w:ascii="Times New Roman" w:hAnsi="Times New Roman"/>
          <w:b w:val="0"/>
          <w:bCs w:val="0"/>
          <w:sz w:val="24"/>
          <w:szCs w:val="24"/>
          <w:u w:val="single"/>
        </w:rPr>
        <w:t>Procedural History</w:t>
      </w:r>
      <w:bookmarkEnd w:id="15"/>
    </w:p>
    <w:p w14:paraId="261C566F" w14:textId="7443036D" w:rsidR="140AEA97" w:rsidRDefault="2F18C888" w:rsidP="54ED07DF">
      <w:pPr>
        <w:pStyle w:val="WSParaNum"/>
        <w:jc w:val="both"/>
        <w:rPr>
          <w:color w:val="000000"/>
        </w:rPr>
      </w:pPr>
      <w:r>
        <w:rPr>
          <w:color w:val="000000"/>
        </w:rPr>
        <w:t xml:space="preserve">At trial, the Crown relied on the following evidence to establish that the grubbing occurred in </w:t>
      </w:r>
      <w:r w:rsidR="2E0D49E1">
        <w:rPr>
          <w:color w:val="000000"/>
        </w:rPr>
        <w:t>Blanding’s</w:t>
      </w:r>
      <w:r>
        <w:rPr>
          <w:color w:val="000000"/>
        </w:rPr>
        <w:t xml:space="preserve"> turtle habitat:</w:t>
      </w:r>
    </w:p>
    <w:p w14:paraId="5FAB5212" w14:textId="3BF64C19" w:rsidR="140AEA97" w:rsidRDefault="4909DF12" w:rsidP="00164202">
      <w:pPr>
        <w:pStyle w:val="WSParaNum"/>
        <w:numPr>
          <w:ilvl w:val="1"/>
          <w:numId w:val="17"/>
        </w:numPr>
        <w:jc w:val="both"/>
        <w:rPr>
          <w:color w:val="000000"/>
        </w:rPr>
      </w:pPr>
      <w:r>
        <w:rPr>
          <w:color w:val="000000"/>
        </w:rPr>
        <w:t>The expert opinion of Mr. Snell;</w:t>
      </w:r>
    </w:p>
    <w:p w14:paraId="4DCC1D84" w14:textId="0178C3B1" w:rsidR="140AEA97" w:rsidRDefault="6DCFAA61" w:rsidP="00AC737F">
      <w:pPr>
        <w:pStyle w:val="WSParaNum"/>
        <w:numPr>
          <w:ilvl w:val="1"/>
          <w:numId w:val="17"/>
        </w:numPr>
        <w:jc w:val="both"/>
        <w:rPr>
          <w:color w:val="000000"/>
        </w:rPr>
      </w:pPr>
      <w:r w:rsidRPr="005A0158">
        <w:rPr>
          <w:color w:val="000000"/>
        </w:rPr>
        <w:t xml:space="preserve">The GHD, which outlines habitat characteristics and species dependence; </w:t>
      </w:r>
    </w:p>
    <w:p w14:paraId="35CD6BD3" w14:textId="5D6F979F" w:rsidR="140AEA97" w:rsidRDefault="6DCFAA61" w:rsidP="00AC737F">
      <w:pPr>
        <w:pStyle w:val="WSParaNum"/>
        <w:numPr>
          <w:ilvl w:val="1"/>
          <w:numId w:val="17"/>
        </w:numPr>
        <w:jc w:val="both"/>
        <w:rPr>
          <w:color w:val="000000"/>
        </w:rPr>
      </w:pPr>
      <w:r w:rsidRPr="005A0158">
        <w:rPr>
          <w:color w:val="000000"/>
        </w:rPr>
        <w:t>Three recorded sightings of Blanding’s turtles near the Site; and</w:t>
      </w:r>
    </w:p>
    <w:p w14:paraId="44792B41" w14:textId="7FE192FB" w:rsidR="2F18C888" w:rsidRDefault="6DCFAA61" w:rsidP="00AC737F">
      <w:pPr>
        <w:pStyle w:val="WSParaNum"/>
        <w:numPr>
          <w:ilvl w:val="1"/>
          <w:numId w:val="17"/>
        </w:numPr>
        <w:jc w:val="both"/>
        <w:rPr>
          <w:color w:val="000000"/>
        </w:rPr>
      </w:pPr>
      <w:r w:rsidRPr="005A0158">
        <w:rPr>
          <w:color w:val="000000"/>
        </w:rPr>
        <w:t>Witness testimony</w:t>
      </w:r>
      <w:r w:rsidR="48FC6722" w:rsidRPr="005A0158">
        <w:rPr>
          <w:color w:val="000000"/>
        </w:rPr>
        <w:t>.</w:t>
      </w:r>
    </w:p>
    <w:p w14:paraId="18CFDFFA" w14:textId="2727B272" w:rsidR="140AEA97" w:rsidRDefault="35FB4452" w:rsidP="54ED07DF">
      <w:pPr>
        <w:pStyle w:val="WSParaNum"/>
        <w:spacing w:before="240" w:after="240"/>
        <w:jc w:val="both"/>
        <w:rPr>
          <w:color w:val="000000"/>
        </w:rPr>
      </w:pPr>
      <w:r>
        <w:t xml:space="preserve">CHL </w:t>
      </w:r>
      <w:r w:rsidR="11626722">
        <w:t xml:space="preserve">did not </w:t>
      </w:r>
      <w:r w:rsidR="20DB5FF6">
        <w:t>proffer</w:t>
      </w:r>
      <w:r w:rsidR="11626722">
        <w:t xml:space="preserve"> </w:t>
      </w:r>
      <w:r w:rsidR="364F5A0C">
        <w:t xml:space="preserve">any </w:t>
      </w:r>
      <w:r w:rsidR="11626722">
        <w:t>evidence at trial. Relying</w:t>
      </w:r>
      <w:r w:rsidR="2F18C888">
        <w:t xml:space="preserve"> on the complete evidentiary record, Justice of the Peace Nichols (the “</w:t>
      </w:r>
      <w:r w:rsidR="2F18C888" w:rsidRPr="2F18C888">
        <w:rPr>
          <w:b/>
          <w:bCs/>
        </w:rPr>
        <w:t>Trial Justice</w:t>
      </w:r>
      <w:r w:rsidR="2F18C888">
        <w:t>”) convicted CHL.</w:t>
      </w:r>
    </w:p>
    <w:p w14:paraId="7486C9D5" w14:textId="342D21A4" w:rsidR="2F18C888" w:rsidRDefault="012DB0B3" w:rsidP="54ED07DF">
      <w:pPr>
        <w:pStyle w:val="WSParaNum"/>
        <w:numPr>
          <w:ilvl w:val="0"/>
          <w:numId w:val="0"/>
        </w:numPr>
        <w:ind w:firstLine="720"/>
        <w:jc w:val="both"/>
        <w:rPr>
          <w:sz w:val="20"/>
          <w:szCs w:val="20"/>
        </w:rPr>
      </w:pPr>
      <w:r w:rsidRPr="012DB0B3">
        <w:rPr>
          <w:sz w:val="20"/>
          <w:szCs w:val="20"/>
        </w:rPr>
        <w:lastRenderedPageBreak/>
        <w:t xml:space="preserve">Trial Decision, </w:t>
      </w:r>
      <w:r w:rsidRPr="012DB0B3">
        <w:rPr>
          <w:i/>
          <w:iCs/>
          <w:sz w:val="20"/>
          <w:szCs w:val="20"/>
        </w:rPr>
        <w:t xml:space="preserve">supra </w:t>
      </w:r>
      <w:r w:rsidRPr="012DB0B3">
        <w:rPr>
          <w:sz w:val="20"/>
          <w:szCs w:val="20"/>
        </w:rPr>
        <w:t>para 9 at 9–10, 13–14.</w:t>
      </w:r>
    </w:p>
    <w:p w14:paraId="614E2B62" w14:textId="020A7BB0" w:rsidR="140AEA97" w:rsidRDefault="4D2A7F8C" w:rsidP="54ED07DF">
      <w:pPr>
        <w:pStyle w:val="WSParaNum"/>
        <w:spacing w:before="240" w:after="240"/>
        <w:jc w:val="both"/>
        <w:rPr>
          <w:color w:val="000000"/>
        </w:rPr>
      </w:pPr>
      <w:r>
        <w:rPr>
          <w:color w:val="000000"/>
        </w:rPr>
        <w:t xml:space="preserve">On appeal pursuant to the </w:t>
      </w:r>
      <w:r>
        <w:rPr>
          <w:i/>
          <w:color w:val="000000"/>
        </w:rPr>
        <w:t>POA</w:t>
      </w:r>
      <w:r>
        <w:rPr>
          <w:color w:val="000000"/>
        </w:rPr>
        <w:t>, the OCJ overturned the conviction. Leave to appeal to the Ontario Court of Appeal (“</w:t>
      </w:r>
      <w:r>
        <w:rPr>
          <w:b/>
          <w:color w:val="000000"/>
        </w:rPr>
        <w:t>ONCA</w:t>
      </w:r>
      <w:r>
        <w:rPr>
          <w:color w:val="000000"/>
        </w:rPr>
        <w:t>”) was subsequently denied on the basis that the case did not meet the high threshold of being essential to the public interest or the due administration of justice required to grant leave.</w:t>
      </w:r>
    </w:p>
    <w:p w14:paraId="78B41DDF" w14:textId="5F8357E1" w:rsidR="140AEA97" w:rsidRDefault="012DB0B3" w:rsidP="54ED07DF">
      <w:pPr>
        <w:pStyle w:val="WSParaNum"/>
        <w:numPr>
          <w:ilvl w:val="0"/>
          <w:numId w:val="0"/>
        </w:numPr>
        <w:spacing w:before="240" w:after="240"/>
        <w:ind w:firstLine="720"/>
        <w:jc w:val="both"/>
        <w:rPr>
          <w:color w:val="000000"/>
          <w:sz w:val="20"/>
          <w:szCs w:val="20"/>
          <w:highlight w:val="yellow"/>
        </w:rPr>
      </w:pPr>
      <w:r>
        <w:rPr>
          <w:color w:val="000000"/>
          <w:sz w:val="20"/>
          <w:szCs w:val="20"/>
        </w:rPr>
        <w:t xml:space="preserve">ONCA Decision, </w:t>
      </w:r>
      <w:r>
        <w:rPr>
          <w:i/>
          <w:iCs/>
          <w:color w:val="000000"/>
          <w:sz w:val="20"/>
          <w:szCs w:val="20"/>
        </w:rPr>
        <w:t xml:space="preserve">supra </w:t>
      </w:r>
      <w:r>
        <w:rPr>
          <w:color w:val="000000"/>
          <w:sz w:val="20"/>
          <w:szCs w:val="20"/>
        </w:rPr>
        <w:t>para 8 at paras 34–35.</w:t>
      </w:r>
    </w:p>
    <w:p w14:paraId="2FFF3792" w14:textId="0733F4B8" w:rsidR="00E631C8" w:rsidRDefault="4D2A7F8C" w:rsidP="54ED07DF">
      <w:pPr>
        <w:pStyle w:val="WSParaNum"/>
        <w:jc w:val="both"/>
        <w:rPr>
          <w:color w:val="000000"/>
        </w:rPr>
      </w:pPr>
      <w:r>
        <w:rPr>
          <w:color w:val="000000"/>
        </w:rPr>
        <w:t>Leave has now been granted to the SEMCC. The Appellant asks this Court to revisit the OCJ’s decision</w:t>
      </w:r>
      <w:r>
        <w:t xml:space="preserve"> informed by Part III of the </w:t>
      </w:r>
      <w:r w:rsidRPr="4D2A7F8C">
        <w:rPr>
          <w:i/>
          <w:iCs/>
        </w:rPr>
        <w:t xml:space="preserve">POA </w:t>
      </w:r>
      <w:r>
        <w:t xml:space="preserve">and the appellate framework set out therein. </w:t>
      </w:r>
    </w:p>
    <w:p w14:paraId="11C5CAC3" w14:textId="73F340AC" w:rsidR="140AEA97" w:rsidRDefault="4909DF12" w:rsidP="54ED07DF">
      <w:pPr>
        <w:pStyle w:val="WSParaNum"/>
        <w:numPr>
          <w:ilvl w:val="0"/>
          <w:numId w:val="0"/>
        </w:numPr>
        <w:ind w:left="720"/>
        <w:jc w:val="both"/>
        <w:rPr>
          <w:sz w:val="20"/>
          <w:szCs w:val="20"/>
        </w:rPr>
      </w:pPr>
      <w:r w:rsidRPr="4909DF12">
        <w:rPr>
          <w:i/>
          <w:iCs/>
          <w:sz w:val="20"/>
          <w:szCs w:val="20"/>
        </w:rPr>
        <w:t>POA</w:t>
      </w:r>
      <w:r w:rsidRPr="4909DF12">
        <w:rPr>
          <w:sz w:val="20"/>
          <w:szCs w:val="20"/>
        </w:rPr>
        <w:t xml:space="preserve">, </w:t>
      </w:r>
      <w:r w:rsidRPr="4909DF12">
        <w:rPr>
          <w:i/>
          <w:iCs/>
          <w:sz w:val="20"/>
          <w:szCs w:val="20"/>
        </w:rPr>
        <w:t xml:space="preserve">supra </w:t>
      </w:r>
      <w:r w:rsidRPr="4909DF12">
        <w:rPr>
          <w:sz w:val="20"/>
          <w:szCs w:val="20"/>
        </w:rPr>
        <w:t xml:space="preserve">para 2, Part III. </w:t>
      </w:r>
    </w:p>
    <w:p w14:paraId="4DA93AA8" w14:textId="77777777" w:rsidR="00DD6E8C" w:rsidRPr="00D678D8" w:rsidRDefault="00DD6E8C" w:rsidP="54ED07DF">
      <w:pPr>
        <w:pStyle w:val="Heading1"/>
        <w:tabs>
          <w:tab w:val="num" w:pos="720"/>
        </w:tabs>
        <w:spacing w:before="0" w:after="0" w:line="360" w:lineRule="auto"/>
        <w:ind w:left="720" w:hanging="720"/>
        <w:jc w:val="both"/>
        <w:rPr>
          <w:rFonts w:ascii="Times New Roman" w:hAnsi="Times New Roman"/>
          <w:sz w:val="24"/>
          <w:szCs w:val="24"/>
        </w:rPr>
      </w:pPr>
      <w:bookmarkStart w:id="16" w:name="_Toc271703733"/>
      <w:bookmarkStart w:id="17" w:name="_Toc218630716"/>
      <w:bookmarkStart w:id="18" w:name="_Toc218783934"/>
      <w:bookmarkStart w:id="19" w:name="_Toc218846575"/>
      <w:bookmarkStart w:id="20" w:name="_Toc218858277"/>
      <w:r w:rsidRPr="00D678D8">
        <w:rPr>
          <w:rFonts w:ascii="Times New Roman" w:hAnsi="Times New Roman"/>
          <w:sz w:val="24"/>
          <w:szCs w:val="24"/>
        </w:rPr>
        <w:t>QUESTIONS IN ISSUE</w:t>
      </w:r>
      <w:bookmarkEnd w:id="16"/>
      <w:bookmarkEnd w:id="17"/>
      <w:bookmarkEnd w:id="18"/>
      <w:bookmarkEnd w:id="19"/>
      <w:bookmarkEnd w:id="20"/>
    </w:p>
    <w:p w14:paraId="1E21C3B1" w14:textId="188A9A86" w:rsidR="00447A61" w:rsidRDefault="70A0F321" w:rsidP="54ED07DF">
      <w:pPr>
        <w:pStyle w:val="WSParaNum"/>
        <w:spacing w:before="0" w:after="0"/>
        <w:jc w:val="both"/>
      </w:pPr>
      <w:r>
        <w:t>There are three issues on appeal:</w:t>
      </w:r>
    </w:p>
    <w:p w14:paraId="19123298" w14:textId="72361074" w:rsidR="00E1328A" w:rsidRDefault="4909DF12" w:rsidP="002A63AD">
      <w:pPr>
        <w:pStyle w:val="WSParaNum"/>
        <w:numPr>
          <w:ilvl w:val="1"/>
          <w:numId w:val="17"/>
        </w:numPr>
        <w:jc w:val="both"/>
        <w:rPr>
          <w:color w:val="000000"/>
        </w:rPr>
      </w:pPr>
      <w:r>
        <w:rPr>
          <w:color w:val="000000"/>
        </w:rPr>
        <w:t>Did the OCJ err by overturning the Trial Justice's factual inferences about Blanding’s turtle habitat without identifying a palpable and overriding error?</w:t>
      </w:r>
    </w:p>
    <w:p w14:paraId="7C1694BE" w14:textId="52D14EE6" w:rsidR="1CE9F071" w:rsidRPr="00E1328A" w:rsidRDefault="6DCFAA61" w:rsidP="00E1328A">
      <w:pPr>
        <w:pStyle w:val="WSParaNum"/>
        <w:numPr>
          <w:ilvl w:val="1"/>
          <w:numId w:val="17"/>
        </w:numPr>
        <w:jc w:val="both"/>
        <w:rPr>
          <w:color w:val="000000"/>
        </w:rPr>
      </w:pPr>
      <w:r>
        <w:rPr>
          <w:color w:val="000000"/>
        </w:rPr>
        <w:t>Did the OCJ err by failing to consider whether Blanding’s turtles indirectly depended on the Site for life processes at the time of the offence?</w:t>
      </w:r>
    </w:p>
    <w:p w14:paraId="12315021" w14:textId="0B03A1AC" w:rsidR="1CE9F071" w:rsidRDefault="4909DF12" w:rsidP="002A63AD">
      <w:pPr>
        <w:pStyle w:val="WSParaNum"/>
        <w:numPr>
          <w:ilvl w:val="1"/>
          <w:numId w:val="17"/>
        </w:numPr>
        <w:jc w:val="both"/>
        <w:rPr>
          <w:color w:val="000000"/>
        </w:rPr>
      </w:pPr>
      <w:r>
        <w:rPr>
          <w:color w:val="000000"/>
        </w:rPr>
        <w:t>How should the trial have been decided if the new definition of “habitat” was in force when CHL was charged and tried?</w:t>
      </w:r>
    </w:p>
    <w:p w14:paraId="5833092C" w14:textId="3A810632" w:rsidR="70A0F321" w:rsidRDefault="140AEA97" w:rsidP="00E1328A">
      <w:pPr>
        <w:pStyle w:val="WSParaNum"/>
      </w:pPr>
      <w:r w:rsidRPr="005A0158">
        <w:t xml:space="preserve">The Appellant submits that the central issues on appeal raise questions of law alone. </w:t>
      </w:r>
    </w:p>
    <w:p w14:paraId="3921066C" w14:textId="3608EC8F" w:rsidR="00B30C31" w:rsidRPr="00B30C31" w:rsidRDefault="104D80EF" w:rsidP="54ED07DF">
      <w:pPr>
        <w:pStyle w:val="Heading1"/>
        <w:tabs>
          <w:tab w:val="num" w:pos="720"/>
        </w:tabs>
        <w:spacing w:before="0" w:after="0" w:line="360" w:lineRule="auto"/>
        <w:ind w:left="720" w:hanging="720"/>
        <w:jc w:val="both"/>
        <w:rPr>
          <w:rFonts w:ascii="Times New Roman" w:hAnsi="Times New Roman"/>
          <w:sz w:val="24"/>
          <w:szCs w:val="24"/>
        </w:rPr>
      </w:pPr>
      <w:bookmarkStart w:id="21" w:name="_Toc271703734"/>
      <w:bookmarkStart w:id="22" w:name="_Toc218630717"/>
      <w:bookmarkStart w:id="23" w:name="_Toc218783935"/>
      <w:bookmarkStart w:id="24" w:name="_Toc218846576"/>
      <w:bookmarkStart w:id="25" w:name="_Toc218858278"/>
      <w:r w:rsidRPr="104D80EF">
        <w:rPr>
          <w:rFonts w:ascii="Times New Roman" w:hAnsi="Times New Roman"/>
          <w:sz w:val="24"/>
          <w:szCs w:val="24"/>
        </w:rPr>
        <w:t>ARGUMENT</w:t>
      </w:r>
      <w:bookmarkEnd w:id="21"/>
      <w:bookmarkEnd w:id="22"/>
      <w:bookmarkEnd w:id="23"/>
      <w:bookmarkEnd w:id="24"/>
      <w:bookmarkEnd w:id="25"/>
    </w:p>
    <w:p w14:paraId="47E0F23B" w14:textId="2EE3AEC4" w:rsidR="00623BA3" w:rsidRDefault="70A0F321" w:rsidP="54ED07DF">
      <w:pPr>
        <w:pStyle w:val="Heading2"/>
        <w:tabs>
          <w:tab w:val="num" w:pos="720"/>
        </w:tabs>
        <w:spacing w:before="0" w:after="0" w:line="360" w:lineRule="auto"/>
        <w:jc w:val="both"/>
        <w:rPr>
          <w:rFonts w:ascii="Times New Roman" w:hAnsi="Times New Roman"/>
          <w:i w:val="0"/>
          <w:iCs w:val="0"/>
          <w:sz w:val="24"/>
          <w:szCs w:val="24"/>
        </w:rPr>
      </w:pPr>
      <w:bookmarkStart w:id="26" w:name="_Toc218630718"/>
      <w:bookmarkStart w:id="27" w:name="_Toc218783936"/>
      <w:bookmarkStart w:id="28" w:name="_Toc218846577"/>
      <w:bookmarkStart w:id="29" w:name="_Toc218858279"/>
      <w:r w:rsidRPr="70A0F321">
        <w:rPr>
          <w:rFonts w:ascii="Times New Roman" w:hAnsi="Times New Roman"/>
          <w:i w:val="0"/>
          <w:iCs w:val="0"/>
          <w:sz w:val="24"/>
          <w:szCs w:val="24"/>
        </w:rPr>
        <w:t>Standard of Review Applicable to the SEMCC</w:t>
      </w:r>
      <w:bookmarkEnd w:id="26"/>
      <w:bookmarkEnd w:id="27"/>
      <w:bookmarkEnd w:id="28"/>
      <w:bookmarkEnd w:id="29"/>
    </w:p>
    <w:p w14:paraId="3CFDCFB8" w14:textId="0CE8636E" w:rsidR="00516FE9" w:rsidRDefault="2A33660B" w:rsidP="54ED07DF">
      <w:pPr>
        <w:pStyle w:val="WSParaNum"/>
        <w:spacing w:before="0" w:after="0"/>
        <w:jc w:val="both"/>
      </w:pPr>
      <w:r>
        <w:t>The</w:t>
      </w:r>
      <w:r w:rsidR="4D2A7F8C">
        <w:t xml:space="preserve"> OCJ failed to apply the proper standard of review outlined in the </w:t>
      </w:r>
      <w:r w:rsidR="4D2A7F8C" w:rsidRPr="4D2A7F8C">
        <w:rPr>
          <w:i/>
          <w:iCs/>
        </w:rPr>
        <w:t>POA</w:t>
      </w:r>
      <w:r w:rsidR="4D2A7F8C">
        <w:t>, resulting in errors of law reviewable by this Court on correctness.</w:t>
      </w:r>
    </w:p>
    <w:p w14:paraId="451CF4EE" w14:textId="5533BFBF" w:rsidR="4909DF12" w:rsidRPr="00662226" w:rsidRDefault="4909DF12" w:rsidP="4909DF12">
      <w:pPr>
        <w:pStyle w:val="WSParaNum"/>
        <w:numPr>
          <w:ilvl w:val="0"/>
          <w:numId w:val="0"/>
        </w:numPr>
        <w:spacing w:before="0" w:after="0"/>
        <w:ind w:firstLine="720"/>
        <w:jc w:val="both"/>
        <w:rPr>
          <w:i/>
          <w:iCs/>
          <w:sz w:val="20"/>
          <w:szCs w:val="20"/>
        </w:rPr>
      </w:pPr>
      <w:r w:rsidRPr="00662226">
        <w:rPr>
          <w:i/>
          <w:iCs/>
          <w:sz w:val="20"/>
          <w:szCs w:val="20"/>
        </w:rPr>
        <w:t>POA</w:t>
      </w:r>
      <w:r w:rsidRPr="00662226">
        <w:rPr>
          <w:sz w:val="20"/>
          <w:szCs w:val="20"/>
        </w:rPr>
        <w:t xml:space="preserve">, </w:t>
      </w:r>
      <w:r w:rsidRPr="00662226">
        <w:rPr>
          <w:i/>
          <w:iCs/>
          <w:sz w:val="20"/>
          <w:szCs w:val="20"/>
        </w:rPr>
        <w:t>supra</w:t>
      </w:r>
      <w:r w:rsidRPr="00662226">
        <w:rPr>
          <w:sz w:val="20"/>
          <w:szCs w:val="20"/>
        </w:rPr>
        <w:t xml:space="preserve"> para </w:t>
      </w:r>
      <w:r w:rsidR="00662226" w:rsidRPr="00662226">
        <w:rPr>
          <w:sz w:val="20"/>
          <w:szCs w:val="20"/>
        </w:rPr>
        <w:t>2</w:t>
      </w:r>
      <w:r w:rsidRPr="00662226">
        <w:rPr>
          <w:sz w:val="20"/>
          <w:szCs w:val="20"/>
        </w:rPr>
        <w:t>, s 120.</w:t>
      </w:r>
    </w:p>
    <w:p w14:paraId="6EB29A09" w14:textId="06AB19E1" w:rsidR="4909DF12" w:rsidRDefault="4909DF12" w:rsidP="4909DF12">
      <w:pPr>
        <w:pStyle w:val="WSParaNum"/>
        <w:numPr>
          <w:ilvl w:val="0"/>
          <w:numId w:val="0"/>
        </w:numPr>
        <w:ind w:firstLine="720"/>
        <w:jc w:val="both"/>
        <w:rPr>
          <w:sz w:val="20"/>
          <w:szCs w:val="20"/>
        </w:rPr>
      </w:pPr>
      <w:r w:rsidRPr="4909DF12">
        <w:rPr>
          <w:i/>
          <w:iCs/>
          <w:sz w:val="20"/>
          <w:szCs w:val="20"/>
        </w:rPr>
        <w:t>Housen v Nikolaisen,</w:t>
      </w:r>
      <w:r w:rsidRPr="4909DF12">
        <w:rPr>
          <w:sz w:val="20"/>
          <w:szCs w:val="20"/>
        </w:rPr>
        <w:t xml:space="preserve"> 2002 SCC 33 at para 25 [</w:t>
      </w:r>
      <w:r w:rsidRPr="4909DF12">
        <w:rPr>
          <w:i/>
          <w:iCs/>
          <w:sz w:val="20"/>
          <w:szCs w:val="20"/>
        </w:rPr>
        <w:t>Housen</w:t>
      </w:r>
      <w:r w:rsidRPr="4909DF12">
        <w:rPr>
          <w:sz w:val="20"/>
          <w:szCs w:val="20"/>
        </w:rPr>
        <w:t>].</w:t>
      </w:r>
    </w:p>
    <w:p w14:paraId="576F4EB0" w14:textId="320C426D" w:rsidR="00516FE9" w:rsidRDefault="123A9755" w:rsidP="54ED07DF">
      <w:pPr>
        <w:pStyle w:val="WSParaNum"/>
        <w:spacing w:before="0" w:after="0"/>
        <w:jc w:val="both"/>
      </w:pPr>
      <w:r>
        <w:t xml:space="preserve">In criminal cases, when an appellate court finds a conviction at trial to be unreasonable or unsupported by the evidence, this raises a question of law for the purposes of the determining the Crown rights of appeal. The approach outlined within the </w:t>
      </w:r>
      <w:r w:rsidRPr="123A9755">
        <w:rPr>
          <w:i/>
          <w:iCs/>
        </w:rPr>
        <w:t xml:space="preserve">POA </w:t>
      </w:r>
      <w:r>
        <w:t xml:space="preserve">applies the same standard as section 686(1)(a) of the </w:t>
      </w:r>
      <w:r w:rsidRPr="123A9755">
        <w:rPr>
          <w:i/>
          <w:iCs/>
        </w:rPr>
        <w:t xml:space="preserve">Criminal Code, </w:t>
      </w:r>
      <w:r>
        <w:t>RSC 1985, c. C-46</w:t>
      </w:r>
      <w:r w:rsidR="561F81A4">
        <w:t>, asking</w:t>
      </w:r>
      <w:r>
        <w:t xml:space="preserve"> w</w:t>
      </w:r>
      <w:r w:rsidRPr="123A9755">
        <w:rPr>
          <w:rFonts w:eastAsia="Arial"/>
        </w:rPr>
        <w:t xml:space="preserve">hether the verdict is one </w:t>
      </w:r>
      <w:r w:rsidRPr="123A9755">
        <w:rPr>
          <w:rFonts w:eastAsia="Arial"/>
        </w:rPr>
        <w:lastRenderedPageBreak/>
        <w:t xml:space="preserve">that </w:t>
      </w:r>
      <w:r>
        <w:t>a trial judge,</w:t>
      </w:r>
      <w:r w:rsidRPr="123A9755">
        <w:rPr>
          <w:rFonts w:eastAsia="Arial"/>
        </w:rPr>
        <w:t xml:space="preserve"> acting judicially, could reasonably have </w:t>
      </w:r>
      <w:r>
        <w:t xml:space="preserve">rendered. Nothing in the wording of the </w:t>
      </w:r>
      <w:r w:rsidRPr="123A9755">
        <w:rPr>
          <w:i/>
          <w:iCs/>
        </w:rPr>
        <w:t xml:space="preserve">POA </w:t>
      </w:r>
      <w:r>
        <w:t xml:space="preserve">permits the OCJ to overturn findings of fact without identifying palpable and overriding errors. </w:t>
      </w:r>
    </w:p>
    <w:p w14:paraId="6D1515F4" w14:textId="75B81D19" w:rsidR="008C00CE" w:rsidRDefault="4909DF12" w:rsidP="4909DF12">
      <w:pPr>
        <w:pStyle w:val="WSParaNum"/>
        <w:numPr>
          <w:ilvl w:val="0"/>
          <w:numId w:val="0"/>
        </w:numPr>
        <w:ind w:left="720"/>
        <w:jc w:val="both"/>
        <w:rPr>
          <w:sz w:val="20"/>
          <w:szCs w:val="20"/>
        </w:rPr>
      </w:pPr>
      <w:r w:rsidRPr="4909DF12">
        <w:rPr>
          <w:i/>
          <w:iCs/>
          <w:sz w:val="20"/>
          <w:szCs w:val="20"/>
        </w:rPr>
        <w:t xml:space="preserve">POA, supra </w:t>
      </w:r>
      <w:r w:rsidRPr="4909DF12">
        <w:rPr>
          <w:sz w:val="20"/>
          <w:szCs w:val="20"/>
        </w:rPr>
        <w:t>para 2, s 120.</w:t>
      </w:r>
    </w:p>
    <w:p w14:paraId="4E2C5F9D" w14:textId="6F2C80D5" w:rsidR="008370A1" w:rsidRPr="008370A1" w:rsidRDefault="4909DF12" w:rsidP="4909DF12">
      <w:pPr>
        <w:pStyle w:val="WSParaNum"/>
        <w:numPr>
          <w:ilvl w:val="0"/>
          <w:numId w:val="0"/>
        </w:numPr>
        <w:ind w:left="720"/>
        <w:jc w:val="both"/>
        <w:rPr>
          <w:sz w:val="20"/>
          <w:szCs w:val="20"/>
        </w:rPr>
      </w:pPr>
      <w:r w:rsidRPr="4909DF12">
        <w:rPr>
          <w:i/>
          <w:iCs/>
          <w:sz w:val="20"/>
          <w:szCs w:val="20"/>
        </w:rPr>
        <w:t xml:space="preserve">Criminal Code, </w:t>
      </w:r>
      <w:r w:rsidRPr="4909DF12">
        <w:rPr>
          <w:sz w:val="20"/>
          <w:szCs w:val="20"/>
        </w:rPr>
        <w:t>RSC 1985, c. C-46, s 686(1)(a).</w:t>
      </w:r>
    </w:p>
    <w:p w14:paraId="553119DB" w14:textId="191B2822" w:rsidR="4909DF12" w:rsidRDefault="4909DF12" w:rsidP="4909DF12">
      <w:pPr>
        <w:pStyle w:val="WSParaNum"/>
        <w:numPr>
          <w:ilvl w:val="0"/>
          <w:numId w:val="0"/>
        </w:numPr>
        <w:spacing w:before="0" w:after="0"/>
        <w:ind w:left="720"/>
        <w:jc w:val="both"/>
        <w:rPr>
          <w:sz w:val="20"/>
          <w:szCs w:val="20"/>
        </w:rPr>
      </w:pPr>
      <w:r w:rsidRPr="4909DF12">
        <w:rPr>
          <w:i/>
          <w:iCs/>
          <w:sz w:val="20"/>
          <w:szCs w:val="20"/>
        </w:rPr>
        <w:t>R v Biniaris</w:t>
      </w:r>
      <w:r w:rsidRPr="4909DF12">
        <w:rPr>
          <w:sz w:val="20"/>
          <w:szCs w:val="20"/>
        </w:rPr>
        <w:t>, 2000 SCC 15 at paras 36</w:t>
      </w:r>
      <w:r w:rsidR="009B7285">
        <w:rPr>
          <w:sz w:val="20"/>
          <w:szCs w:val="20"/>
        </w:rPr>
        <w:t>–</w:t>
      </w:r>
      <w:r w:rsidRPr="4909DF12">
        <w:rPr>
          <w:sz w:val="20"/>
          <w:szCs w:val="20"/>
        </w:rPr>
        <w:t>37 [</w:t>
      </w:r>
      <w:r w:rsidRPr="4909DF12">
        <w:rPr>
          <w:i/>
          <w:iCs/>
          <w:sz w:val="20"/>
          <w:szCs w:val="20"/>
        </w:rPr>
        <w:t>Biniaris</w:t>
      </w:r>
      <w:r w:rsidRPr="4909DF12">
        <w:rPr>
          <w:sz w:val="20"/>
          <w:szCs w:val="20"/>
        </w:rPr>
        <w:t>].</w:t>
      </w:r>
    </w:p>
    <w:p w14:paraId="3E54A246" w14:textId="39FAD839" w:rsidR="0032198D" w:rsidRPr="00B63243" w:rsidRDefault="4909DF12" w:rsidP="4909DF12">
      <w:pPr>
        <w:pStyle w:val="WSParaNum"/>
        <w:numPr>
          <w:ilvl w:val="0"/>
          <w:numId w:val="0"/>
        </w:numPr>
        <w:ind w:left="720"/>
        <w:jc w:val="both"/>
        <w:rPr>
          <w:sz w:val="20"/>
          <w:szCs w:val="20"/>
        </w:rPr>
      </w:pPr>
      <w:r w:rsidRPr="00B63243">
        <w:rPr>
          <w:sz w:val="20"/>
          <w:szCs w:val="20"/>
        </w:rPr>
        <w:t xml:space="preserve">ONCA Decision, </w:t>
      </w:r>
      <w:r w:rsidRPr="00B63243">
        <w:rPr>
          <w:i/>
          <w:sz w:val="20"/>
          <w:szCs w:val="20"/>
        </w:rPr>
        <w:t xml:space="preserve">supra </w:t>
      </w:r>
      <w:r w:rsidR="10F07DD3" w:rsidRPr="00B63243">
        <w:rPr>
          <w:sz w:val="20"/>
          <w:szCs w:val="20"/>
        </w:rPr>
        <w:t xml:space="preserve">para </w:t>
      </w:r>
      <w:r w:rsidR="00B63243" w:rsidRPr="00B63243">
        <w:rPr>
          <w:sz w:val="20"/>
          <w:szCs w:val="20"/>
        </w:rPr>
        <w:t>8</w:t>
      </w:r>
      <w:r w:rsidR="7E8A9C62" w:rsidRPr="00B63243">
        <w:rPr>
          <w:sz w:val="20"/>
          <w:szCs w:val="20"/>
        </w:rPr>
        <w:t xml:space="preserve"> at </w:t>
      </w:r>
      <w:r w:rsidR="2395514E" w:rsidRPr="00B63243">
        <w:rPr>
          <w:sz w:val="20"/>
          <w:szCs w:val="20"/>
        </w:rPr>
        <w:t>paras</w:t>
      </w:r>
      <w:r w:rsidRPr="00B63243">
        <w:rPr>
          <w:sz w:val="20"/>
          <w:szCs w:val="20"/>
        </w:rPr>
        <w:t xml:space="preserve"> 8, 25.</w:t>
      </w:r>
    </w:p>
    <w:p w14:paraId="6AB6CB71" w14:textId="4CF90F23" w:rsidR="4909DF12" w:rsidRDefault="4D2A7F8C" w:rsidP="4909DF12">
      <w:pPr>
        <w:pStyle w:val="WSParaNum"/>
        <w:spacing w:before="0" w:after="0"/>
        <w:jc w:val="both"/>
      </w:pPr>
      <w:r>
        <w:t xml:space="preserve">In the present case, the OCJ exceeded the standard of review set out in the </w:t>
      </w:r>
      <w:r w:rsidRPr="4D2A7F8C">
        <w:rPr>
          <w:i/>
          <w:iCs/>
        </w:rPr>
        <w:t xml:space="preserve">POA </w:t>
      </w:r>
      <w:r>
        <w:t xml:space="preserve">by impermissibly overturning findings of fact without identifying any palpable and overriding errors, </w:t>
      </w:r>
      <w:r w:rsidR="00E9577F">
        <w:t xml:space="preserve">and misinterpreting the </w:t>
      </w:r>
      <w:r w:rsidR="00E9577F">
        <w:rPr>
          <w:i/>
          <w:iCs/>
        </w:rPr>
        <w:t>ESA</w:t>
      </w:r>
      <w:r w:rsidR="005D71BE">
        <w:t>,</w:t>
      </w:r>
      <w:r w:rsidR="00E9577F">
        <w:rPr>
          <w:i/>
          <w:iCs/>
        </w:rPr>
        <w:t xml:space="preserve"> </w:t>
      </w:r>
      <w:r>
        <w:t>resulting in errors of law.</w:t>
      </w:r>
    </w:p>
    <w:p w14:paraId="2EEEF6B7" w14:textId="57A0E186" w:rsidR="00FF4E32" w:rsidRDefault="4D2A7F8C" w:rsidP="54ED07DF">
      <w:pPr>
        <w:pStyle w:val="WSParaNum"/>
        <w:spacing w:before="0" w:after="0"/>
        <w:jc w:val="both"/>
      </w:pPr>
      <w:r>
        <w:t xml:space="preserve">Appeals pursuant to the </w:t>
      </w:r>
      <w:r w:rsidRPr="4D2A7F8C">
        <w:rPr>
          <w:i/>
          <w:iCs/>
        </w:rPr>
        <w:t xml:space="preserve">POA </w:t>
      </w:r>
      <w:r>
        <w:t>from the OCJ to a higher court are granted upon questions of law alone. The applicable standard of review for questions of law is correctness. Therefore, the applicable standard for the SEMCC in reviewing the OCJ’s decision is correctness.</w:t>
      </w:r>
    </w:p>
    <w:p w14:paraId="58527754" w14:textId="651DA86E" w:rsidR="3E03BDDC" w:rsidRDefault="4D2A7F8C" w:rsidP="3E03BDDC">
      <w:pPr>
        <w:pStyle w:val="WSParaNum"/>
        <w:numPr>
          <w:ilvl w:val="0"/>
          <w:numId w:val="0"/>
        </w:numPr>
        <w:ind w:left="720"/>
        <w:jc w:val="both"/>
        <w:rPr>
          <w:sz w:val="20"/>
          <w:szCs w:val="20"/>
        </w:rPr>
      </w:pPr>
      <w:r w:rsidRPr="4D2A7F8C">
        <w:rPr>
          <w:i/>
          <w:iCs/>
          <w:sz w:val="20"/>
          <w:szCs w:val="20"/>
        </w:rPr>
        <w:t>POA</w:t>
      </w:r>
      <w:r w:rsidRPr="4D2A7F8C">
        <w:rPr>
          <w:sz w:val="20"/>
          <w:szCs w:val="20"/>
        </w:rPr>
        <w:t xml:space="preserve">, </w:t>
      </w:r>
      <w:r w:rsidRPr="4D2A7F8C">
        <w:rPr>
          <w:i/>
          <w:iCs/>
          <w:sz w:val="20"/>
          <w:szCs w:val="20"/>
        </w:rPr>
        <w:t xml:space="preserve">supra </w:t>
      </w:r>
      <w:r w:rsidRPr="4D2A7F8C">
        <w:rPr>
          <w:sz w:val="20"/>
          <w:szCs w:val="20"/>
        </w:rPr>
        <w:t>para 2, s 139(1).</w:t>
      </w:r>
    </w:p>
    <w:p w14:paraId="0D1B93C7" w14:textId="5073E081" w:rsidR="00DC11BA" w:rsidRDefault="012DB0B3" w:rsidP="012DB0B3">
      <w:pPr>
        <w:pStyle w:val="WSParaNum"/>
        <w:numPr>
          <w:ilvl w:val="0"/>
          <w:numId w:val="0"/>
        </w:numPr>
        <w:ind w:firstLine="720"/>
        <w:rPr>
          <w:i/>
          <w:sz w:val="20"/>
          <w:szCs w:val="20"/>
        </w:rPr>
      </w:pPr>
      <w:r w:rsidRPr="012DB0B3">
        <w:rPr>
          <w:i/>
          <w:iCs/>
          <w:sz w:val="20"/>
          <w:szCs w:val="20"/>
        </w:rPr>
        <w:t>Housen</w:t>
      </w:r>
      <w:r w:rsidR="18AAA7BA" w:rsidRPr="18AAA7BA">
        <w:rPr>
          <w:i/>
          <w:iCs/>
          <w:sz w:val="20"/>
          <w:szCs w:val="20"/>
        </w:rPr>
        <w:t>,</w:t>
      </w:r>
      <w:r w:rsidR="6043775A" w:rsidRPr="6043775A">
        <w:rPr>
          <w:i/>
          <w:iCs/>
          <w:sz w:val="20"/>
          <w:szCs w:val="20"/>
        </w:rPr>
        <w:t xml:space="preserve"> supra </w:t>
      </w:r>
      <w:r w:rsidR="6043775A" w:rsidRPr="70407D12">
        <w:rPr>
          <w:sz w:val="20"/>
          <w:szCs w:val="20"/>
        </w:rPr>
        <w:t xml:space="preserve">para </w:t>
      </w:r>
      <w:r w:rsidR="70407D12" w:rsidRPr="70407D12">
        <w:rPr>
          <w:sz w:val="20"/>
          <w:szCs w:val="20"/>
        </w:rPr>
        <w:t>2</w:t>
      </w:r>
      <w:r w:rsidR="00F56FFD">
        <w:rPr>
          <w:sz w:val="20"/>
          <w:szCs w:val="20"/>
        </w:rPr>
        <w:t>1</w:t>
      </w:r>
      <w:r w:rsidR="70407D12" w:rsidRPr="70407D12">
        <w:rPr>
          <w:sz w:val="20"/>
          <w:szCs w:val="20"/>
        </w:rPr>
        <w:t xml:space="preserve"> </w:t>
      </w:r>
      <w:r w:rsidRPr="012DB0B3">
        <w:rPr>
          <w:sz w:val="20"/>
          <w:szCs w:val="20"/>
        </w:rPr>
        <w:t>at paras 25, 30</w:t>
      </w:r>
      <w:r w:rsidR="5B8A4E5A" w:rsidRPr="5B8A4E5A">
        <w:rPr>
          <w:sz w:val="20"/>
          <w:szCs w:val="20"/>
        </w:rPr>
        <w:t>.</w:t>
      </w:r>
    </w:p>
    <w:p w14:paraId="5B243DCD" w14:textId="6ADB2DD2" w:rsidR="00977548" w:rsidRDefault="782D6623" w:rsidP="54ED07DF">
      <w:pPr>
        <w:pStyle w:val="Heading2"/>
        <w:tabs>
          <w:tab w:val="num" w:pos="720"/>
        </w:tabs>
        <w:spacing w:before="0" w:after="0" w:line="360" w:lineRule="auto"/>
        <w:jc w:val="both"/>
        <w:rPr>
          <w:rFonts w:ascii="Times New Roman" w:hAnsi="Times New Roman"/>
          <w:i w:val="0"/>
          <w:iCs w:val="0"/>
          <w:sz w:val="24"/>
          <w:szCs w:val="24"/>
        </w:rPr>
      </w:pPr>
      <w:bookmarkStart w:id="30" w:name="_Toc218630719"/>
      <w:bookmarkStart w:id="31" w:name="_Toc218783937"/>
      <w:bookmarkStart w:id="32" w:name="_Toc218846578"/>
      <w:bookmarkStart w:id="33" w:name="_Toc218858280"/>
      <w:r w:rsidRPr="782D6623">
        <w:rPr>
          <w:rFonts w:ascii="Times New Roman" w:hAnsi="Times New Roman"/>
          <w:i w:val="0"/>
          <w:iCs w:val="0"/>
          <w:sz w:val="24"/>
          <w:szCs w:val="24"/>
        </w:rPr>
        <w:t>The OCJ Owes Deference to the Trier of Fact</w:t>
      </w:r>
      <w:bookmarkEnd w:id="30"/>
      <w:bookmarkEnd w:id="31"/>
      <w:bookmarkEnd w:id="32"/>
      <w:bookmarkEnd w:id="33"/>
    </w:p>
    <w:p w14:paraId="62B81DD5" w14:textId="79293082" w:rsidR="00972F58" w:rsidRPr="00262A47" w:rsidRDefault="4909DF12" w:rsidP="77A95D45">
      <w:pPr>
        <w:pStyle w:val="WSParaNum"/>
        <w:jc w:val="both"/>
      </w:pPr>
      <w:r>
        <w:t xml:space="preserve">An appeal to the OCJ under section 116 of the </w:t>
      </w:r>
      <w:r w:rsidRPr="4909DF12">
        <w:rPr>
          <w:i/>
          <w:iCs/>
        </w:rPr>
        <w:t xml:space="preserve">POA </w:t>
      </w:r>
      <w:r>
        <w:t xml:space="preserve">is not a retrial and limits appellate intervention to preserve deference to trial-level fact-finding. </w:t>
      </w:r>
    </w:p>
    <w:p w14:paraId="081D1092" w14:textId="50F22B4E" w:rsidR="002A1B5C" w:rsidRPr="00262A47" w:rsidRDefault="4909DF12" w:rsidP="4909DF12">
      <w:pPr>
        <w:pStyle w:val="WSParaNum"/>
        <w:numPr>
          <w:ilvl w:val="0"/>
          <w:numId w:val="0"/>
        </w:numPr>
        <w:ind w:left="720"/>
        <w:jc w:val="both"/>
        <w:rPr>
          <w:sz w:val="20"/>
          <w:szCs w:val="20"/>
        </w:rPr>
      </w:pPr>
      <w:r w:rsidRPr="4909DF12">
        <w:rPr>
          <w:sz w:val="20"/>
          <w:szCs w:val="20"/>
        </w:rPr>
        <w:t xml:space="preserve">POA, </w:t>
      </w:r>
      <w:r w:rsidRPr="4909DF12">
        <w:rPr>
          <w:i/>
          <w:iCs/>
          <w:sz w:val="20"/>
          <w:szCs w:val="20"/>
        </w:rPr>
        <w:t xml:space="preserve">supra </w:t>
      </w:r>
      <w:r w:rsidRPr="4909DF12">
        <w:rPr>
          <w:sz w:val="20"/>
          <w:szCs w:val="20"/>
        </w:rPr>
        <w:t>para 2, ss 116, 120(1)(a).</w:t>
      </w:r>
    </w:p>
    <w:p w14:paraId="0092069A" w14:textId="5004A730" w:rsidR="00F53EB3" w:rsidRPr="00262A47" w:rsidRDefault="4D2A7F8C" w:rsidP="54ED07DF">
      <w:pPr>
        <w:pStyle w:val="WSParaNum"/>
        <w:jc w:val="both"/>
      </w:pPr>
      <w:r>
        <w:t xml:space="preserve">Assessment of the relevance, weight, and probative value of evidence, including scientific, technical, or expert materials, is a question of fact, or at most a question of mixed fact and law. Therefore, the appropriate standard of review for the OCJ in reviewing decisions made by the trier of fact regarding evidence is palpable and overriding error. This is affirmed by </w:t>
      </w:r>
      <w:r w:rsidRPr="4D2A7F8C">
        <w:rPr>
          <w:i/>
          <w:iCs/>
        </w:rPr>
        <w:t xml:space="preserve">POA </w:t>
      </w:r>
      <w:r>
        <w:t xml:space="preserve">jurisprudence. Absent a clear misapprehension of evidence or an error going to the core of the reasoning process, deference is required. Under the </w:t>
      </w:r>
      <w:r w:rsidRPr="4D2A7F8C">
        <w:rPr>
          <w:i/>
          <w:iCs/>
        </w:rPr>
        <w:t>POA</w:t>
      </w:r>
      <w:r>
        <w:t>, an appeal court may not intervene merely because it would have preferred separate evidence or drawn different inferences.</w:t>
      </w:r>
    </w:p>
    <w:p w14:paraId="4201EC95" w14:textId="0BF46C93" w:rsidR="00482D55" w:rsidRPr="00262A47" w:rsidRDefault="012DB0B3" w:rsidP="012DB0B3">
      <w:pPr>
        <w:pStyle w:val="WSParaNum"/>
        <w:numPr>
          <w:ilvl w:val="0"/>
          <w:numId w:val="0"/>
        </w:numPr>
        <w:ind w:left="720"/>
        <w:jc w:val="both"/>
        <w:rPr>
          <w:i/>
          <w:iCs/>
          <w:sz w:val="20"/>
          <w:szCs w:val="20"/>
          <w:highlight w:val="yellow"/>
          <w:lang w:val="en-US"/>
        </w:rPr>
      </w:pPr>
      <w:r w:rsidRPr="012DB0B3">
        <w:rPr>
          <w:sz w:val="20"/>
          <w:szCs w:val="20"/>
          <w:lang w:val="en-US"/>
        </w:rPr>
        <w:t xml:space="preserve">OCJ Decision, </w:t>
      </w:r>
      <w:r w:rsidRPr="012DB0B3">
        <w:rPr>
          <w:i/>
          <w:iCs/>
          <w:sz w:val="20"/>
          <w:szCs w:val="20"/>
          <w:lang w:val="en-US"/>
        </w:rPr>
        <w:t>supra</w:t>
      </w:r>
      <w:r w:rsidRPr="012DB0B3">
        <w:rPr>
          <w:sz w:val="20"/>
          <w:szCs w:val="20"/>
          <w:lang w:val="en-US"/>
        </w:rPr>
        <w:t xml:space="preserve"> para 8 at 1, 9.</w:t>
      </w:r>
    </w:p>
    <w:p w14:paraId="14D39C06" w14:textId="71402B83" w:rsidR="00482D55" w:rsidRPr="00262A47" w:rsidRDefault="4909DF12" w:rsidP="4909DF12">
      <w:pPr>
        <w:pStyle w:val="WSParaNum"/>
        <w:numPr>
          <w:ilvl w:val="0"/>
          <w:numId w:val="0"/>
        </w:numPr>
        <w:ind w:left="720"/>
        <w:jc w:val="both"/>
        <w:rPr>
          <w:i/>
          <w:sz w:val="20"/>
          <w:szCs w:val="20"/>
        </w:rPr>
      </w:pPr>
      <w:r w:rsidRPr="4909DF12">
        <w:rPr>
          <w:i/>
          <w:iCs/>
          <w:sz w:val="20"/>
          <w:szCs w:val="20"/>
          <w:lang w:val="en-US"/>
        </w:rPr>
        <w:t xml:space="preserve">R v Ward </w:t>
      </w:r>
      <w:r w:rsidRPr="4909DF12">
        <w:rPr>
          <w:sz w:val="20"/>
          <w:szCs w:val="20"/>
        </w:rPr>
        <w:t>2015 ONCJ 369 at paras 13</w:t>
      </w:r>
      <w:r w:rsidR="009B7285">
        <w:rPr>
          <w:sz w:val="20"/>
          <w:szCs w:val="20"/>
        </w:rPr>
        <w:t>–</w:t>
      </w:r>
      <w:r w:rsidRPr="4909DF12">
        <w:rPr>
          <w:sz w:val="20"/>
          <w:szCs w:val="20"/>
        </w:rPr>
        <w:t>14</w:t>
      </w:r>
      <w:r w:rsidR="2F27641C" w:rsidRPr="2F27641C">
        <w:rPr>
          <w:sz w:val="20"/>
          <w:szCs w:val="20"/>
        </w:rPr>
        <w:t>.</w:t>
      </w:r>
    </w:p>
    <w:p w14:paraId="026E4EE9" w14:textId="41433D08" w:rsidR="00972F58" w:rsidRPr="00262A47" w:rsidRDefault="4909DF12" w:rsidP="54ED07DF">
      <w:pPr>
        <w:pStyle w:val="WSParaNum"/>
        <w:jc w:val="both"/>
      </w:pPr>
      <w:r>
        <w:lastRenderedPageBreak/>
        <w:t xml:space="preserve">In its review, the OCJ overturned the trial decision on the basis that the evidence did not prove that the Site was Blanding’s turtle habitat. The </w:t>
      </w:r>
      <w:r w:rsidRPr="4909DF12">
        <w:rPr>
          <w:i/>
          <w:iCs/>
        </w:rPr>
        <w:t xml:space="preserve">POA </w:t>
      </w:r>
      <w:r>
        <w:t>allows for a reviewing court to order the production of any writing, exhibit or other thing relevant to the appeal; any witness who would have been compellable at the trial; and receive the evidence of any witness. The OCJ declined to do so in its review. As such, the Trial Justice is best positioned to assess witness credibility, weigh evidence, and draw factual inferences, justifying a high degree of deference owing to their findings.</w:t>
      </w:r>
    </w:p>
    <w:p w14:paraId="3F85B3B4" w14:textId="7B12030B" w:rsidR="55F49180" w:rsidRDefault="012DB0B3" w:rsidP="4909DF12">
      <w:pPr>
        <w:pStyle w:val="WSParaNum"/>
        <w:numPr>
          <w:ilvl w:val="0"/>
          <w:numId w:val="0"/>
        </w:numPr>
        <w:ind w:firstLine="720"/>
        <w:jc w:val="both"/>
        <w:rPr>
          <w:sz w:val="20"/>
          <w:szCs w:val="20"/>
        </w:rPr>
      </w:pPr>
      <w:r w:rsidRPr="012DB0B3">
        <w:rPr>
          <w:sz w:val="20"/>
          <w:szCs w:val="20"/>
        </w:rPr>
        <w:t xml:space="preserve">ONCA Decision, </w:t>
      </w:r>
      <w:r w:rsidRPr="012DB0B3">
        <w:rPr>
          <w:i/>
          <w:iCs/>
          <w:sz w:val="20"/>
          <w:szCs w:val="20"/>
        </w:rPr>
        <w:t xml:space="preserve">supra </w:t>
      </w:r>
      <w:r w:rsidRPr="5EC75484">
        <w:rPr>
          <w:sz w:val="20"/>
          <w:szCs w:val="20"/>
        </w:rPr>
        <w:t xml:space="preserve">para 8 </w:t>
      </w:r>
      <w:r w:rsidRPr="012DB0B3">
        <w:rPr>
          <w:sz w:val="20"/>
          <w:szCs w:val="20"/>
        </w:rPr>
        <w:t xml:space="preserve">at para 25. </w:t>
      </w:r>
    </w:p>
    <w:p w14:paraId="4A1E90A0" w14:textId="23E52B1C" w:rsidR="00841328" w:rsidRDefault="4909DF12" w:rsidP="4909DF12">
      <w:pPr>
        <w:pStyle w:val="WSParaNum"/>
        <w:numPr>
          <w:ilvl w:val="0"/>
          <w:numId w:val="0"/>
        </w:numPr>
        <w:ind w:left="720"/>
        <w:jc w:val="both"/>
        <w:rPr>
          <w:sz w:val="20"/>
          <w:szCs w:val="20"/>
        </w:rPr>
      </w:pPr>
      <w:r w:rsidRPr="4734A11B">
        <w:rPr>
          <w:i/>
          <w:sz w:val="20"/>
          <w:szCs w:val="20"/>
        </w:rPr>
        <w:t>POA</w:t>
      </w:r>
      <w:r w:rsidRPr="4909DF12">
        <w:rPr>
          <w:sz w:val="20"/>
          <w:szCs w:val="20"/>
        </w:rPr>
        <w:t xml:space="preserve">, </w:t>
      </w:r>
      <w:r w:rsidRPr="4909DF12">
        <w:rPr>
          <w:i/>
          <w:iCs/>
          <w:sz w:val="20"/>
          <w:szCs w:val="20"/>
        </w:rPr>
        <w:t xml:space="preserve">supra </w:t>
      </w:r>
      <w:r w:rsidRPr="4909DF12">
        <w:rPr>
          <w:sz w:val="20"/>
          <w:szCs w:val="20"/>
        </w:rPr>
        <w:t>para 2, s 117.</w:t>
      </w:r>
    </w:p>
    <w:p w14:paraId="7154C575" w14:textId="7CE78738" w:rsidR="00FB64DD" w:rsidRPr="00262A47" w:rsidRDefault="123A9755" w:rsidP="4909DF12">
      <w:pPr>
        <w:pStyle w:val="WSParaNum"/>
        <w:numPr>
          <w:ilvl w:val="0"/>
          <w:numId w:val="0"/>
        </w:numPr>
        <w:ind w:firstLine="720"/>
        <w:jc w:val="both"/>
        <w:rPr>
          <w:sz w:val="20"/>
          <w:szCs w:val="20"/>
        </w:rPr>
      </w:pPr>
      <w:r w:rsidRPr="123A9755">
        <w:rPr>
          <w:i/>
          <w:iCs/>
          <w:sz w:val="20"/>
          <w:szCs w:val="20"/>
        </w:rPr>
        <w:t xml:space="preserve">Housen, supra </w:t>
      </w:r>
      <w:r w:rsidRPr="123A9755">
        <w:rPr>
          <w:sz w:val="20"/>
          <w:szCs w:val="20"/>
        </w:rPr>
        <w:t>para 21 at paras 10–12, 25.</w:t>
      </w:r>
    </w:p>
    <w:p w14:paraId="708C23E5" w14:textId="5F3FACD9" w:rsidR="00172A04" w:rsidRPr="00262A47" w:rsidRDefault="4909DF12" w:rsidP="54ED07DF">
      <w:pPr>
        <w:pStyle w:val="WSParaNum"/>
        <w:jc w:val="both"/>
      </w:pPr>
      <w:r>
        <w:t>An appellate court may not set aside a trial judgment where there is no palpable and overriding error, and the only point at issue is the interpretation of evidence. Rather, palpable and overriding error sets a high threshold for appellate intervention. An error is palpable where it is plainly identifiable on the face of the reasons or record and overriding only where it affects the outcome or goes to the core of the trial judge’s reasoning process.</w:t>
      </w:r>
    </w:p>
    <w:p w14:paraId="2309E5BD" w14:textId="65A31814" w:rsidR="00EE277A" w:rsidRPr="00EE277A" w:rsidRDefault="4909DF12" w:rsidP="54ED07DF">
      <w:pPr>
        <w:pStyle w:val="WSParaNum"/>
        <w:numPr>
          <w:ilvl w:val="0"/>
          <w:numId w:val="0"/>
        </w:numPr>
        <w:ind w:firstLine="720"/>
        <w:jc w:val="both"/>
        <w:rPr>
          <w:sz w:val="20"/>
          <w:szCs w:val="20"/>
        </w:rPr>
      </w:pPr>
      <w:r w:rsidRPr="4909DF12">
        <w:rPr>
          <w:i/>
          <w:iCs/>
          <w:sz w:val="20"/>
          <w:szCs w:val="20"/>
        </w:rPr>
        <w:t>Salomon v Matte-Thompson</w:t>
      </w:r>
      <w:r w:rsidRPr="4909DF12">
        <w:rPr>
          <w:sz w:val="20"/>
          <w:szCs w:val="20"/>
        </w:rPr>
        <w:t>, 2019 SCC 14 at para 106 [</w:t>
      </w:r>
      <w:r w:rsidRPr="4909DF12">
        <w:rPr>
          <w:i/>
          <w:iCs/>
          <w:sz w:val="20"/>
          <w:szCs w:val="20"/>
        </w:rPr>
        <w:t>Salomon</w:t>
      </w:r>
      <w:r w:rsidRPr="4909DF12">
        <w:rPr>
          <w:sz w:val="20"/>
          <w:szCs w:val="20"/>
        </w:rPr>
        <w:t>].</w:t>
      </w:r>
    </w:p>
    <w:p w14:paraId="112BCEC7" w14:textId="6067B7B3" w:rsidR="00172A04" w:rsidRPr="00262A47" w:rsidRDefault="012DB0B3" w:rsidP="4909DF12">
      <w:pPr>
        <w:pStyle w:val="WSParaNum"/>
        <w:numPr>
          <w:ilvl w:val="0"/>
          <w:numId w:val="0"/>
        </w:numPr>
        <w:ind w:firstLine="720"/>
        <w:jc w:val="both"/>
        <w:rPr>
          <w:sz w:val="20"/>
          <w:szCs w:val="20"/>
        </w:rPr>
      </w:pPr>
      <w:r w:rsidRPr="012DB0B3">
        <w:rPr>
          <w:i/>
          <w:iCs/>
          <w:sz w:val="20"/>
          <w:szCs w:val="20"/>
        </w:rPr>
        <w:t xml:space="preserve">Housen, supra </w:t>
      </w:r>
      <w:r w:rsidRPr="012DB0B3">
        <w:rPr>
          <w:sz w:val="20"/>
          <w:szCs w:val="20"/>
        </w:rPr>
        <w:t xml:space="preserve">para </w:t>
      </w:r>
      <w:r w:rsidR="0C9DD0C5" w:rsidRPr="0C9DD0C5">
        <w:rPr>
          <w:sz w:val="20"/>
          <w:szCs w:val="20"/>
        </w:rPr>
        <w:t>21</w:t>
      </w:r>
      <w:r w:rsidRPr="012DB0B3">
        <w:rPr>
          <w:sz w:val="20"/>
          <w:szCs w:val="20"/>
        </w:rPr>
        <w:t xml:space="preserve"> at paras 5</w:t>
      </w:r>
      <w:r w:rsidR="2A33660B" w:rsidRPr="2A33660B">
        <w:rPr>
          <w:sz w:val="20"/>
          <w:szCs w:val="20"/>
        </w:rPr>
        <w:t>–</w:t>
      </w:r>
      <w:r w:rsidRPr="012DB0B3">
        <w:rPr>
          <w:sz w:val="20"/>
          <w:szCs w:val="20"/>
        </w:rPr>
        <w:t>6.</w:t>
      </w:r>
    </w:p>
    <w:p w14:paraId="3BB5B87D" w14:textId="776EDFD3" w:rsidR="00172A04" w:rsidRPr="00262A47" w:rsidRDefault="78215780" w:rsidP="54ED07DF">
      <w:pPr>
        <w:pStyle w:val="WSParaNum"/>
        <w:jc w:val="both"/>
      </w:pPr>
      <w:r>
        <w:t>The standard is not met by mere disagreement with how the trial judge weighed, emphasized, or interpreted the evidence. The possibility for an alternative factual finding based on a different ascription of weight does not mean that a palpable and overriding error has been made. As such, a finding that a decision is “unreasonable or unsupported by the evidence” requires more than appellate disagreement with the trial judge’s result, weighing of the record, or the inferences drawn from it. The reviewing court must identify palpable and overriding errors.</w:t>
      </w:r>
    </w:p>
    <w:p w14:paraId="303BD802" w14:textId="1E20B71A" w:rsidR="00172A04" w:rsidRDefault="012DB0B3" w:rsidP="4909DF12">
      <w:pPr>
        <w:pStyle w:val="WSParaNum"/>
        <w:numPr>
          <w:ilvl w:val="0"/>
          <w:numId w:val="0"/>
        </w:numPr>
        <w:ind w:firstLine="720"/>
        <w:jc w:val="both"/>
        <w:rPr>
          <w:sz w:val="20"/>
          <w:szCs w:val="20"/>
        </w:rPr>
      </w:pPr>
      <w:r w:rsidRPr="012DB0B3">
        <w:rPr>
          <w:i/>
          <w:iCs/>
          <w:sz w:val="20"/>
          <w:szCs w:val="20"/>
        </w:rPr>
        <w:t>Housen, supra</w:t>
      </w:r>
      <w:r w:rsidRPr="012DB0B3">
        <w:rPr>
          <w:sz w:val="20"/>
          <w:szCs w:val="20"/>
        </w:rPr>
        <w:t xml:space="preserve"> para </w:t>
      </w:r>
      <w:r w:rsidR="0C9DD0C5" w:rsidRPr="0C9DD0C5">
        <w:rPr>
          <w:sz w:val="20"/>
          <w:szCs w:val="20"/>
        </w:rPr>
        <w:t>21</w:t>
      </w:r>
      <w:r w:rsidRPr="012DB0B3">
        <w:rPr>
          <w:sz w:val="20"/>
          <w:szCs w:val="20"/>
        </w:rPr>
        <w:t xml:space="preserve"> at paras 23, 39, citing </w:t>
      </w:r>
      <w:r w:rsidRPr="012DB0B3">
        <w:rPr>
          <w:i/>
          <w:iCs/>
          <w:sz w:val="20"/>
          <w:szCs w:val="20"/>
        </w:rPr>
        <w:t>Van de Perre v Edwards</w:t>
      </w:r>
      <w:r w:rsidRPr="012DB0B3">
        <w:rPr>
          <w:sz w:val="20"/>
          <w:szCs w:val="20"/>
        </w:rPr>
        <w:t>, 2001 SCC 60 at paras 9–15.</w:t>
      </w:r>
    </w:p>
    <w:p w14:paraId="371483DC" w14:textId="789D0C14" w:rsidR="000D2812" w:rsidRPr="00262A47" w:rsidRDefault="012DB0B3" w:rsidP="4909DF12">
      <w:pPr>
        <w:pStyle w:val="WSParaNum"/>
        <w:numPr>
          <w:ilvl w:val="0"/>
          <w:numId w:val="0"/>
        </w:numPr>
        <w:ind w:left="720"/>
        <w:jc w:val="both"/>
        <w:rPr>
          <w:sz w:val="20"/>
          <w:szCs w:val="20"/>
        </w:rPr>
      </w:pPr>
      <w:r w:rsidRPr="012DB0B3">
        <w:rPr>
          <w:i/>
          <w:iCs/>
          <w:sz w:val="20"/>
          <w:szCs w:val="20"/>
        </w:rPr>
        <w:t>Salomon</w:t>
      </w:r>
      <w:r w:rsidRPr="012DB0B3">
        <w:rPr>
          <w:sz w:val="20"/>
          <w:szCs w:val="20"/>
        </w:rPr>
        <w:t xml:space="preserve">, </w:t>
      </w:r>
      <w:r w:rsidRPr="012DB0B3">
        <w:rPr>
          <w:i/>
          <w:iCs/>
          <w:sz w:val="20"/>
          <w:szCs w:val="20"/>
        </w:rPr>
        <w:t xml:space="preserve">supra </w:t>
      </w:r>
      <w:r w:rsidRPr="012DB0B3">
        <w:rPr>
          <w:sz w:val="20"/>
          <w:szCs w:val="20"/>
        </w:rPr>
        <w:t>para 28 at para 33.</w:t>
      </w:r>
    </w:p>
    <w:p w14:paraId="0D71ABE8" w14:textId="2414B798" w:rsidR="00446B5E" w:rsidRPr="00262A47" w:rsidRDefault="4909DF12" w:rsidP="4909DF12">
      <w:pPr>
        <w:pStyle w:val="WSParaNum"/>
        <w:numPr>
          <w:ilvl w:val="0"/>
          <w:numId w:val="0"/>
        </w:numPr>
        <w:ind w:firstLine="720"/>
        <w:jc w:val="both"/>
        <w:rPr>
          <w:sz w:val="20"/>
          <w:szCs w:val="20"/>
        </w:rPr>
      </w:pPr>
      <w:r w:rsidRPr="2A33660B">
        <w:rPr>
          <w:i/>
          <w:sz w:val="20"/>
          <w:szCs w:val="20"/>
        </w:rPr>
        <w:t>POA</w:t>
      </w:r>
      <w:r w:rsidRPr="4909DF12">
        <w:rPr>
          <w:i/>
          <w:iCs/>
          <w:sz w:val="20"/>
          <w:szCs w:val="20"/>
        </w:rPr>
        <w:t xml:space="preserve">, supra </w:t>
      </w:r>
      <w:r w:rsidRPr="4909DF12">
        <w:rPr>
          <w:sz w:val="20"/>
          <w:szCs w:val="20"/>
        </w:rPr>
        <w:t>para 2, s 120(1)(a).</w:t>
      </w:r>
    </w:p>
    <w:p w14:paraId="2119616D" w14:textId="444646DD" w:rsidR="00511299" w:rsidRPr="00262A47" w:rsidRDefault="4909DF12" w:rsidP="54ED07DF">
      <w:pPr>
        <w:pStyle w:val="WSParaNum"/>
        <w:jc w:val="both"/>
      </w:pPr>
      <w:r>
        <w:t xml:space="preserve">Re-weighing evidence or mischaracterizing disagreement with a trial judge’s evidentiary reasoning as an error of law to justify intervention is also impermissible. The </w:t>
      </w:r>
      <w:r w:rsidRPr="4909DF12">
        <w:rPr>
          <w:i/>
          <w:iCs/>
        </w:rPr>
        <w:t xml:space="preserve">POA </w:t>
      </w:r>
      <w:r>
        <w:t xml:space="preserve">does not </w:t>
      </w:r>
      <w:r>
        <w:lastRenderedPageBreak/>
        <w:t xml:space="preserve">permit appellate courts to substitute their own assessment of facts for that of trial judge, even where those facts are proven circumstantially. </w:t>
      </w:r>
    </w:p>
    <w:p w14:paraId="225C6B16" w14:textId="654461B9" w:rsidR="00511299" w:rsidRPr="00262A47" w:rsidRDefault="012DB0B3" w:rsidP="4909DF12">
      <w:pPr>
        <w:pStyle w:val="WSParaNum"/>
        <w:numPr>
          <w:ilvl w:val="0"/>
          <w:numId w:val="0"/>
        </w:numPr>
        <w:jc w:val="both"/>
        <w:rPr>
          <w:sz w:val="20"/>
          <w:szCs w:val="20"/>
          <w:highlight w:val="yellow"/>
        </w:rPr>
      </w:pPr>
      <w:r w:rsidRPr="012DB0B3">
        <w:rPr>
          <w:sz w:val="20"/>
          <w:szCs w:val="20"/>
        </w:rPr>
        <w:t xml:space="preserve"> </w:t>
      </w:r>
      <w:r w:rsidR="4909DF12">
        <w:tab/>
      </w:r>
      <w:r w:rsidRPr="012DB0B3">
        <w:rPr>
          <w:sz w:val="20"/>
          <w:szCs w:val="20"/>
        </w:rPr>
        <w:t>ONCA Decision,</w:t>
      </w:r>
      <w:r w:rsidRPr="012DB0B3">
        <w:rPr>
          <w:i/>
          <w:iCs/>
          <w:sz w:val="20"/>
          <w:szCs w:val="20"/>
        </w:rPr>
        <w:t xml:space="preserve"> supra</w:t>
      </w:r>
      <w:r w:rsidRPr="012DB0B3">
        <w:rPr>
          <w:sz w:val="20"/>
          <w:szCs w:val="20"/>
        </w:rPr>
        <w:t xml:space="preserve"> para 8 at para 36.</w:t>
      </w:r>
    </w:p>
    <w:p w14:paraId="1B6DA4A9" w14:textId="1DF5FD65" w:rsidR="011AFACA" w:rsidRDefault="4909DF12" w:rsidP="4909DF12">
      <w:pPr>
        <w:pStyle w:val="WSParaNum"/>
        <w:numPr>
          <w:ilvl w:val="0"/>
          <w:numId w:val="0"/>
        </w:numPr>
        <w:ind w:left="720"/>
        <w:jc w:val="both"/>
        <w:rPr>
          <w:sz w:val="20"/>
          <w:szCs w:val="20"/>
          <w:highlight w:val="yellow"/>
        </w:rPr>
      </w:pPr>
      <w:r w:rsidRPr="4909DF12">
        <w:rPr>
          <w:i/>
          <w:iCs/>
          <w:sz w:val="20"/>
          <w:szCs w:val="20"/>
        </w:rPr>
        <w:t>R v Villaroman</w:t>
      </w:r>
      <w:r w:rsidRPr="4909DF12">
        <w:rPr>
          <w:sz w:val="20"/>
          <w:szCs w:val="20"/>
        </w:rPr>
        <w:t>, 2016 SCC 33 at para 35 [</w:t>
      </w:r>
      <w:r w:rsidRPr="4909DF12">
        <w:rPr>
          <w:i/>
          <w:iCs/>
          <w:sz w:val="20"/>
          <w:szCs w:val="20"/>
        </w:rPr>
        <w:t>Villaroman</w:t>
      </w:r>
      <w:r w:rsidRPr="4909DF12">
        <w:rPr>
          <w:sz w:val="20"/>
          <w:szCs w:val="20"/>
        </w:rPr>
        <w:t>].</w:t>
      </w:r>
    </w:p>
    <w:p w14:paraId="07E9E5C0" w14:textId="4804F9C2" w:rsidR="140AEA97" w:rsidRDefault="140AEA97" w:rsidP="54ED07DF">
      <w:pPr>
        <w:pStyle w:val="WSParaNum"/>
        <w:spacing w:before="240" w:after="240"/>
        <w:jc w:val="both"/>
        <w:rPr>
          <w:color w:val="000000"/>
        </w:rPr>
      </w:pPr>
      <w:r w:rsidRPr="005A0158">
        <w:rPr>
          <w:color w:val="000000"/>
        </w:rPr>
        <w:t>Appellate intervention in a trial verdict is permitted only in narrow and well-defined circumstances. Such intervention may be justified where the trial judge:</w:t>
      </w:r>
    </w:p>
    <w:p w14:paraId="21E363A2" w14:textId="684D8DED" w:rsidR="140AEA97" w:rsidRDefault="16277B6E" w:rsidP="00AF4983">
      <w:pPr>
        <w:pStyle w:val="WSParaNum"/>
        <w:numPr>
          <w:ilvl w:val="1"/>
          <w:numId w:val="17"/>
        </w:numPr>
        <w:rPr>
          <w:color w:val="000000"/>
        </w:rPr>
      </w:pPr>
      <w:r>
        <w:t>misapprehended material evidence;</w:t>
      </w:r>
    </w:p>
    <w:p w14:paraId="11AAF375" w14:textId="139F50FD" w:rsidR="140AEA97" w:rsidRDefault="16277B6E" w:rsidP="00AF4983">
      <w:pPr>
        <w:pStyle w:val="WSParaNum"/>
        <w:numPr>
          <w:ilvl w:val="1"/>
          <w:numId w:val="17"/>
        </w:numPr>
        <w:rPr>
          <w:color w:val="000000"/>
        </w:rPr>
      </w:pPr>
      <w:r>
        <w:t>failed to consider evidence central to a dispositive issue;</w:t>
      </w:r>
    </w:p>
    <w:p w14:paraId="6E1D20B5" w14:textId="11391882" w:rsidR="140AEA97" w:rsidRDefault="16277B6E" w:rsidP="00AF4983">
      <w:pPr>
        <w:pStyle w:val="WSParaNum"/>
        <w:numPr>
          <w:ilvl w:val="1"/>
          <w:numId w:val="17"/>
        </w:numPr>
        <w:rPr>
          <w:color w:val="000000"/>
        </w:rPr>
      </w:pPr>
      <w:r>
        <w:t>relied on irrelevant or improper considerations;</w:t>
      </w:r>
    </w:p>
    <w:p w14:paraId="7CEEA6BD" w14:textId="43456C50" w:rsidR="140AEA97" w:rsidRDefault="16277B6E" w:rsidP="00AF4983">
      <w:pPr>
        <w:pStyle w:val="WSParaNum"/>
        <w:numPr>
          <w:ilvl w:val="1"/>
          <w:numId w:val="17"/>
        </w:numPr>
        <w:rPr>
          <w:color w:val="000000"/>
        </w:rPr>
      </w:pPr>
      <w:r>
        <w:t>drew an inference unsupported by any evidence;</w:t>
      </w:r>
    </w:p>
    <w:p w14:paraId="3632082B" w14:textId="125F6706" w:rsidR="140AEA97" w:rsidRDefault="16277B6E" w:rsidP="00AF4983">
      <w:pPr>
        <w:pStyle w:val="WSParaNum"/>
        <w:numPr>
          <w:ilvl w:val="1"/>
          <w:numId w:val="17"/>
        </w:numPr>
        <w:rPr>
          <w:color w:val="000000"/>
        </w:rPr>
      </w:pPr>
      <w:r>
        <w:t>failed to apply, or was not alive to, an applicable legal principle; or</w:t>
      </w:r>
    </w:p>
    <w:p w14:paraId="2F09C5B2" w14:textId="726A3785" w:rsidR="140AEA97" w:rsidRDefault="16277B6E" w:rsidP="00AF4983">
      <w:pPr>
        <w:pStyle w:val="WSParaNum"/>
        <w:numPr>
          <w:ilvl w:val="1"/>
          <w:numId w:val="17"/>
        </w:numPr>
        <w:rPr>
          <w:color w:val="000000"/>
        </w:rPr>
      </w:pPr>
      <w:r>
        <w:t>entered a verdict inconsistent with the factual conclusions reached in the reasons.</w:t>
      </w:r>
    </w:p>
    <w:p w14:paraId="43CF726A" w14:textId="5643D8D4" w:rsidR="140AEA97" w:rsidRDefault="140AEA97" w:rsidP="54ED07DF">
      <w:pPr>
        <w:pStyle w:val="WSParaNum"/>
        <w:numPr>
          <w:ilvl w:val="0"/>
          <w:numId w:val="0"/>
        </w:numPr>
        <w:spacing w:before="240" w:after="240"/>
        <w:ind w:left="720"/>
        <w:jc w:val="both"/>
        <w:rPr>
          <w:color w:val="000000"/>
        </w:rPr>
      </w:pPr>
      <w:r w:rsidRPr="005A0158">
        <w:rPr>
          <w:color w:val="000000"/>
        </w:rPr>
        <w:t xml:space="preserve">[Emphasis added] </w:t>
      </w:r>
    </w:p>
    <w:p w14:paraId="1CD0B4E9" w14:textId="69514AC5" w:rsidR="140AEA97" w:rsidRDefault="012DB0B3" w:rsidP="4909DF12">
      <w:pPr>
        <w:pStyle w:val="WSParaNum"/>
        <w:numPr>
          <w:ilvl w:val="0"/>
          <w:numId w:val="0"/>
        </w:numPr>
        <w:spacing w:before="240" w:after="240"/>
        <w:ind w:left="720"/>
        <w:jc w:val="both"/>
        <w:rPr>
          <w:color w:val="000000"/>
          <w:sz w:val="20"/>
          <w:szCs w:val="20"/>
        </w:rPr>
      </w:pPr>
      <w:r>
        <w:rPr>
          <w:i/>
          <w:color w:val="000000"/>
          <w:sz w:val="20"/>
          <w:szCs w:val="20"/>
        </w:rPr>
        <w:t>Housen, supra</w:t>
      </w:r>
      <w:r>
        <w:rPr>
          <w:color w:val="000000"/>
          <w:sz w:val="20"/>
          <w:szCs w:val="20"/>
        </w:rPr>
        <w:t xml:space="preserve"> para </w:t>
      </w:r>
      <w:r w:rsidR="1B82AFAD">
        <w:rPr>
          <w:color w:val="000000"/>
          <w:sz w:val="20"/>
          <w:szCs w:val="20"/>
        </w:rPr>
        <w:t>21</w:t>
      </w:r>
      <w:r>
        <w:rPr>
          <w:color w:val="000000"/>
          <w:sz w:val="20"/>
          <w:szCs w:val="20"/>
        </w:rPr>
        <w:t xml:space="preserve"> at paras 23–24.</w:t>
      </w:r>
    </w:p>
    <w:p w14:paraId="5A4345B8" w14:textId="1DC4077A" w:rsidR="140AEA97" w:rsidRDefault="012DB0B3" w:rsidP="009C6487">
      <w:pPr>
        <w:pStyle w:val="WSParaNum"/>
        <w:numPr>
          <w:ilvl w:val="0"/>
          <w:numId w:val="0"/>
        </w:numPr>
        <w:spacing w:before="0" w:after="240"/>
        <w:ind w:left="720"/>
        <w:jc w:val="both"/>
        <w:rPr>
          <w:i/>
          <w:iCs/>
          <w:color w:val="000000"/>
          <w:sz w:val="20"/>
          <w:szCs w:val="20"/>
        </w:rPr>
      </w:pPr>
      <w:r>
        <w:rPr>
          <w:i/>
          <w:color w:val="000000"/>
          <w:sz w:val="20"/>
          <w:szCs w:val="20"/>
        </w:rPr>
        <w:t>Biniaris</w:t>
      </w:r>
      <w:r>
        <w:rPr>
          <w:color w:val="000000"/>
          <w:sz w:val="20"/>
          <w:szCs w:val="20"/>
        </w:rPr>
        <w:t xml:space="preserve">, </w:t>
      </w:r>
      <w:r>
        <w:rPr>
          <w:i/>
          <w:color w:val="000000"/>
          <w:sz w:val="20"/>
          <w:szCs w:val="20"/>
        </w:rPr>
        <w:t>supra</w:t>
      </w:r>
      <w:r>
        <w:rPr>
          <w:color w:val="000000"/>
          <w:sz w:val="20"/>
          <w:szCs w:val="20"/>
        </w:rPr>
        <w:t xml:space="preserve"> </w:t>
      </w:r>
      <w:r w:rsidR="1B82AFAD">
        <w:rPr>
          <w:color w:val="000000"/>
          <w:sz w:val="20"/>
          <w:szCs w:val="20"/>
        </w:rPr>
        <w:t xml:space="preserve">para </w:t>
      </w:r>
      <w:r>
        <w:rPr>
          <w:color w:val="000000"/>
          <w:sz w:val="20"/>
          <w:szCs w:val="20"/>
        </w:rPr>
        <w:t>22 at paras 36–37.</w:t>
      </w:r>
    </w:p>
    <w:p w14:paraId="2D81A1E5" w14:textId="38E8CB78" w:rsidR="140AEA97" w:rsidRDefault="2F18C888" w:rsidP="54ED07DF">
      <w:pPr>
        <w:pStyle w:val="WSParaNum"/>
        <w:spacing w:before="240" w:after="240"/>
        <w:jc w:val="both"/>
        <w:rPr>
          <w:color w:val="000000"/>
        </w:rPr>
      </w:pPr>
      <w:r>
        <w:rPr>
          <w:color w:val="000000"/>
        </w:rPr>
        <w:t xml:space="preserve">None of these circumstances arose in the present case. The Trial Justice engages fully with the material evidence, including the expert testimony and site-specific sightings, drawing inferences firmly grounded in the evidentiary record. </w:t>
      </w:r>
      <w:r w:rsidR="7A96BC15">
        <w:rPr>
          <w:color w:val="000000"/>
        </w:rPr>
        <w:t xml:space="preserve">Her </w:t>
      </w:r>
      <w:r>
        <w:rPr>
          <w:color w:val="000000"/>
        </w:rPr>
        <w:t xml:space="preserve">conclusions </w:t>
      </w:r>
      <w:r w:rsidR="052C051C">
        <w:rPr>
          <w:color w:val="000000"/>
        </w:rPr>
        <w:t>are</w:t>
      </w:r>
      <w:r>
        <w:rPr>
          <w:color w:val="000000"/>
        </w:rPr>
        <w:t xml:space="preserve"> </w:t>
      </w:r>
      <w:r w:rsidR="3313CFE8">
        <w:rPr>
          <w:color w:val="000000"/>
        </w:rPr>
        <w:t xml:space="preserve">reasonable, </w:t>
      </w:r>
      <w:r>
        <w:rPr>
          <w:color w:val="000000"/>
        </w:rPr>
        <w:t>logical</w:t>
      </w:r>
      <w:r w:rsidR="3313CFE8">
        <w:rPr>
          <w:color w:val="000000"/>
        </w:rPr>
        <w:t>,</w:t>
      </w:r>
      <w:r>
        <w:rPr>
          <w:color w:val="000000"/>
        </w:rPr>
        <w:t xml:space="preserve"> and consistent with the factual findings set out in her reasons. In the absence of any identifiable flaw in the evaluation of the evidence or the analytical framework, appellate deference </w:t>
      </w:r>
      <w:r w:rsidR="6130CD74">
        <w:rPr>
          <w:color w:val="000000"/>
        </w:rPr>
        <w:t>is</w:t>
      </w:r>
      <w:r>
        <w:rPr>
          <w:color w:val="000000"/>
        </w:rPr>
        <w:t xml:space="preserve"> mandatory, and the OCJ’s intervention </w:t>
      </w:r>
      <w:r w:rsidR="4A19DD77">
        <w:rPr>
          <w:color w:val="000000"/>
        </w:rPr>
        <w:t>is</w:t>
      </w:r>
      <w:r>
        <w:rPr>
          <w:color w:val="000000"/>
        </w:rPr>
        <w:t xml:space="preserve"> unwarranted.</w:t>
      </w:r>
    </w:p>
    <w:p w14:paraId="0A85C033" w14:textId="621474CD" w:rsidR="50DBDE70" w:rsidRDefault="012DB0B3" w:rsidP="012DB0B3">
      <w:pPr>
        <w:pStyle w:val="WSParaNum"/>
        <w:numPr>
          <w:ilvl w:val="0"/>
          <w:numId w:val="0"/>
        </w:numPr>
        <w:spacing w:before="240" w:after="240"/>
        <w:ind w:left="720"/>
        <w:jc w:val="both"/>
        <w:rPr>
          <w:color w:val="000000"/>
          <w:sz w:val="20"/>
          <w:szCs w:val="20"/>
        </w:rPr>
      </w:pPr>
      <w:r>
        <w:rPr>
          <w:color w:val="000000"/>
          <w:sz w:val="20"/>
          <w:szCs w:val="20"/>
        </w:rPr>
        <w:t xml:space="preserve">Trial Decision, </w:t>
      </w:r>
      <w:r>
        <w:rPr>
          <w:i/>
          <w:iCs/>
          <w:color w:val="000000"/>
          <w:sz w:val="20"/>
          <w:szCs w:val="20"/>
        </w:rPr>
        <w:t>supra</w:t>
      </w:r>
      <w:r>
        <w:rPr>
          <w:color w:val="000000"/>
          <w:sz w:val="20"/>
          <w:szCs w:val="20"/>
        </w:rPr>
        <w:t xml:space="preserve"> para 9 at 13–14. </w:t>
      </w:r>
    </w:p>
    <w:p w14:paraId="0FAB0E5C" w14:textId="12686CE7" w:rsidR="00172A04" w:rsidRPr="00262A47" w:rsidRDefault="4909DF12" w:rsidP="54ED07DF">
      <w:pPr>
        <w:pStyle w:val="WSParaNum"/>
        <w:spacing w:before="240" w:after="240"/>
        <w:jc w:val="both"/>
      </w:pPr>
      <w:r>
        <w:t xml:space="preserve">Deference to trial-level fact-finding is essential to maintaining finality, predictability, and the proper functioning of preventative statutory schemes. Appellate intervention in the absence of palpable and overriding error risks transforming appeals into retrials and imposes </w:t>
      </w:r>
      <w:r>
        <w:lastRenderedPageBreak/>
        <w:t xml:space="preserve">retrospective evidentiary thresholds untethered from the statutory framework. This undermines </w:t>
      </w:r>
      <w:r w:rsidR="00BA1073">
        <w:t>settled</w:t>
      </w:r>
      <w:r>
        <w:t xml:space="preserve"> jurisprudence </w:t>
      </w:r>
      <w:r w:rsidR="00A80FAD">
        <w:t>regarding</w:t>
      </w:r>
      <w:r>
        <w:t xml:space="preserve"> appellate restraint and deference to a trier of fact.</w:t>
      </w:r>
    </w:p>
    <w:p w14:paraId="6234C72F" w14:textId="7D8098B6" w:rsidR="6ABE1EA8" w:rsidRDefault="012DB0B3" w:rsidP="00BA1073">
      <w:pPr>
        <w:pStyle w:val="WSParaNum"/>
        <w:numPr>
          <w:ilvl w:val="0"/>
          <w:numId w:val="0"/>
        </w:numPr>
        <w:ind w:firstLine="720"/>
        <w:jc w:val="both"/>
        <w:rPr>
          <w:color w:val="000000"/>
          <w:sz w:val="20"/>
          <w:szCs w:val="20"/>
        </w:rPr>
      </w:pPr>
      <w:r>
        <w:rPr>
          <w:i/>
          <w:color w:val="000000"/>
          <w:sz w:val="20"/>
          <w:szCs w:val="20"/>
        </w:rPr>
        <w:t xml:space="preserve">Housen, supra </w:t>
      </w:r>
      <w:r>
        <w:rPr>
          <w:color w:val="000000"/>
          <w:sz w:val="20"/>
          <w:szCs w:val="20"/>
        </w:rPr>
        <w:t xml:space="preserve">para </w:t>
      </w:r>
      <w:r w:rsidR="1B82AFAD">
        <w:rPr>
          <w:color w:val="000000"/>
          <w:sz w:val="20"/>
          <w:szCs w:val="20"/>
        </w:rPr>
        <w:t>21</w:t>
      </w:r>
      <w:r>
        <w:rPr>
          <w:color w:val="000000"/>
          <w:sz w:val="20"/>
          <w:szCs w:val="20"/>
        </w:rPr>
        <w:t xml:space="preserve"> at paras 4, 7, 12, 19.  </w:t>
      </w:r>
    </w:p>
    <w:p w14:paraId="3DFBAFA6" w14:textId="04D56F72" w:rsidR="00B30C31" w:rsidRPr="00B30C31" w:rsidRDefault="2F18C888" w:rsidP="54ED07DF">
      <w:pPr>
        <w:pStyle w:val="Heading2"/>
        <w:tabs>
          <w:tab w:val="num" w:pos="720"/>
        </w:tabs>
        <w:spacing w:before="120" w:after="120" w:line="360" w:lineRule="auto"/>
        <w:jc w:val="both"/>
        <w:rPr>
          <w:rFonts w:ascii="Times New Roman" w:hAnsi="Times New Roman"/>
          <w:i w:val="0"/>
          <w:iCs w:val="0"/>
          <w:sz w:val="24"/>
          <w:szCs w:val="24"/>
        </w:rPr>
      </w:pPr>
      <w:bookmarkStart w:id="34" w:name="_Toc218630720"/>
      <w:bookmarkStart w:id="35" w:name="_Toc218783938"/>
      <w:bookmarkStart w:id="36" w:name="_Toc218846579"/>
      <w:bookmarkStart w:id="37" w:name="_Toc218858281"/>
      <w:r w:rsidRPr="2F18C888">
        <w:rPr>
          <w:rFonts w:ascii="Times New Roman" w:hAnsi="Times New Roman"/>
          <w:i w:val="0"/>
          <w:iCs w:val="0"/>
          <w:sz w:val="24"/>
          <w:szCs w:val="24"/>
        </w:rPr>
        <w:t xml:space="preserve">The OCJ Erred by Overturning the Trial Justice’s Factual Inferences About </w:t>
      </w:r>
      <w:r w:rsidR="124EFA5E" w:rsidRPr="124EFA5E">
        <w:rPr>
          <w:rFonts w:ascii="Times New Roman" w:hAnsi="Times New Roman"/>
          <w:i w:val="0"/>
          <w:iCs w:val="0"/>
          <w:sz w:val="24"/>
          <w:szCs w:val="24"/>
        </w:rPr>
        <w:t>Blanding’s</w:t>
      </w:r>
      <w:r w:rsidRPr="2F18C888">
        <w:rPr>
          <w:rFonts w:ascii="Times New Roman" w:hAnsi="Times New Roman"/>
          <w:i w:val="0"/>
          <w:iCs w:val="0"/>
          <w:sz w:val="24"/>
          <w:szCs w:val="24"/>
        </w:rPr>
        <w:t xml:space="preserve"> Turtle Habitat Without Identifying a Palpable and Overriding Error</w:t>
      </w:r>
      <w:bookmarkEnd w:id="34"/>
      <w:bookmarkEnd w:id="35"/>
      <w:bookmarkEnd w:id="36"/>
      <w:bookmarkEnd w:id="37"/>
    </w:p>
    <w:p w14:paraId="21313023" w14:textId="6688C981" w:rsidR="004E000C" w:rsidRDefault="4D2A7F8C" w:rsidP="54ED07DF">
      <w:pPr>
        <w:pStyle w:val="WSParaNum"/>
        <w:jc w:val="both"/>
        <w:rPr>
          <w:color w:val="000000"/>
        </w:rPr>
      </w:pPr>
      <w:r>
        <w:rPr>
          <w:color w:val="000000"/>
        </w:rPr>
        <w:t xml:space="preserve">The OCJ erred by overturning the Trial Justice’s reliance on turtle sightings, expert evidence, and the GHD, all of which support a reasonable factual inference that the Site constituted Blanding’s turtle habitat under the </w:t>
      </w:r>
      <w:r>
        <w:rPr>
          <w:i/>
          <w:color w:val="000000"/>
        </w:rPr>
        <w:t>ESA</w:t>
      </w:r>
      <w:r>
        <w:rPr>
          <w:color w:val="000000"/>
        </w:rPr>
        <w:t>. In doing so, the OCJ impermissibly reweighed the evidence and substituted its own factual conclusions without identifying any palpable and overriding error.</w:t>
      </w:r>
    </w:p>
    <w:p w14:paraId="6CD64F43" w14:textId="74ABAE54" w:rsidR="00DA64F0" w:rsidRPr="00DA64F0" w:rsidRDefault="012DB0B3" w:rsidP="00DA64F0">
      <w:pPr>
        <w:pStyle w:val="WSParaNum"/>
        <w:jc w:val="both"/>
        <w:rPr>
          <w:color w:val="000000"/>
          <w:sz w:val="20"/>
          <w:szCs w:val="20"/>
        </w:rPr>
      </w:pPr>
      <w:r>
        <w:rPr>
          <w:color w:val="000000"/>
        </w:rPr>
        <w:t xml:space="preserve">Sections 2 and 10 of the </w:t>
      </w:r>
      <w:r>
        <w:rPr>
          <w:i/>
          <w:iCs/>
          <w:color w:val="000000"/>
        </w:rPr>
        <w:t xml:space="preserve">ESA </w:t>
      </w:r>
      <w:r>
        <w:rPr>
          <w:color w:val="000000"/>
        </w:rPr>
        <w:t xml:space="preserve">require the Crown to prove beyond a reasonable doubt that, at the time of the alleged offence, members of the species depended on the land, directly or indirectly, to carry on their life processes. This standard does not require contemporaneous or direct proof of a Blanding's turtle’s physical presence on the Site at the precise moment of the offence. Rather, it can be satisfied through circumstantial evidence establishing the species’ presence in the relevant area and the existence of features essential for its life processes. Such inferences are routinely and permissibly drawn from indirect evidence and expert opinion. </w:t>
      </w:r>
    </w:p>
    <w:p w14:paraId="65E1B2D2" w14:textId="52930291" w:rsidR="00AF5E8B" w:rsidRPr="00DA64F0" w:rsidRDefault="012DB0B3" w:rsidP="00DA64F0">
      <w:pPr>
        <w:pStyle w:val="WSParaNum"/>
        <w:numPr>
          <w:ilvl w:val="0"/>
          <w:numId w:val="0"/>
        </w:numPr>
        <w:ind w:firstLine="720"/>
        <w:jc w:val="both"/>
        <w:rPr>
          <w:color w:val="000000"/>
          <w:sz w:val="20"/>
          <w:szCs w:val="20"/>
        </w:rPr>
      </w:pPr>
      <w:r w:rsidRPr="00DA64F0">
        <w:rPr>
          <w:i/>
          <w:iCs/>
          <w:color w:val="000000"/>
          <w:sz w:val="20"/>
          <w:szCs w:val="20"/>
        </w:rPr>
        <w:t>Villaroman</w:t>
      </w:r>
      <w:r w:rsidRPr="00DA64F0">
        <w:rPr>
          <w:color w:val="000000"/>
          <w:sz w:val="20"/>
          <w:szCs w:val="20"/>
        </w:rPr>
        <w:t xml:space="preserve">, </w:t>
      </w:r>
      <w:r w:rsidRPr="00DA64F0">
        <w:rPr>
          <w:i/>
          <w:iCs/>
          <w:color w:val="000000"/>
          <w:sz w:val="20"/>
          <w:szCs w:val="20"/>
        </w:rPr>
        <w:t xml:space="preserve">supra </w:t>
      </w:r>
      <w:r w:rsidRPr="00DA64F0">
        <w:rPr>
          <w:color w:val="000000"/>
          <w:sz w:val="20"/>
          <w:szCs w:val="20"/>
        </w:rPr>
        <w:t xml:space="preserve">para 30 at paras 29, 35. </w:t>
      </w:r>
    </w:p>
    <w:p w14:paraId="0954397F" w14:textId="087E8C7E" w:rsidR="5555E2BC" w:rsidRPr="001C7702" w:rsidRDefault="012DB0B3" w:rsidP="54ED07DF">
      <w:pPr>
        <w:pStyle w:val="WSParaNum"/>
        <w:numPr>
          <w:ilvl w:val="0"/>
          <w:numId w:val="0"/>
        </w:numPr>
        <w:ind w:firstLine="720"/>
        <w:jc w:val="both"/>
        <w:rPr>
          <w:color w:val="000000"/>
          <w:sz w:val="20"/>
          <w:szCs w:val="20"/>
        </w:rPr>
      </w:pPr>
      <w:r>
        <w:rPr>
          <w:color w:val="000000"/>
          <w:sz w:val="20"/>
          <w:szCs w:val="20"/>
        </w:rPr>
        <w:t xml:space="preserve">ONCA Decision, </w:t>
      </w:r>
      <w:r>
        <w:rPr>
          <w:i/>
          <w:iCs/>
          <w:color w:val="000000"/>
          <w:sz w:val="20"/>
          <w:szCs w:val="20"/>
        </w:rPr>
        <w:t xml:space="preserve">supra </w:t>
      </w:r>
      <w:r>
        <w:rPr>
          <w:color w:val="000000"/>
          <w:sz w:val="20"/>
          <w:szCs w:val="20"/>
        </w:rPr>
        <w:t>para 8 at paras 32, 36.</w:t>
      </w:r>
    </w:p>
    <w:p w14:paraId="1ACD6B86" w14:textId="3D4FA803" w:rsidR="5555E2BC" w:rsidRPr="00D51A18" w:rsidRDefault="123A9755" w:rsidP="007A2DA1">
      <w:pPr>
        <w:pStyle w:val="WSParaNum"/>
        <w:numPr>
          <w:ilvl w:val="0"/>
          <w:numId w:val="0"/>
        </w:numPr>
        <w:spacing w:line="240" w:lineRule="auto"/>
        <w:ind w:left="720"/>
        <w:jc w:val="both"/>
        <w:rPr>
          <w:sz w:val="20"/>
          <w:szCs w:val="20"/>
          <w:lang w:val="en-US"/>
        </w:rPr>
      </w:pPr>
      <w:r w:rsidRPr="123A9755">
        <w:rPr>
          <w:i/>
          <w:iCs/>
          <w:sz w:val="20"/>
          <w:szCs w:val="20"/>
          <w:lang w:val="en-US"/>
        </w:rPr>
        <w:t>Ontario (Natural Resources and Forestry) v South Bruce Peninsula (Town)</w:t>
      </w:r>
      <w:r w:rsidRPr="123A9755">
        <w:rPr>
          <w:sz w:val="20"/>
          <w:szCs w:val="20"/>
          <w:lang w:val="en-US"/>
        </w:rPr>
        <w:t>, 2022 ONCA 315 [</w:t>
      </w:r>
      <w:r w:rsidRPr="123A9755">
        <w:rPr>
          <w:i/>
          <w:iCs/>
          <w:sz w:val="20"/>
          <w:szCs w:val="20"/>
          <w:lang w:val="en-US"/>
        </w:rPr>
        <w:t>South Bruce</w:t>
      </w:r>
      <w:r w:rsidRPr="123A9755">
        <w:rPr>
          <w:sz w:val="20"/>
          <w:szCs w:val="20"/>
          <w:lang w:val="en-US"/>
        </w:rPr>
        <w:t>].</w:t>
      </w:r>
    </w:p>
    <w:p w14:paraId="44946099" w14:textId="641D66A2" w:rsidR="4909DF12" w:rsidRDefault="4D2A7F8C" w:rsidP="4909DF12">
      <w:pPr>
        <w:pStyle w:val="WSParaNum"/>
        <w:jc w:val="both"/>
      </w:pPr>
      <w:r>
        <w:rPr>
          <w:color w:val="000000"/>
        </w:rPr>
        <w:t>In the present case, the Trial Justice was satisfied beyond a reasonable doubt that the Turtle sightings, GHD, and expert evidence confirmed direct dependence of Blanding’s turtles on the Site during the summer of 2018. T</w:t>
      </w:r>
      <w:r>
        <w:t>he</w:t>
      </w:r>
      <w:r>
        <w:rPr>
          <w:color w:val="000000"/>
        </w:rPr>
        <w:t xml:space="preserve"> Trial Justice committed no palpable or overriding error in concluding that Blanding’s turtles depended on the Site, considering the expert evidence, turtle sightings, and the GHD.</w:t>
      </w:r>
    </w:p>
    <w:p w14:paraId="255C0655" w14:textId="7904AEB6" w:rsidR="28E373EC" w:rsidRPr="00ED5E37" w:rsidRDefault="012DB0B3" w:rsidP="593CA99B">
      <w:pPr>
        <w:pStyle w:val="WSParaNum"/>
        <w:numPr>
          <w:ilvl w:val="0"/>
          <w:numId w:val="0"/>
        </w:numPr>
        <w:ind w:firstLine="720"/>
        <w:jc w:val="both"/>
        <w:rPr>
          <w:color w:val="000000"/>
          <w:sz w:val="20"/>
          <w:szCs w:val="20"/>
        </w:rPr>
      </w:pPr>
      <w:r>
        <w:rPr>
          <w:color w:val="000000"/>
          <w:sz w:val="20"/>
          <w:szCs w:val="20"/>
        </w:rPr>
        <w:t xml:space="preserve">Trial Decision, </w:t>
      </w:r>
      <w:r>
        <w:rPr>
          <w:i/>
          <w:iCs/>
          <w:color w:val="000000"/>
          <w:sz w:val="20"/>
          <w:szCs w:val="20"/>
        </w:rPr>
        <w:t>supra</w:t>
      </w:r>
      <w:r>
        <w:rPr>
          <w:color w:val="000000"/>
          <w:sz w:val="20"/>
          <w:szCs w:val="20"/>
        </w:rPr>
        <w:t xml:space="preserve"> para 9 at 13–14.</w:t>
      </w:r>
    </w:p>
    <w:p w14:paraId="18F00D7B" w14:textId="2DFFF491" w:rsidR="08C6758F" w:rsidRDefault="4D2A7F8C" w:rsidP="77A95D45">
      <w:pPr>
        <w:pStyle w:val="WSParaNum"/>
        <w:jc w:val="both"/>
        <w:rPr>
          <w:color w:val="000000"/>
        </w:rPr>
      </w:pPr>
      <w:r>
        <w:rPr>
          <w:color w:val="000000"/>
        </w:rPr>
        <w:t>Therefore, the Appellant submits that t</w:t>
      </w:r>
      <w:r>
        <w:t xml:space="preserve">he OCJ erred in law by overturning the Trial Justice’s factual findings based on the turtle sightings and GHD without identifying a palpable </w:t>
      </w:r>
      <w:r>
        <w:lastRenderedPageBreak/>
        <w:t>and overriding error. Rather, the evidence supports a reasonable inference about Blanding’s turtle presence in the Circle Lake area and their reliance on the Site for life processes.</w:t>
      </w:r>
    </w:p>
    <w:p w14:paraId="55D58605" w14:textId="4B2B6309" w:rsidR="00D678D8" w:rsidRPr="002B5644" w:rsidRDefault="6ABE1EA8" w:rsidP="54ED07DF">
      <w:pPr>
        <w:pStyle w:val="Heading3"/>
        <w:spacing w:before="120" w:after="120" w:line="360" w:lineRule="auto"/>
        <w:jc w:val="both"/>
        <w:rPr>
          <w:rFonts w:ascii="Times New Roman" w:hAnsi="Times New Roman"/>
          <w:b w:val="0"/>
          <w:bCs w:val="0"/>
          <w:sz w:val="24"/>
          <w:szCs w:val="24"/>
          <w:u w:val="single"/>
        </w:rPr>
      </w:pPr>
      <w:bookmarkStart w:id="38" w:name="_Toc218630721"/>
      <w:bookmarkStart w:id="39" w:name="_Toc218783939"/>
      <w:bookmarkStart w:id="40" w:name="_Toc218846580"/>
      <w:bookmarkStart w:id="41" w:name="_Toc218858282"/>
      <w:r w:rsidRPr="6ABE1EA8">
        <w:rPr>
          <w:rFonts w:ascii="Times New Roman" w:hAnsi="Times New Roman"/>
          <w:b w:val="0"/>
          <w:bCs w:val="0"/>
          <w:sz w:val="24"/>
          <w:szCs w:val="24"/>
          <w:u w:val="single"/>
        </w:rPr>
        <w:t>The Turtle Sightings Support a Reasonable Inference about the Existence of Blanding’s Turtles in the Circle Lake Area</w:t>
      </w:r>
      <w:bookmarkEnd w:id="38"/>
      <w:bookmarkEnd w:id="39"/>
      <w:bookmarkEnd w:id="40"/>
      <w:bookmarkEnd w:id="41"/>
    </w:p>
    <w:p w14:paraId="0E832878" w14:textId="7D0591E1" w:rsidR="00B35C8F" w:rsidRPr="005A0158" w:rsidRDefault="4D2A7F8C" w:rsidP="54ED07DF">
      <w:pPr>
        <w:pStyle w:val="WSParaNum"/>
        <w:jc w:val="both"/>
        <w:rPr>
          <w:color w:val="000000"/>
        </w:rPr>
      </w:pPr>
      <w:r>
        <w:rPr>
          <w:color w:val="000000"/>
        </w:rPr>
        <w:t>The Trial Justice reasonably inferred that Blanding’s turtles were continuously present in Circle Lake and the surrounding area during the summer of 2018 based on verified sightings before and after the offence, as well as expert evidence. Mr. Snell’s expert opinion, informed by documented sightings in 2007 and 2017, as well as the species’ 70 to 80-year lifespan, supported his conclusion that the Site was “functioning as habitat.”</w:t>
      </w:r>
    </w:p>
    <w:p w14:paraId="2CFAA1B1" w14:textId="5F6081A3" w:rsidR="003265A9" w:rsidRDefault="012DB0B3" w:rsidP="54ED07DF">
      <w:pPr>
        <w:pStyle w:val="WSParaNum"/>
        <w:numPr>
          <w:ilvl w:val="0"/>
          <w:numId w:val="0"/>
        </w:numPr>
        <w:ind w:left="720"/>
        <w:jc w:val="both"/>
        <w:rPr>
          <w:sz w:val="20"/>
          <w:szCs w:val="20"/>
        </w:rPr>
      </w:pPr>
      <w:r w:rsidRPr="012DB0B3">
        <w:rPr>
          <w:sz w:val="20"/>
          <w:szCs w:val="20"/>
        </w:rPr>
        <w:t xml:space="preserve">ONCA Decision, </w:t>
      </w:r>
      <w:r w:rsidRPr="012DB0B3">
        <w:rPr>
          <w:i/>
          <w:iCs/>
          <w:sz w:val="20"/>
          <w:szCs w:val="20"/>
        </w:rPr>
        <w:t xml:space="preserve">supra </w:t>
      </w:r>
      <w:r w:rsidRPr="012DB0B3">
        <w:rPr>
          <w:sz w:val="20"/>
          <w:szCs w:val="20"/>
        </w:rPr>
        <w:t>para 8 at para 36.</w:t>
      </w:r>
    </w:p>
    <w:p w14:paraId="4E4ABD70" w14:textId="6BD280DC" w:rsidR="00EF5868" w:rsidRPr="003265A9" w:rsidRDefault="012DB0B3" w:rsidP="54ED07DF">
      <w:pPr>
        <w:pStyle w:val="WSParaNum"/>
        <w:numPr>
          <w:ilvl w:val="0"/>
          <w:numId w:val="0"/>
        </w:numPr>
        <w:ind w:left="720"/>
        <w:jc w:val="both"/>
        <w:rPr>
          <w:sz w:val="20"/>
          <w:szCs w:val="20"/>
        </w:rPr>
      </w:pPr>
      <w:r w:rsidRPr="012DB0B3">
        <w:rPr>
          <w:sz w:val="20"/>
          <w:szCs w:val="20"/>
        </w:rPr>
        <w:t xml:space="preserve">Trial Decision, </w:t>
      </w:r>
      <w:r w:rsidRPr="012DB0B3">
        <w:rPr>
          <w:i/>
          <w:iCs/>
          <w:sz w:val="20"/>
          <w:szCs w:val="20"/>
        </w:rPr>
        <w:t xml:space="preserve">supra </w:t>
      </w:r>
      <w:r w:rsidRPr="012DB0B3">
        <w:rPr>
          <w:sz w:val="20"/>
          <w:szCs w:val="20"/>
        </w:rPr>
        <w:t>para 9 at 13–14.</w:t>
      </w:r>
    </w:p>
    <w:p w14:paraId="7D214DBC" w14:textId="3C4FF4F2" w:rsidR="00B35C8F" w:rsidRDefault="16277B6E" w:rsidP="54ED07DF">
      <w:pPr>
        <w:pStyle w:val="WSParaNum"/>
        <w:jc w:val="both"/>
        <w:rPr>
          <w:color w:val="000000"/>
        </w:rPr>
      </w:pPr>
      <w:r w:rsidRPr="00D251A7">
        <w:rPr>
          <w:color w:val="000000"/>
        </w:rPr>
        <w:t>Trial judges are permitted to use circumstantial evidence to draw reasonable inferences of fact. The presence of the species at a certain date or period can therefore be proven by circumstantial evidence, such as expert opinions and photographs before and after a date in question. While Mr. Snell admitted that he did not have “a radio transmitter on [the] turtle and [that] it walked across the impinged property”, this level of contemporaneous direct evidence is not required to prove the offence beyond a reasonable doubt. Blanding’s turtles’ direct dependence on the Site is thus a reasonable of fact drawn from circumstantial evidence.</w:t>
      </w:r>
    </w:p>
    <w:p w14:paraId="6AE86FE3" w14:textId="28098E55" w:rsidR="00B35C8F" w:rsidRDefault="012DB0B3" w:rsidP="012DB0B3">
      <w:pPr>
        <w:pStyle w:val="WSParaNum"/>
        <w:numPr>
          <w:ilvl w:val="0"/>
          <w:numId w:val="0"/>
        </w:numPr>
        <w:ind w:firstLine="720"/>
        <w:jc w:val="both"/>
        <w:rPr>
          <w:color w:val="000000"/>
          <w:sz w:val="20"/>
          <w:szCs w:val="20"/>
        </w:rPr>
      </w:pPr>
      <w:r>
        <w:rPr>
          <w:i/>
          <w:color w:val="000000"/>
          <w:sz w:val="20"/>
          <w:szCs w:val="20"/>
        </w:rPr>
        <w:t>Housen, supra</w:t>
      </w:r>
      <w:r>
        <w:rPr>
          <w:color w:val="000000"/>
          <w:sz w:val="20"/>
          <w:szCs w:val="20"/>
        </w:rPr>
        <w:t xml:space="preserve"> </w:t>
      </w:r>
      <w:r w:rsidR="588A5FB3">
        <w:rPr>
          <w:color w:val="000000"/>
          <w:sz w:val="20"/>
          <w:szCs w:val="20"/>
        </w:rPr>
        <w:t>para 21</w:t>
      </w:r>
      <w:r>
        <w:rPr>
          <w:color w:val="000000"/>
          <w:sz w:val="20"/>
          <w:szCs w:val="20"/>
        </w:rPr>
        <w:t xml:space="preserve"> at paras 23, 56.</w:t>
      </w:r>
    </w:p>
    <w:p w14:paraId="6ACBB3E7" w14:textId="4AC78494" w:rsidR="00B35C8F" w:rsidRDefault="012DB0B3" w:rsidP="54ED07DF">
      <w:pPr>
        <w:pStyle w:val="WSParaNum"/>
        <w:numPr>
          <w:ilvl w:val="0"/>
          <w:numId w:val="0"/>
        </w:numPr>
        <w:ind w:left="720"/>
        <w:jc w:val="both"/>
        <w:rPr>
          <w:sz w:val="20"/>
          <w:szCs w:val="20"/>
        </w:rPr>
      </w:pPr>
      <w:r w:rsidRPr="012DB0B3">
        <w:rPr>
          <w:sz w:val="20"/>
          <w:szCs w:val="20"/>
        </w:rPr>
        <w:t xml:space="preserve">OCJ Decision, </w:t>
      </w:r>
      <w:r w:rsidRPr="012DB0B3">
        <w:rPr>
          <w:i/>
          <w:iCs/>
          <w:sz w:val="20"/>
          <w:szCs w:val="20"/>
        </w:rPr>
        <w:t xml:space="preserve">supra </w:t>
      </w:r>
      <w:r w:rsidRPr="012DB0B3">
        <w:rPr>
          <w:sz w:val="20"/>
          <w:szCs w:val="20"/>
        </w:rPr>
        <w:t>para 8 at 14</w:t>
      </w:r>
    </w:p>
    <w:p w14:paraId="382B66B5" w14:textId="0AAC09BE" w:rsidR="00B35C8F" w:rsidRDefault="012DB0B3" w:rsidP="54ED07DF">
      <w:pPr>
        <w:pStyle w:val="WSParaNum"/>
        <w:numPr>
          <w:ilvl w:val="0"/>
          <w:numId w:val="0"/>
        </w:numPr>
        <w:ind w:left="720"/>
        <w:jc w:val="both"/>
        <w:rPr>
          <w:sz w:val="20"/>
          <w:szCs w:val="20"/>
          <w:lang w:val="en-US"/>
        </w:rPr>
      </w:pPr>
      <w:r w:rsidRPr="012DB0B3">
        <w:rPr>
          <w:i/>
          <w:iCs/>
          <w:sz w:val="20"/>
          <w:szCs w:val="20"/>
          <w:lang w:val="en-US"/>
        </w:rPr>
        <w:t xml:space="preserve">Villaroman, supra </w:t>
      </w:r>
      <w:r w:rsidRPr="012DB0B3">
        <w:rPr>
          <w:sz w:val="20"/>
          <w:szCs w:val="20"/>
        </w:rPr>
        <w:t xml:space="preserve">para 30 </w:t>
      </w:r>
      <w:r w:rsidRPr="012DB0B3">
        <w:rPr>
          <w:sz w:val="20"/>
          <w:szCs w:val="20"/>
          <w:lang w:val="en-US"/>
        </w:rPr>
        <w:t>at para 42</w:t>
      </w:r>
    </w:p>
    <w:p w14:paraId="6D799C48" w14:textId="6CDCCCB2" w:rsidR="00B35C8F" w:rsidRDefault="012DB0B3" w:rsidP="54ED07DF">
      <w:pPr>
        <w:pStyle w:val="WSParaNum"/>
        <w:numPr>
          <w:ilvl w:val="0"/>
          <w:numId w:val="0"/>
        </w:numPr>
        <w:ind w:left="720"/>
        <w:jc w:val="both"/>
        <w:rPr>
          <w:sz w:val="20"/>
          <w:szCs w:val="20"/>
        </w:rPr>
      </w:pPr>
      <w:r w:rsidRPr="012DB0B3">
        <w:rPr>
          <w:sz w:val="20"/>
          <w:szCs w:val="20"/>
        </w:rPr>
        <w:t xml:space="preserve">ONCA Decision, </w:t>
      </w:r>
      <w:r w:rsidRPr="012DB0B3">
        <w:rPr>
          <w:i/>
          <w:iCs/>
          <w:sz w:val="20"/>
          <w:szCs w:val="20"/>
        </w:rPr>
        <w:t xml:space="preserve">supra </w:t>
      </w:r>
      <w:r w:rsidRPr="012DB0B3">
        <w:rPr>
          <w:sz w:val="20"/>
          <w:szCs w:val="20"/>
        </w:rPr>
        <w:t>para 8 at para 37.</w:t>
      </w:r>
    </w:p>
    <w:p w14:paraId="42ED55D0" w14:textId="311FC6B0" w:rsidR="00B35C8F" w:rsidRDefault="77A95D45" w:rsidP="54ED07DF">
      <w:pPr>
        <w:pStyle w:val="WSParaNum"/>
        <w:jc w:val="both"/>
        <w:rPr>
          <w:color w:val="000000"/>
        </w:rPr>
      </w:pPr>
      <w:r>
        <w:rPr>
          <w:color w:val="000000"/>
        </w:rPr>
        <w:t>Yet, the OCJ characterizes the 2020 sightings as “evidence after the fact,” failing to fully grapple with the expert evidence that underpins the Trial Justice’s reasonable inference of their continuous presence in the Circle Lake area.</w:t>
      </w:r>
    </w:p>
    <w:p w14:paraId="71AC9CF6" w14:textId="04CCDACC" w:rsidR="068F0C92" w:rsidRDefault="012DB0B3" w:rsidP="4909DF12">
      <w:pPr>
        <w:pStyle w:val="WSParaNum"/>
        <w:numPr>
          <w:ilvl w:val="0"/>
          <w:numId w:val="0"/>
        </w:numPr>
        <w:ind w:firstLine="720"/>
        <w:jc w:val="both"/>
        <w:rPr>
          <w:color w:val="000000"/>
          <w:sz w:val="20"/>
          <w:szCs w:val="20"/>
        </w:rPr>
      </w:pPr>
      <w:r>
        <w:rPr>
          <w:color w:val="000000"/>
          <w:sz w:val="20"/>
          <w:szCs w:val="20"/>
        </w:rPr>
        <w:t xml:space="preserve">OCJ Decision, </w:t>
      </w:r>
      <w:r>
        <w:rPr>
          <w:i/>
          <w:color w:val="000000"/>
          <w:sz w:val="20"/>
          <w:szCs w:val="20"/>
        </w:rPr>
        <w:t xml:space="preserve">supra </w:t>
      </w:r>
      <w:r w:rsidRPr="012DB0B3">
        <w:rPr>
          <w:sz w:val="20"/>
          <w:szCs w:val="20"/>
        </w:rPr>
        <w:t xml:space="preserve">para 8 </w:t>
      </w:r>
      <w:r>
        <w:rPr>
          <w:color w:val="000000"/>
          <w:sz w:val="20"/>
          <w:szCs w:val="20"/>
        </w:rPr>
        <w:t>at 15</w:t>
      </w:r>
      <w:r w:rsidR="2A33660B" w:rsidRPr="2A33660B">
        <w:rPr>
          <w:sz w:val="20"/>
          <w:szCs w:val="20"/>
        </w:rPr>
        <w:t>–</w:t>
      </w:r>
      <w:r>
        <w:rPr>
          <w:color w:val="000000"/>
          <w:sz w:val="20"/>
          <w:szCs w:val="20"/>
        </w:rPr>
        <w:t xml:space="preserve">16. </w:t>
      </w:r>
    </w:p>
    <w:p w14:paraId="5BB71830" w14:textId="1B6EEA21" w:rsidR="00B35C8F" w:rsidRDefault="4D2A7F8C" w:rsidP="54ED07DF">
      <w:pPr>
        <w:pStyle w:val="WSParaNum"/>
        <w:jc w:val="both"/>
        <w:rPr>
          <w:color w:val="000000"/>
        </w:rPr>
      </w:pPr>
      <w:r>
        <w:rPr>
          <w:color w:val="000000"/>
        </w:rPr>
        <w:t xml:space="preserve">In overturning the factual findings about turtle presence at the time of the offence, the OCJ did not identify any misapprehension of evidence or logical flaw in the Trial Justice’s </w:t>
      </w:r>
      <w:r>
        <w:rPr>
          <w:color w:val="000000"/>
        </w:rPr>
        <w:lastRenderedPageBreak/>
        <w:t>reasoning that constitutes a palpable and overriding error. Instead, the OCJ substitutes its preferred interpretation of the record, contrary to settled principles of appellate deference.</w:t>
      </w:r>
    </w:p>
    <w:p w14:paraId="3A055BFE" w14:textId="7A813D19" w:rsidR="00B35C8F" w:rsidRDefault="6ABE1EA8" w:rsidP="54ED07DF">
      <w:pPr>
        <w:pStyle w:val="Heading3"/>
        <w:spacing w:before="120" w:after="120" w:line="360" w:lineRule="auto"/>
        <w:jc w:val="both"/>
        <w:rPr>
          <w:rFonts w:ascii="Times New Roman" w:hAnsi="Times New Roman"/>
          <w:b w:val="0"/>
          <w:bCs w:val="0"/>
          <w:color w:val="000000"/>
          <w:sz w:val="24"/>
          <w:szCs w:val="24"/>
          <w:u w:val="single"/>
        </w:rPr>
      </w:pPr>
      <w:bookmarkStart w:id="42" w:name="_Toc218630722"/>
      <w:bookmarkStart w:id="43" w:name="_Toc218783940"/>
      <w:bookmarkStart w:id="44" w:name="_Toc218846581"/>
      <w:bookmarkStart w:id="45" w:name="_Toc218858283"/>
      <w:r>
        <w:rPr>
          <w:rFonts w:ascii="Times New Roman" w:hAnsi="Times New Roman"/>
          <w:b w:val="0"/>
          <w:color w:val="000000"/>
          <w:sz w:val="24"/>
          <w:szCs w:val="24"/>
          <w:u w:val="single"/>
        </w:rPr>
        <w:t xml:space="preserve">The GHD Supports a Reasonable Inference that </w:t>
      </w:r>
      <w:r w:rsidR="454187F7">
        <w:rPr>
          <w:rFonts w:ascii="Times New Roman" w:hAnsi="Times New Roman"/>
          <w:b w:val="0"/>
          <w:color w:val="000000"/>
          <w:sz w:val="24"/>
          <w:szCs w:val="24"/>
          <w:u w:val="single"/>
        </w:rPr>
        <w:t>Blanding’s</w:t>
      </w:r>
      <w:r>
        <w:rPr>
          <w:rFonts w:ascii="Times New Roman" w:hAnsi="Times New Roman"/>
          <w:b w:val="0"/>
          <w:color w:val="000000"/>
          <w:sz w:val="24"/>
          <w:szCs w:val="24"/>
          <w:u w:val="single"/>
        </w:rPr>
        <w:t xml:space="preserve"> Turtles were Dependent on the Site for Life Processes</w:t>
      </w:r>
      <w:bookmarkEnd w:id="42"/>
      <w:bookmarkEnd w:id="43"/>
      <w:bookmarkEnd w:id="44"/>
      <w:bookmarkEnd w:id="45"/>
    </w:p>
    <w:p w14:paraId="17DDACD8" w14:textId="42C5E184" w:rsidR="6ABE1EA8" w:rsidRDefault="4D2A7F8C" w:rsidP="54ED07DF">
      <w:pPr>
        <w:pStyle w:val="WSParaNum"/>
        <w:jc w:val="both"/>
        <w:rPr>
          <w:color w:val="000000"/>
        </w:rPr>
      </w:pPr>
      <w:r w:rsidRPr="00E12A1D">
        <w:rPr>
          <w:rFonts w:ascii="Arial" w:eastAsia="Arial" w:hAnsi="Arial" w:cs="Arial"/>
          <w:color w:val="000000"/>
          <w:sz w:val="22"/>
          <w:szCs w:val="22"/>
        </w:rPr>
        <w:t>T</w:t>
      </w:r>
      <w:r w:rsidRPr="00E12A1D">
        <w:rPr>
          <w:color w:val="000000"/>
        </w:rPr>
        <w:t xml:space="preserve">he OCJ erred by concluding that the Trial Justice should not have relied on the GHD because it is not “legal instrument.” This reasoning </w:t>
      </w:r>
      <w:r w:rsidR="3BABE792" w:rsidRPr="00E12A1D">
        <w:rPr>
          <w:color w:val="000000"/>
        </w:rPr>
        <w:t xml:space="preserve">improperly </w:t>
      </w:r>
      <w:r w:rsidRPr="00E12A1D">
        <w:rPr>
          <w:color w:val="000000"/>
        </w:rPr>
        <w:t xml:space="preserve">conflates binding </w:t>
      </w:r>
      <w:r w:rsidR="3BABE792" w:rsidRPr="00E12A1D">
        <w:rPr>
          <w:color w:val="000000"/>
        </w:rPr>
        <w:t>legal force</w:t>
      </w:r>
      <w:r w:rsidRPr="00E12A1D">
        <w:rPr>
          <w:color w:val="000000"/>
        </w:rPr>
        <w:t xml:space="preserve"> with evidentiary value. </w:t>
      </w:r>
    </w:p>
    <w:p w14:paraId="7416DA6F" w14:textId="4730D6B5" w:rsidR="068F0C92" w:rsidRDefault="012DB0B3" w:rsidP="012DB0B3">
      <w:pPr>
        <w:pStyle w:val="WSParaNum"/>
        <w:numPr>
          <w:ilvl w:val="0"/>
          <w:numId w:val="0"/>
        </w:numPr>
        <w:ind w:firstLine="720"/>
        <w:jc w:val="both"/>
        <w:rPr>
          <w:color w:val="000000"/>
          <w:sz w:val="20"/>
          <w:szCs w:val="20"/>
        </w:rPr>
      </w:pPr>
      <w:r>
        <w:rPr>
          <w:color w:val="000000"/>
          <w:sz w:val="20"/>
          <w:szCs w:val="20"/>
        </w:rPr>
        <w:t xml:space="preserve">OCJ Decision, </w:t>
      </w:r>
      <w:r>
        <w:rPr>
          <w:i/>
          <w:iCs/>
          <w:color w:val="000000"/>
          <w:sz w:val="20"/>
          <w:szCs w:val="20"/>
        </w:rPr>
        <w:t xml:space="preserve">supra </w:t>
      </w:r>
      <w:r w:rsidRPr="012DB0B3">
        <w:rPr>
          <w:sz w:val="20"/>
          <w:szCs w:val="20"/>
        </w:rPr>
        <w:t xml:space="preserve">para 8 </w:t>
      </w:r>
      <w:r>
        <w:rPr>
          <w:color w:val="000000"/>
          <w:sz w:val="20"/>
          <w:szCs w:val="20"/>
        </w:rPr>
        <w:t>at 8.</w:t>
      </w:r>
    </w:p>
    <w:p w14:paraId="2FB434E4" w14:textId="3190F463" w:rsidR="6ABE1EA8" w:rsidRDefault="123A9755" w:rsidP="4909DF12">
      <w:pPr>
        <w:pStyle w:val="WSParaNum"/>
        <w:jc w:val="both"/>
        <w:rPr>
          <w:color w:val="000000"/>
        </w:rPr>
      </w:pPr>
      <w:r w:rsidRPr="00E12A1D">
        <w:rPr>
          <w:color w:val="000000"/>
        </w:rPr>
        <w:t xml:space="preserve">In </w:t>
      </w:r>
      <w:r w:rsidRPr="00E12A1D">
        <w:rPr>
          <w:i/>
          <w:color w:val="000000"/>
        </w:rPr>
        <w:t>Valley Rubber Resources Inc. v British Columbia</w:t>
      </w:r>
      <w:r w:rsidRPr="00E12A1D">
        <w:rPr>
          <w:color w:val="000000"/>
        </w:rPr>
        <w:t xml:space="preserve"> </w:t>
      </w:r>
      <w:r w:rsidRPr="00E12A1D">
        <w:rPr>
          <w:i/>
          <w:color w:val="000000"/>
        </w:rPr>
        <w:t>(Minister of Environment, Lands and Parks)</w:t>
      </w:r>
      <w:r w:rsidRPr="00E12A1D">
        <w:rPr>
          <w:color w:val="000000"/>
        </w:rPr>
        <w:t>, 2002 BCCA 524 (</w:t>
      </w:r>
      <w:r w:rsidRPr="00E12A1D">
        <w:rPr>
          <w:b/>
          <w:color w:val="000000"/>
        </w:rPr>
        <w:t>“</w:t>
      </w:r>
      <w:r w:rsidRPr="00E12A1D">
        <w:rPr>
          <w:b/>
          <w:i/>
          <w:color w:val="000000"/>
        </w:rPr>
        <w:t>Valley Rubber</w:t>
      </w:r>
      <w:r w:rsidRPr="00E12A1D">
        <w:rPr>
          <w:b/>
          <w:color w:val="000000"/>
        </w:rPr>
        <w:t>”</w:t>
      </w:r>
      <w:r w:rsidRPr="00E12A1D">
        <w:rPr>
          <w:color w:val="000000"/>
        </w:rPr>
        <w:t xml:space="preserve">), the Court </w:t>
      </w:r>
      <w:r w:rsidR="3BABE792" w:rsidRPr="00E12A1D">
        <w:rPr>
          <w:color w:val="000000"/>
        </w:rPr>
        <w:t>distinguished</w:t>
      </w:r>
      <w:r w:rsidRPr="00E12A1D">
        <w:rPr>
          <w:color w:val="000000"/>
        </w:rPr>
        <w:t xml:space="preserve"> binding law from non-binding guidance, holding that while guidelines do not create enforceable legal obligations, they may </w:t>
      </w:r>
      <w:r w:rsidR="3BABE792" w:rsidRPr="00E12A1D">
        <w:rPr>
          <w:color w:val="000000"/>
        </w:rPr>
        <w:t>nonetheless</w:t>
      </w:r>
      <w:r w:rsidRPr="00E12A1D">
        <w:rPr>
          <w:color w:val="000000"/>
        </w:rPr>
        <w:t xml:space="preserve"> inform decision-making. Properly understood, </w:t>
      </w:r>
      <w:r w:rsidRPr="00E12A1D">
        <w:rPr>
          <w:i/>
          <w:color w:val="000000"/>
        </w:rPr>
        <w:t>Valley Rubber</w:t>
      </w:r>
      <w:r w:rsidRPr="00E12A1D">
        <w:rPr>
          <w:color w:val="000000"/>
        </w:rPr>
        <w:t xml:space="preserve"> confirms that limits on legal force prevent guidelines from becoming </w:t>
      </w:r>
      <w:r w:rsidRPr="00E12A1D">
        <w:rPr>
          <w:i/>
          <w:color w:val="000000"/>
        </w:rPr>
        <w:t>de facto</w:t>
      </w:r>
      <w:r w:rsidRPr="00E12A1D">
        <w:rPr>
          <w:color w:val="000000"/>
        </w:rPr>
        <w:t xml:space="preserve"> law, not from being used as evidence capable of informing factual conclusions. Although the OCJ was not bound by that decision, </w:t>
      </w:r>
      <w:r w:rsidRPr="00E12A1D">
        <w:rPr>
          <w:i/>
          <w:color w:val="000000"/>
        </w:rPr>
        <w:t>Valley Rubber</w:t>
      </w:r>
      <w:r w:rsidRPr="00E12A1D">
        <w:rPr>
          <w:color w:val="000000"/>
        </w:rPr>
        <w:t xml:space="preserve"> relies on </w:t>
      </w:r>
      <w:r w:rsidR="3BABE792" w:rsidRPr="00E12A1D">
        <w:rPr>
          <w:color w:val="000000"/>
        </w:rPr>
        <w:t>Ontario authority confirming</w:t>
      </w:r>
      <w:r w:rsidRPr="00E12A1D">
        <w:rPr>
          <w:color w:val="000000"/>
        </w:rPr>
        <w:t xml:space="preserve"> that non-binding instruments </w:t>
      </w:r>
      <w:r w:rsidR="3358AAFB">
        <w:rPr>
          <w:color w:val="000000"/>
        </w:rPr>
        <w:t>may</w:t>
      </w:r>
      <w:r w:rsidR="3BABE792" w:rsidRPr="00E12A1D">
        <w:rPr>
          <w:color w:val="000000"/>
        </w:rPr>
        <w:t xml:space="preserve"> </w:t>
      </w:r>
      <w:r w:rsidRPr="00E12A1D">
        <w:rPr>
          <w:color w:val="000000"/>
        </w:rPr>
        <w:t>validly inform decision-making without acquiring legal force.</w:t>
      </w:r>
    </w:p>
    <w:p w14:paraId="45E94E76" w14:textId="73FB23CC" w:rsidR="31E5F7C9" w:rsidRDefault="012DB0B3" w:rsidP="00E968BE">
      <w:pPr>
        <w:pStyle w:val="WSParaNum"/>
        <w:numPr>
          <w:ilvl w:val="0"/>
          <w:numId w:val="0"/>
        </w:numPr>
        <w:spacing w:line="240" w:lineRule="auto"/>
        <w:ind w:left="720"/>
        <w:jc w:val="both"/>
        <w:rPr>
          <w:color w:val="000000"/>
          <w:sz w:val="20"/>
          <w:szCs w:val="20"/>
        </w:rPr>
      </w:pPr>
      <w:r>
        <w:rPr>
          <w:i/>
          <w:iCs/>
          <w:color w:val="000000"/>
          <w:sz w:val="20"/>
          <w:szCs w:val="20"/>
        </w:rPr>
        <w:t>Valley Rubber Resources Inc. v British Columbia</w:t>
      </w:r>
      <w:r>
        <w:rPr>
          <w:color w:val="000000"/>
          <w:sz w:val="20"/>
          <w:szCs w:val="20"/>
        </w:rPr>
        <w:t xml:space="preserve"> </w:t>
      </w:r>
      <w:r>
        <w:rPr>
          <w:i/>
          <w:iCs/>
          <w:color w:val="000000"/>
          <w:sz w:val="20"/>
          <w:szCs w:val="20"/>
        </w:rPr>
        <w:t>(Minister of Environment, Lands and Parks)</w:t>
      </w:r>
      <w:r>
        <w:rPr>
          <w:color w:val="000000"/>
          <w:sz w:val="20"/>
          <w:szCs w:val="20"/>
        </w:rPr>
        <w:t>, 2002 BCCA 524 at paras 24–29 [</w:t>
      </w:r>
      <w:r>
        <w:rPr>
          <w:i/>
          <w:iCs/>
          <w:color w:val="000000"/>
          <w:sz w:val="20"/>
          <w:szCs w:val="20"/>
        </w:rPr>
        <w:t>Valley Rubber</w:t>
      </w:r>
      <w:r>
        <w:rPr>
          <w:color w:val="000000"/>
          <w:sz w:val="20"/>
          <w:szCs w:val="20"/>
        </w:rPr>
        <w:t>].</w:t>
      </w:r>
    </w:p>
    <w:p w14:paraId="11E94E3F" w14:textId="74F9504E" w:rsidR="31E5F7C9" w:rsidRDefault="012DB0B3" w:rsidP="00E968BE">
      <w:pPr>
        <w:pStyle w:val="WSParaNum"/>
        <w:numPr>
          <w:ilvl w:val="0"/>
          <w:numId w:val="0"/>
        </w:numPr>
        <w:spacing w:line="240" w:lineRule="auto"/>
        <w:ind w:left="720"/>
        <w:jc w:val="both"/>
        <w:rPr>
          <w:color w:val="000000"/>
          <w:sz w:val="20"/>
          <w:szCs w:val="20"/>
        </w:rPr>
      </w:pPr>
      <w:r>
        <w:rPr>
          <w:i/>
          <w:iCs/>
          <w:color w:val="000000"/>
          <w:sz w:val="20"/>
          <w:szCs w:val="20"/>
        </w:rPr>
        <w:t xml:space="preserve">Ainsley Financial Corporation v Ontario Securities Commission (1994), </w:t>
      </w:r>
      <w:r>
        <w:rPr>
          <w:color w:val="000000"/>
          <w:sz w:val="20"/>
          <w:szCs w:val="20"/>
        </w:rPr>
        <w:t>21 OR (3d) 104 at 110</w:t>
      </w:r>
      <w:r>
        <w:rPr>
          <w:color w:val="000000"/>
          <w:sz w:val="19"/>
          <w:szCs w:val="19"/>
        </w:rPr>
        <w:t>–</w:t>
      </w:r>
      <w:r>
        <w:rPr>
          <w:color w:val="000000"/>
          <w:sz w:val="20"/>
          <w:szCs w:val="20"/>
        </w:rPr>
        <w:t>111 [</w:t>
      </w:r>
      <w:r>
        <w:rPr>
          <w:i/>
          <w:iCs/>
          <w:color w:val="000000"/>
          <w:sz w:val="20"/>
          <w:szCs w:val="20"/>
        </w:rPr>
        <w:t>Ainsley Financial</w:t>
      </w:r>
      <w:r>
        <w:rPr>
          <w:color w:val="000000"/>
          <w:sz w:val="20"/>
          <w:szCs w:val="20"/>
        </w:rPr>
        <w:t xml:space="preserve">]. </w:t>
      </w:r>
    </w:p>
    <w:p w14:paraId="46104523" w14:textId="69C25CDC" w:rsidR="6ABE1EA8" w:rsidRPr="00651427" w:rsidRDefault="123A9755" w:rsidP="4909DF12">
      <w:pPr>
        <w:pStyle w:val="WSParaNum"/>
        <w:jc w:val="both"/>
        <w:rPr>
          <w:color w:val="000000"/>
        </w:rPr>
      </w:pPr>
      <w:r>
        <w:rPr>
          <w:color w:val="000000"/>
        </w:rPr>
        <w:t xml:space="preserve">Here, the Trial Justice relied on the GHD as contextual scientific </w:t>
      </w:r>
      <w:r w:rsidR="448B3388">
        <w:rPr>
          <w:color w:val="000000"/>
        </w:rPr>
        <w:t>evidence</w:t>
      </w:r>
      <w:r>
        <w:rPr>
          <w:color w:val="000000"/>
        </w:rPr>
        <w:t xml:space="preserve">, alongside expert testimony, photographic sightings, and other site-specific observations, to assess whether the Site contained features on which Blanding’s turtles depend. She did not assess it as binding law or as determinative of the statutory meaning of </w:t>
      </w:r>
      <w:r w:rsidR="1E4BB19E">
        <w:rPr>
          <w:color w:val="000000"/>
        </w:rPr>
        <w:t>“</w:t>
      </w:r>
      <w:r>
        <w:rPr>
          <w:color w:val="000000"/>
        </w:rPr>
        <w:t>habitat</w:t>
      </w:r>
      <w:r w:rsidR="1E4BB19E">
        <w:rPr>
          <w:color w:val="000000"/>
        </w:rPr>
        <w:t>.”</w:t>
      </w:r>
      <w:r>
        <w:rPr>
          <w:color w:val="000000"/>
        </w:rPr>
        <w:t xml:space="preserve"> </w:t>
      </w:r>
      <w:r w:rsidR="6FCD644B" w:rsidRPr="00651427">
        <w:rPr>
          <w:color w:val="000000"/>
        </w:rPr>
        <w:t>Characterizing</w:t>
      </w:r>
      <w:r>
        <w:rPr>
          <w:color w:val="000000"/>
        </w:rPr>
        <w:t xml:space="preserve"> such reliance as a legal error </w:t>
      </w:r>
      <w:r w:rsidR="6FCD644B" w:rsidRPr="00651427">
        <w:rPr>
          <w:color w:val="000000"/>
        </w:rPr>
        <w:t>misapprehends</w:t>
      </w:r>
      <w:r>
        <w:rPr>
          <w:color w:val="000000"/>
        </w:rPr>
        <w:t xml:space="preserve"> both the Trial Justice’s reasoning and the nature of the task before her as trier of fact, thereby collapsing the </w:t>
      </w:r>
      <w:r w:rsidR="6FCD644B" w:rsidRPr="00651427">
        <w:rPr>
          <w:color w:val="000000"/>
        </w:rPr>
        <w:t xml:space="preserve">critical </w:t>
      </w:r>
      <w:r>
        <w:rPr>
          <w:color w:val="000000"/>
        </w:rPr>
        <w:t xml:space="preserve">distinction between legal effect and </w:t>
      </w:r>
      <w:r w:rsidR="44256C28">
        <w:rPr>
          <w:color w:val="000000"/>
        </w:rPr>
        <w:t xml:space="preserve">probative evidentiary value. </w:t>
      </w:r>
    </w:p>
    <w:p w14:paraId="6A8B62BA" w14:textId="1A110A6D" w:rsidR="6ABE1EA8" w:rsidRDefault="012DB0B3" w:rsidP="012DB0B3">
      <w:pPr>
        <w:pStyle w:val="WSParaNum"/>
        <w:numPr>
          <w:ilvl w:val="0"/>
          <w:numId w:val="0"/>
        </w:numPr>
        <w:ind w:firstLine="720"/>
        <w:jc w:val="both"/>
        <w:rPr>
          <w:i/>
          <w:iCs/>
          <w:color w:val="000000"/>
          <w:sz w:val="20"/>
          <w:szCs w:val="20"/>
        </w:rPr>
      </w:pPr>
      <w:r w:rsidRPr="009E1CFE">
        <w:rPr>
          <w:iCs/>
          <w:color w:val="000000"/>
          <w:sz w:val="20"/>
          <w:szCs w:val="20"/>
        </w:rPr>
        <w:t>Trial Decision,</w:t>
      </w:r>
      <w:r>
        <w:rPr>
          <w:i/>
          <w:color w:val="000000"/>
          <w:sz w:val="20"/>
          <w:szCs w:val="20"/>
        </w:rPr>
        <w:t xml:space="preserve"> supra</w:t>
      </w:r>
      <w:r w:rsidRPr="012DB0B3">
        <w:rPr>
          <w:sz w:val="20"/>
          <w:szCs w:val="20"/>
        </w:rPr>
        <w:t xml:space="preserve"> para 9 </w:t>
      </w:r>
      <w:r>
        <w:rPr>
          <w:color w:val="000000"/>
          <w:sz w:val="20"/>
          <w:szCs w:val="20"/>
        </w:rPr>
        <w:t>at 5</w:t>
      </w:r>
      <w:r>
        <w:rPr>
          <w:color w:val="000000"/>
          <w:sz w:val="19"/>
          <w:szCs w:val="19"/>
        </w:rPr>
        <w:t>–</w:t>
      </w:r>
      <w:r>
        <w:rPr>
          <w:color w:val="000000"/>
          <w:sz w:val="20"/>
          <w:szCs w:val="20"/>
        </w:rPr>
        <w:t>6.</w:t>
      </w:r>
    </w:p>
    <w:p w14:paraId="08110C6A" w14:textId="3DC01135" w:rsidR="4909DF12" w:rsidRPr="009E1CFE" w:rsidRDefault="012DB0B3" w:rsidP="4909DF12">
      <w:pPr>
        <w:pStyle w:val="WSParaNum"/>
        <w:numPr>
          <w:ilvl w:val="0"/>
          <w:numId w:val="0"/>
        </w:numPr>
        <w:ind w:firstLine="720"/>
        <w:jc w:val="both"/>
        <w:rPr>
          <w:color w:val="000000"/>
          <w:sz w:val="20"/>
          <w:szCs w:val="20"/>
        </w:rPr>
      </w:pPr>
      <w:r w:rsidRPr="009E1CFE">
        <w:rPr>
          <w:i/>
          <w:color w:val="000000"/>
          <w:sz w:val="20"/>
          <w:szCs w:val="20"/>
        </w:rPr>
        <w:t>Valley Rubber, supra</w:t>
      </w:r>
      <w:r w:rsidRPr="009E1CFE">
        <w:rPr>
          <w:sz w:val="20"/>
          <w:szCs w:val="20"/>
        </w:rPr>
        <w:t xml:space="preserve"> para </w:t>
      </w:r>
      <w:r w:rsidR="0921FFFD" w:rsidRPr="009E1CFE">
        <w:rPr>
          <w:sz w:val="20"/>
          <w:szCs w:val="20"/>
        </w:rPr>
        <w:t xml:space="preserve">43 </w:t>
      </w:r>
      <w:r w:rsidR="0921FFFD" w:rsidRPr="009E1CFE">
        <w:rPr>
          <w:color w:val="000000"/>
          <w:sz w:val="20"/>
          <w:szCs w:val="20"/>
        </w:rPr>
        <w:t>at</w:t>
      </w:r>
      <w:r w:rsidRPr="009E1CFE">
        <w:rPr>
          <w:color w:val="000000"/>
          <w:sz w:val="20"/>
          <w:szCs w:val="20"/>
        </w:rPr>
        <w:t xml:space="preserve"> 12, 24–29. </w:t>
      </w:r>
    </w:p>
    <w:p w14:paraId="38D7A617" w14:textId="24E088BE" w:rsidR="4909DF12" w:rsidRDefault="4909DF12" w:rsidP="4909DF12">
      <w:pPr>
        <w:pStyle w:val="WSParaNum"/>
        <w:numPr>
          <w:ilvl w:val="0"/>
          <w:numId w:val="0"/>
        </w:numPr>
        <w:ind w:firstLine="720"/>
        <w:jc w:val="both"/>
        <w:rPr>
          <w:color w:val="000000"/>
          <w:sz w:val="20"/>
          <w:szCs w:val="20"/>
        </w:rPr>
      </w:pPr>
      <w:r>
        <w:rPr>
          <w:i/>
          <w:color w:val="000000"/>
          <w:sz w:val="20"/>
          <w:szCs w:val="20"/>
        </w:rPr>
        <w:t xml:space="preserve">Housen, supra </w:t>
      </w:r>
      <w:r w:rsidR="00771F1F">
        <w:rPr>
          <w:sz w:val="20"/>
          <w:szCs w:val="20"/>
        </w:rPr>
        <w:t xml:space="preserve">para </w:t>
      </w:r>
      <w:r w:rsidR="57EFD82A" w:rsidRPr="57EFD82A">
        <w:rPr>
          <w:sz w:val="20"/>
          <w:szCs w:val="20"/>
        </w:rPr>
        <w:t>21</w:t>
      </w:r>
      <w:r w:rsidR="00771F1F">
        <w:rPr>
          <w:sz w:val="20"/>
          <w:szCs w:val="20"/>
        </w:rPr>
        <w:t xml:space="preserve"> </w:t>
      </w:r>
      <w:r>
        <w:rPr>
          <w:color w:val="000000"/>
          <w:sz w:val="20"/>
          <w:szCs w:val="20"/>
        </w:rPr>
        <w:t>at paras 23–24, 39</w:t>
      </w:r>
      <w:r w:rsidR="2A33660B">
        <w:rPr>
          <w:color w:val="000000"/>
          <w:sz w:val="20"/>
          <w:szCs w:val="20"/>
        </w:rPr>
        <w:t>.</w:t>
      </w:r>
    </w:p>
    <w:p w14:paraId="4787FDC8" w14:textId="7D7371B2" w:rsidR="6ABE1EA8" w:rsidRDefault="123A9755" w:rsidP="4909DF12">
      <w:pPr>
        <w:pStyle w:val="WSParaNum"/>
        <w:jc w:val="both"/>
        <w:rPr>
          <w:color w:val="000000"/>
        </w:rPr>
      </w:pPr>
      <w:r w:rsidRPr="00651427">
        <w:rPr>
          <w:color w:val="000000"/>
        </w:rPr>
        <w:lastRenderedPageBreak/>
        <w:t xml:space="preserve">The GHD is a technical document produced by Ontario </w:t>
      </w:r>
      <w:r w:rsidR="44256C28" w:rsidRPr="00651427">
        <w:rPr>
          <w:color w:val="000000"/>
        </w:rPr>
        <w:t>providing</w:t>
      </w:r>
      <w:r w:rsidRPr="00651427">
        <w:rPr>
          <w:color w:val="000000"/>
        </w:rPr>
        <w:t xml:space="preserve"> scientific guidance on habitat characteristics relevant to Blanding’s turtles. Relying on the GHD as contextual scientific evidence </w:t>
      </w:r>
      <w:r w:rsidR="6FCD644B" w:rsidRPr="00651427">
        <w:rPr>
          <w:color w:val="000000"/>
        </w:rPr>
        <w:t>together</w:t>
      </w:r>
      <w:r w:rsidRPr="00651427">
        <w:rPr>
          <w:color w:val="000000"/>
        </w:rPr>
        <w:t xml:space="preserve"> with Mr. Snell’s expert evidence, the Trial Justice </w:t>
      </w:r>
      <w:r w:rsidR="353B0349">
        <w:rPr>
          <w:color w:val="000000"/>
        </w:rPr>
        <w:t>found that the Site formed part of a wetland complex on which Blanding’s turtles depend for essential life processes, including feeding, mating, movement, and protection from predators.</w:t>
      </w:r>
      <w:r w:rsidRPr="00651427">
        <w:rPr>
          <w:color w:val="000000"/>
        </w:rPr>
        <w:t xml:space="preserve"> This analysis </w:t>
      </w:r>
      <w:r w:rsidR="353B0349">
        <w:rPr>
          <w:color w:val="000000"/>
        </w:rPr>
        <w:t>involved</w:t>
      </w:r>
      <w:r w:rsidRPr="00651427">
        <w:rPr>
          <w:color w:val="000000"/>
        </w:rPr>
        <w:t xml:space="preserve"> weighing scientific and expert evidence </w:t>
      </w:r>
      <w:r w:rsidR="353B0349">
        <w:rPr>
          <w:color w:val="000000"/>
        </w:rPr>
        <w:t>and drawing</w:t>
      </w:r>
      <w:r w:rsidRPr="00651427">
        <w:rPr>
          <w:color w:val="000000"/>
        </w:rPr>
        <w:t xml:space="preserve"> factual inferences about habitat function</w:t>
      </w:r>
      <w:r w:rsidR="353B0349">
        <w:rPr>
          <w:color w:val="000000"/>
        </w:rPr>
        <w:t>, not interpreting or applying a legal standard.</w:t>
      </w:r>
      <w:r w:rsidRPr="00651427">
        <w:rPr>
          <w:color w:val="000000"/>
        </w:rPr>
        <w:t xml:space="preserve"> As such, the conclusion was factual, or at most predominantly factual, and attracted appellate deference.</w:t>
      </w:r>
    </w:p>
    <w:p w14:paraId="12A15976" w14:textId="4AE46A07" w:rsidR="00163201" w:rsidRDefault="123A9755" w:rsidP="123A9755">
      <w:pPr>
        <w:pStyle w:val="WSParaNum"/>
        <w:numPr>
          <w:ilvl w:val="0"/>
          <w:numId w:val="0"/>
        </w:numPr>
        <w:ind w:left="720"/>
        <w:jc w:val="both"/>
        <w:rPr>
          <w:i/>
          <w:color w:val="000000"/>
          <w:sz w:val="19"/>
          <w:szCs w:val="19"/>
        </w:rPr>
      </w:pPr>
      <w:r>
        <w:rPr>
          <w:color w:val="000000"/>
          <w:sz w:val="20"/>
          <w:szCs w:val="20"/>
        </w:rPr>
        <w:t>GHD</w:t>
      </w:r>
      <w:r>
        <w:rPr>
          <w:i/>
          <w:color w:val="000000"/>
          <w:sz w:val="20"/>
          <w:szCs w:val="20"/>
        </w:rPr>
        <w:t xml:space="preserve">, </w:t>
      </w:r>
      <w:r>
        <w:rPr>
          <w:i/>
          <w:color w:val="000000"/>
          <w:sz w:val="19"/>
          <w:szCs w:val="19"/>
        </w:rPr>
        <w:t xml:space="preserve">supra </w:t>
      </w:r>
      <w:r w:rsidRPr="123A9755">
        <w:rPr>
          <w:sz w:val="20"/>
          <w:szCs w:val="20"/>
        </w:rPr>
        <w:t xml:space="preserve">para </w:t>
      </w:r>
      <w:r w:rsidR="41F2339D" w:rsidRPr="41F2339D">
        <w:rPr>
          <w:sz w:val="20"/>
          <w:szCs w:val="20"/>
        </w:rPr>
        <w:t>11</w:t>
      </w:r>
      <w:r w:rsidRPr="41F2339D">
        <w:rPr>
          <w:sz w:val="20"/>
          <w:szCs w:val="20"/>
        </w:rPr>
        <w:t>.</w:t>
      </w:r>
    </w:p>
    <w:p w14:paraId="15BE23C4" w14:textId="15CB2229" w:rsidR="2151E9C8" w:rsidRDefault="4D2A7F8C" w:rsidP="4D2A7F8C">
      <w:pPr>
        <w:pStyle w:val="WSParaNum"/>
        <w:numPr>
          <w:ilvl w:val="0"/>
          <w:numId w:val="0"/>
        </w:numPr>
        <w:ind w:left="720"/>
        <w:jc w:val="both"/>
        <w:rPr>
          <w:i/>
          <w:iCs/>
          <w:color w:val="000000"/>
          <w:sz w:val="20"/>
          <w:szCs w:val="20"/>
        </w:rPr>
      </w:pPr>
      <w:r>
        <w:rPr>
          <w:color w:val="000000"/>
          <w:sz w:val="20"/>
          <w:szCs w:val="20"/>
        </w:rPr>
        <w:t>Trial Decision</w:t>
      </w:r>
      <w:r>
        <w:rPr>
          <w:i/>
          <w:color w:val="000000"/>
          <w:sz w:val="20"/>
          <w:szCs w:val="20"/>
        </w:rPr>
        <w:t xml:space="preserve">, </w:t>
      </w:r>
      <w:r>
        <w:rPr>
          <w:i/>
          <w:color w:val="000000"/>
          <w:sz w:val="19"/>
          <w:szCs w:val="19"/>
        </w:rPr>
        <w:t>supra</w:t>
      </w:r>
      <w:r w:rsidR="00771F1F" w:rsidRPr="00771F1F">
        <w:rPr>
          <w:sz w:val="20"/>
          <w:szCs w:val="20"/>
        </w:rPr>
        <w:t xml:space="preserve"> </w:t>
      </w:r>
      <w:r w:rsidR="00771F1F">
        <w:rPr>
          <w:sz w:val="20"/>
          <w:szCs w:val="20"/>
        </w:rPr>
        <w:t xml:space="preserve">para </w:t>
      </w:r>
      <w:r w:rsidR="0921FFFD" w:rsidRPr="0921FFFD">
        <w:rPr>
          <w:sz w:val="20"/>
          <w:szCs w:val="20"/>
        </w:rPr>
        <w:t>9</w:t>
      </w:r>
      <w:r w:rsidRPr="0921FFFD">
        <w:rPr>
          <w:sz w:val="20"/>
          <w:szCs w:val="20"/>
        </w:rPr>
        <w:t xml:space="preserve"> </w:t>
      </w:r>
      <w:r>
        <w:rPr>
          <w:color w:val="000000"/>
          <w:sz w:val="20"/>
          <w:szCs w:val="20"/>
        </w:rPr>
        <w:t>at 5</w:t>
      </w:r>
      <w:r>
        <w:rPr>
          <w:color w:val="000000"/>
          <w:sz w:val="19"/>
          <w:szCs w:val="19"/>
        </w:rPr>
        <w:t>–</w:t>
      </w:r>
      <w:r>
        <w:rPr>
          <w:color w:val="000000"/>
          <w:sz w:val="20"/>
          <w:szCs w:val="20"/>
        </w:rPr>
        <w:t>6.</w:t>
      </w:r>
    </w:p>
    <w:p w14:paraId="5FD2B6A4" w14:textId="10513355" w:rsidR="77A95D45" w:rsidRPr="009E1CFE" w:rsidRDefault="0A558CF2" w:rsidP="77A95D45">
      <w:pPr>
        <w:pStyle w:val="WSParaNum"/>
        <w:numPr>
          <w:ilvl w:val="0"/>
          <w:numId w:val="0"/>
        </w:numPr>
        <w:ind w:left="720"/>
        <w:jc w:val="both"/>
        <w:rPr>
          <w:color w:val="000000"/>
          <w:sz w:val="19"/>
          <w:szCs w:val="19"/>
        </w:rPr>
      </w:pPr>
      <w:r w:rsidRPr="009E1CFE">
        <w:rPr>
          <w:i/>
          <w:color w:val="000000"/>
          <w:sz w:val="19"/>
          <w:szCs w:val="19"/>
        </w:rPr>
        <w:t>Ainsley Financial, supra</w:t>
      </w:r>
      <w:r w:rsidR="00771F1F" w:rsidRPr="009E1CFE">
        <w:rPr>
          <w:sz w:val="20"/>
          <w:szCs w:val="20"/>
        </w:rPr>
        <w:t xml:space="preserve"> para </w:t>
      </w:r>
      <w:r w:rsidR="0921FFFD" w:rsidRPr="009E1CFE">
        <w:rPr>
          <w:sz w:val="20"/>
          <w:szCs w:val="20"/>
        </w:rPr>
        <w:t>43</w:t>
      </w:r>
      <w:r w:rsidRPr="009E1CFE">
        <w:rPr>
          <w:sz w:val="20"/>
          <w:szCs w:val="20"/>
        </w:rPr>
        <w:t xml:space="preserve"> </w:t>
      </w:r>
      <w:r w:rsidRPr="009E1CFE">
        <w:rPr>
          <w:color w:val="000000"/>
          <w:sz w:val="19"/>
          <w:szCs w:val="19"/>
        </w:rPr>
        <w:t>at 109.</w:t>
      </w:r>
    </w:p>
    <w:p w14:paraId="5845FAD9" w14:textId="749ECE62" w:rsidR="77A95D45" w:rsidRDefault="123A9755" w:rsidP="123A9755">
      <w:pPr>
        <w:pStyle w:val="WSParaNum"/>
        <w:numPr>
          <w:ilvl w:val="0"/>
          <w:numId w:val="0"/>
        </w:numPr>
        <w:ind w:left="720"/>
        <w:jc w:val="both"/>
        <w:rPr>
          <w:color w:val="000000"/>
          <w:sz w:val="19"/>
          <w:szCs w:val="19"/>
        </w:rPr>
      </w:pPr>
      <w:r>
        <w:rPr>
          <w:i/>
          <w:color w:val="000000"/>
          <w:sz w:val="19"/>
          <w:szCs w:val="19"/>
        </w:rPr>
        <w:t>Housen, supra</w:t>
      </w:r>
      <w:r w:rsidRPr="123A9755">
        <w:rPr>
          <w:sz w:val="20"/>
          <w:szCs w:val="20"/>
        </w:rPr>
        <w:t xml:space="preserve"> para </w:t>
      </w:r>
      <w:r w:rsidR="3988D040" w:rsidRPr="3988D040">
        <w:rPr>
          <w:sz w:val="20"/>
          <w:szCs w:val="20"/>
        </w:rPr>
        <w:t>21</w:t>
      </w:r>
      <w:r w:rsidRPr="123A9755">
        <w:rPr>
          <w:sz w:val="20"/>
          <w:szCs w:val="20"/>
        </w:rPr>
        <w:t xml:space="preserve"> </w:t>
      </w:r>
      <w:r>
        <w:rPr>
          <w:color w:val="000000"/>
          <w:sz w:val="19"/>
          <w:szCs w:val="19"/>
        </w:rPr>
        <w:t>at 25.</w:t>
      </w:r>
    </w:p>
    <w:p w14:paraId="51250DE4" w14:textId="50314469" w:rsidR="353B0349" w:rsidRDefault="353B0349" w:rsidP="353B0349">
      <w:pPr>
        <w:pStyle w:val="WSParaNum"/>
        <w:jc w:val="both"/>
        <w:rPr>
          <w:color w:val="000000"/>
        </w:rPr>
      </w:pPr>
      <w:r>
        <w:rPr>
          <w:color w:val="000000"/>
        </w:rPr>
        <w:t>Appellate courts may not recast disagreement with the weight assigned to scientific evidence as an error of law, nor substitute their preferred factual inferences for those reasonably drawn by the trier of fact. Rather than identifying a reviewable error, the OCJ impermissibly reweighed the evidence and substituted its own factual conclusions for those of the Trial Justice.</w:t>
      </w:r>
    </w:p>
    <w:p w14:paraId="4851B2C0" w14:textId="441099D3" w:rsidR="6ABE1EA8" w:rsidRDefault="4D2A7F8C" w:rsidP="54ED07DF">
      <w:pPr>
        <w:pStyle w:val="WSParaNum"/>
        <w:jc w:val="both"/>
        <w:rPr>
          <w:color w:val="000000"/>
        </w:rPr>
      </w:pPr>
      <w:r>
        <w:rPr>
          <w:color w:val="000000"/>
        </w:rPr>
        <w:t xml:space="preserve">The Appellant therefore submits that the OCJ erred in overturning the Trial Justice’s reasonable inference that </w:t>
      </w:r>
      <w:r w:rsidR="353B0349">
        <w:rPr>
          <w:color w:val="000000"/>
        </w:rPr>
        <w:t>Blanding’s turtles</w:t>
      </w:r>
      <w:r>
        <w:rPr>
          <w:color w:val="000000"/>
        </w:rPr>
        <w:t xml:space="preserve"> directly depended on </w:t>
      </w:r>
      <w:r w:rsidR="353B0349">
        <w:rPr>
          <w:color w:val="000000"/>
        </w:rPr>
        <w:t xml:space="preserve">the Site </w:t>
      </w:r>
      <w:r>
        <w:rPr>
          <w:color w:val="000000"/>
        </w:rPr>
        <w:t xml:space="preserve">in 2018 on the basis that the GHD </w:t>
      </w:r>
      <w:r w:rsidR="353B0349">
        <w:rPr>
          <w:color w:val="000000"/>
        </w:rPr>
        <w:t>lacks</w:t>
      </w:r>
      <w:r>
        <w:rPr>
          <w:color w:val="000000"/>
        </w:rPr>
        <w:t xml:space="preserve"> the force of law. By treating the GHD’s </w:t>
      </w:r>
      <w:r w:rsidR="353B0349">
        <w:rPr>
          <w:color w:val="000000"/>
        </w:rPr>
        <w:t>non-binding status</w:t>
      </w:r>
      <w:r>
        <w:rPr>
          <w:color w:val="000000"/>
        </w:rPr>
        <w:t xml:space="preserve"> as determinative of its probative value, the OCJ </w:t>
      </w:r>
      <w:r w:rsidR="7839B198">
        <w:rPr>
          <w:color w:val="000000"/>
        </w:rPr>
        <w:t xml:space="preserve">impermissibly </w:t>
      </w:r>
      <w:r w:rsidR="353B0349">
        <w:rPr>
          <w:color w:val="000000"/>
        </w:rPr>
        <w:t>transformed</w:t>
      </w:r>
      <w:r w:rsidR="7839B198">
        <w:rPr>
          <w:color w:val="000000"/>
        </w:rPr>
        <w:t xml:space="preserve"> a question of evidentiary weight </w:t>
      </w:r>
      <w:r w:rsidR="353B0349">
        <w:rPr>
          <w:color w:val="000000"/>
        </w:rPr>
        <w:t>into</w:t>
      </w:r>
      <w:r w:rsidR="7839B198">
        <w:rPr>
          <w:color w:val="000000"/>
        </w:rPr>
        <w:t xml:space="preserve"> a purported error of law, thereby justifying intervention in a factual assessment that </w:t>
      </w:r>
      <w:r w:rsidR="353B0349">
        <w:rPr>
          <w:color w:val="000000"/>
        </w:rPr>
        <w:t>was</w:t>
      </w:r>
      <w:r w:rsidR="7839B198">
        <w:rPr>
          <w:color w:val="000000"/>
        </w:rPr>
        <w:t xml:space="preserve"> properly owed deference.</w:t>
      </w:r>
    </w:p>
    <w:p w14:paraId="29ABE3B6" w14:textId="6A3C514C" w:rsidR="6ABE1EA8" w:rsidRDefault="4909DF12" w:rsidP="4909DF12">
      <w:pPr>
        <w:pStyle w:val="WSParaNum"/>
        <w:numPr>
          <w:ilvl w:val="0"/>
          <w:numId w:val="0"/>
        </w:numPr>
        <w:ind w:firstLine="720"/>
        <w:jc w:val="both"/>
        <w:rPr>
          <w:i/>
          <w:iCs/>
          <w:color w:val="000000"/>
          <w:sz w:val="20"/>
          <w:szCs w:val="20"/>
        </w:rPr>
      </w:pPr>
      <w:r w:rsidRPr="4CC85748">
        <w:rPr>
          <w:i/>
          <w:iCs/>
          <w:sz w:val="20"/>
          <w:szCs w:val="20"/>
        </w:rPr>
        <w:t>Housen, supra</w:t>
      </w:r>
      <w:r w:rsidRPr="4CC85748">
        <w:rPr>
          <w:sz w:val="20"/>
          <w:szCs w:val="20"/>
        </w:rPr>
        <w:t xml:space="preserve"> </w:t>
      </w:r>
      <w:r w:rsidR="00771F1F">
        <w:rPr>
          <w:sz w:val="20"/>
          <w:szCs w:val="20"/>
        </w:rPr>
        <w:t xml:space="preserve">para </w:t>
      </w:r>
      <w:r w:rsidR="3988D040" w:rsidRPr="3988D040">
        <w:rPr>
          <w:sz w:val="20"/>
          <w:szCs w:val="20"/>
        </w:rPr>
        <w:t>21</w:t>
      </w:r>
      <w:r w:rsidR="00771F1F">
        <w:rPr>
          <w:sz w:val="20"/>
          <w:szCs w:val="20"/>
        </w:rPr>
        <w:t xml:space="preserve"> </w:t>
      </w:r>
      <w:r w:rsidRPr="4CC85748">
        <w:rPr>
          <w:sz w:val="20"/>
          <w:szCs w:val="20"/>
        </w:rPr>
        <w:t xml:space="preserve">at </w:t>
      </w:r>
      <w:r w:rsidR="52CC4007" w:rsidRPr="52CC4007">
        <w:rPr>
          <w:sz w:val="20"/>
          <w:szCs w:val="20"/>
        </w:rPr>
        <w:t>paras</w:t>
      </w:r>
      <w:r w:rsidRPr="4CC85748">
        <w:rPr>
          <w:sz w:val="20"/>
          <w:szCs w:val="20"/>
        </w:rPr>
        <w:t xml:space="preserve"> 3, 23.</w:t>
      </w:r>
    </w:p>
    <w:p w14:paraId="7A7C58B4" w14:textId="41DD748D" w:rsidR="00D678D8" w:rsidRPr="00D678D8" w:rsidRDefault="2F18C888" w:rsidP="54ED07DF">
      <w:pPr>
        <w:pStyle w:val="Heading2"/>
        <w:tabs>
          <w:tab w:val="num" w:pos="720"/>
        </w:tabs>
        <w:spacing w:before="0" w:after="0" w:line="360" w:lineRule="auto"/>
        <w:jc w:val="both"/>
        <w:rPr>
          <w:rFonts w:ascii="Times New Roman" w:hAnsi="Times New Roman"/>
          <w:i w:val="0"/>
          <w:iCs w:val="0"/>
          <w:sz w:val="24"/>
          <w:szCs w:val="24"/>
        </w:rPr>
      </w:pPr>
      <w:bookmarkStart w:id="46" w:name="_Toc218630723"/>
      <w:bookmarkStart w:id="47" w:name="_Toc218783941"/>
      <w:bookmarkStart w:id="48" w:name="_Toc218846582"/>
      <w:bookmarkStart w:id="49" w:name="_Toc218858284"/>
      <w:r w:rsidRPr="2F18C888">
        <w:rPr>
          <w:rFonts w:ascii="Times New Roman" w:hAnsi="Times New Roman"/>
          <w:i w:val="0"/>
          <w:iCs w:val="0"/>
          <w:sz w:val="24"/>
          <w:szCs w:val="24"/>
        </w:rPr>
        <w:t>The OCJ Erred by Failing to Consider Whether Blandings Turtles Indirectly Depended on the Site for Life Processes at the Time of the Offence</w:t>
      </w:r>
      <w:bookmarkEnd w:id="46"/>
      <w:bookmarkEnd w:id="47"/>
      <w:bookmarkEnd w:id="48"/>
      <w:bookmarkEnd w:id="49"/>
    </w:p>
    <w:p w14:paraId="1A30DCCA" w14:textId="2E02E457" w:rsidR="2F18C888" w:rsidRDefault="09696FF9" w:rsidP="54ED07DF">
      <w:pPr>
        <w:pStyle w:val="WSParaNum"/>
        <w:jc w:val="both"/>
        <w:rPr>
          <w:lang w:val="en-US"/>
        </w:rPr>
      </w:pPr>
      <w:r w:rsidRPr="09696FF9">
        <w:rPr>
          <w:lang w:val="en-US"/>
        </w:rPr>
        <w:t>Alternatively, the</w:t>
      </w:r>
      <w:r w:rsidR="6DCFAA61" w:rsidRPr="6DCFAA61">
        <w:rPr>
          <w:lang w:val="en-US"/>
        </w:rPr>
        <w:t xml:space="preserve"> OCJ erred in law by concluding that the Trial Justice's factual inference about direct dependence was unreasonable or not unsupported by the evidence without considering indirect dependence. </w:t>
      </w:r>
    </w:p>
    <w:p w14:paraId="582231F5" w14:textId="1D7B928B" w:rsidR="2F910B26" w:rsidRDefault="4909DF12" w:rsidP="4909DF12">
      <w:pPr>
        <w:pStyle w:val="WSParaNum"/>
        <w:numPr>
          <w:ilvl w:val="0"/>
          <w:numId w:val="0"/>
        </w:numPr>
        <w:ind w:firstLine="720"/>
        <w:jc w:val="both"/>
        <w:rPr>
          <w:sz w:val="20"/>
          <w:szCs w:val="20"/>
          <w:lang w:val="en-US"/>
        </w:rPr>
      </w:pPr>
      <w:r w:rsidRPr="4909DF12">
        <w:rPr>
          <w:sz w:val="20"/>
          <w:szCs w:val="20"/>
          <w:lang w:val="en-US"/>
        </w:rPr>
        <w:t xml:space="preserve">OCJ Decision, </w:t>
      </w:r>
      <w:r w:rsidRPr="4909DF12">
        <w:rPr>
          <w:i/>
          <w:iCs/>
          <w:sz w:val="20"/>
          <w:szCs w:val="20"/>
          <w:lang w:val="en-US"/>
        </w:rPr>
        <w:t>supra</w:t>
      </w:r>
      <w:r w:rsidR="00771F1F" w:rsidRPr="00771F1F">
        <w:rPr>
          <w:sz w:val="20"/>
          <w:szCs w:val="20"/>
        </w:rPr>
        <w:t xml:space="preserve"> </w:t>
      </w:r>
      <w:r w:rsidR="00771F1F">
        <w:rPr>
          <w:sz w:val="20"/>
          <w:szCs w:val="20"/>
        </w:rPr>
        <w:t xml:space="preserve">para </w:t>
      </w:r>
      <w:r w:rsidR="31B538A1" w:rsidRPr="31B538A1">
        <w:rPr>
          <w:sz w:val="20"/>
          <w:szCs w:val="20"/>
        </w:rPr>
        <w:t>8</w:t>
      </w:r>
      <w:r w:rsidRPr="31B538A1">
        <w:rPr>
          <w:sz w:val="20"/>
          <w:szCs w:val="20"/>
        </w:rPr>
        <w:t xml:space="preserve"> </w:t>
      </w:r>
      <w:r w:rsidRPr="4909DF12">
        <w:rPr>
          <w:sz w:val="20"/>
          <w:szCs w:val="20"/>
          <w:lang w:val="en-US"/>
        </w:rPr>
        <w:t>at 20.</w:t>
      </w:r>
    </w:p>
    <w:p w14:paraId="726190A5" w14:textId="3F595AF3" w:rsidR="2F910B26" w:rsidRDefault="4909DF12" w:rsidP="4909DF12">
      <w:pPr>
        <w:pStyle w:val="WSParaNum"/>
        <w:numPr>
          <w:ilvl w:val="0"/>
          <w:numId w:val="0"/>
        </w:numPr>
        <w:ind w:left="720"/>
        <w:jc w:val="both"/>
        <w:rPr>
          <w:sz w:val="20"/>
          <w:szCs w:val="20"/>
          <w:lang w:val="en-US"/>
        </w:rPr>
      </w:pPr>
      <w:r w:rsidRPr="4909DF12">
        <w:rPr>
          <w:sz w:val="20"/>
          <w:szCs w:val="20"/>
          <w:lang w:val="en-US"/>
        </w:rPr>
        <w:lastRenderedPageBreak/>
        <w:t xml:space="preserve">ONCA Decision, </w:t>
      </w:r>
      <w:r w:rsidRPr="4909DF12">
        <w:rPr>
          <w:i/>
          <w:iCs/>
          <w:sz w:val="20"/>
          <w:szCs w:val="20"/>
          <w:lang w:val="en-US"/>
        </w:rPr>
        <w:t>supra</w:t>
      </w:r>
      <w:r w:rsidRPr="4909DF12">
        <w:rPr>
          <w:sz w:val="20"/>
          <w:szCs w:val="20"/>
          <w:lang w:val="en-US"/>
        </w:rPr>
        <w:t xml:space="preserve"> </w:t>
      </w:r>
      <w:r w:rsidR="00771F1F">
        <w:rPr>
          <w:sz w:val="20"/>
          <w:szCs w:val="20"/>
        </w:rPr>
        <w:t xml:space="preserve">para </w:t>
      </w:r>
      <w:r w:rsidR="4CC85748" w:rsidRPr="4CC85748">
        <w:rPr>
          <w:sz w:val="20"/>
          <w:szCs w:val="20"/>
        </w:rPr>
        <w:t>8</w:t>
      </w:r>
      <w:r w:rsidR="00771F1F">
        <w:rPr>
          <w:sz w:val="20"/>
          <w:szCs w:val="20"/>
        </w:rPr>
        <w:t xml:space="preserve"> </w:t>
      </w:r>
      <w:r w:rsidRPr="4909DF12">
        <w:rPr>
          <w:sz w:val="20"/>
          <w:szCs w:val="20"/>
          <w:lang w:val="en-US"/>
        </w:rPr>
        <w:t>at paras 32</w:t>
      </w:r>
      <w:r w:rsidR="00CA6DEC">
        <w:rPr>
          <w:sz w:val="20"/>
          <w:szCs w:val="20"/>
          <w:lang w:val="en-US"/>
        </w:rPr>
        <w:t>–</w:t>
      </w:r>
      <w:r w:rsidRPr="4909DF12">
        <w:rPr>
          <w:sz w:val="20"/>
          <w:szCs w:val="20"/>
          <w:lang w:val="en-US"/>
        </w:rPr>
        <w:t>33, 38</w:t>
      </w:r>
      <w:r w:rsidR="00CA6DEC">
        <w:rPr>
          <w:sz w:val="20"/>
          <w:szCs w:val="20"/>
          <w:lang w:val="en-US"/>
        </w:rPr>
        <w:t>–</w:t>
      </w:r>
      <w:r w:rsidRPr="4909DF12">
        <w:rPr>
          <w:sz w:val="20"/>
          <w:szCs w:val="20"/>
          <w:lang w:val="en-US"/>
        </w:rPr>
        <w:t xml:space="preserve">41. </w:t>
      </w:r>
    </w:p>
    <w:p w14:paraId="08E6C76B" w14:textId="4A13FD6F" w:rsidR="4909DF12" w:rsidRDefault="4D2A7F8C" w:rsidP="43F414F7">
      <w:pPr>
        <w:pStyle w:val="WSParaNum"/>
        <w:jc w:val="both"/>
        <w:rPr>
          <w:color w:val="000000"/>
          <w:lang w:val="en-US"/>
        </w:rPr>
      </w:pPr>
      <w:r>
        <w:rPr>
          <w:color w:val="000000"/>
          <w:lang w:val="en-US"/>
        </w:rPr>
        <w:t xml:space="preserve">The OCJ concluded that the evidence at trial did not establish the presence of Blanding’s turtles in the vicinity of Circle Lake during the summer of 2018. </w:t>
      </w:r>
      <w:r>
        <w:rPr>
          <w:color w:val="000000"/>
        </w:rPr>
        <w:t xml:space="preserve">However, by focusing on the absence of contemporaneous presence and the statutory exclusion of potential habitat, the OCJ overlooked that the evidence could engage the definition of habitat pursuant to section 2(1)(b) of the </w:t>
      </w:r>
      <w:r>
        <w:rPr>
          <w:i/>
          <w:color w:val="000000"/>
        </w:rPr>
        <w:t xml:space="preserve">ESA </w:t>
      </w:r>
      <w:r>
        <w:rPr>
          <w:color w:val="000000"/>
        </w:rPr>
        <w:t xml:space="preserve">through </w:t>
      </w:r>
      <w:r w:rsidR="401CB0C8">
        <w:rPr>
          <w:color w:val="000000"/>
        </w:rPr>
        <w:t>“</w:t>
      </w:r>
      <w:r>
        <w:rPr>
          <w:color w:val="000000"/>
        </w:rPr>
        <w:t>indirect</w:t>
      </w:r>
      <w:r w:rsidR="401CB0C8">
        <w:rPr>
          <w:color w:val="000000"/>
        </w:rPr>
        <w:t>”</w:t>
      </w:r>
      <w:r>
        <w:rPr>
          <w:color w:val="000000"/>
        </w:rPr>
        <w:t xml:space="preserve"> dependence. </w:t>
      </w:r>
      <w:r w:rsidR="4909DF12">
        <w:tab/>
      </w:r>
    </w:p>
    <w:p w14:paraId="3C7A8CB6" w14:textId="1AA0F3CD" w:rsidR="4909DF12" w:rsidRPr="00771F1F" w:rsidRDefault="09696FF9" w:rsidP="43F414F7">
      <w:pPr>
        <w:pStyle w:val="WSParaNum"/>
        <w:numPr>
          <w:ilvl w:val="0"/>
          <w:numId w:val="0"/>
        </w:numPr>
        <w:ind w:firstLine="720"/>
        <w:jc w:val="both"/>
        <w:rPr>
          <w:sz w:val="20"/>
          <w:szCs w:val="20"/>
          <w:lang w:val="en-US"/>
        </w:rPr>
      </w:pPr>
      <w:r w:rsidRPr="00771F1F">
        <w:rPr>
          <w:sz w:val="20"/>
          <w:szCs w:val="20"/>
          <w:lang w:val="en-US"/>
        </w:rPr>
        <w:t xml:space="preserve">OCJ Decision, </w:t>
      </w:r>
      <w:r w:rsidRPr="00771F1F">
        <w:rPr>
          <w:i/>
          <w:iCs/>
          <w:sz w:val="20"/>
          <w:szCs w:val="20"/>
          <w:lang w:val="en-US"/>
        </w:rPr>
        <w:t xml:space="preserve">supra </w:t>
      </w:r>
      <w:r w:rsidR="00771F1F" w:rsidRPr="00771F1F">
        <w:rPr>
          <w:sz w:val="20"/>
          <w:szCs w:val="20"/>
        </w:rPr>
        <w:t xml:space="preserve">para </w:t>
      </w:r>
      <w:r w:rsidR="4CC85748" w:rsidRPr="4CC85748">
        <w:rPr>
          <w:sz w:val="20"/>
          <w:szCs w:val="20"/>
        </w:rPr>
        <w:t>8</w:t>
      </w:r>
      <w:r w:rsidR="00771F1F" w:rsidRPr="00771F1F">
        <w:rPr>
          <w:sz w:val="20"/>
          <w:szCs w:val="20"/>
        </w:rPr>
        <w:t xml:space="preserve"> </w:t>
      </w:r>
      <w:r w:rsidRPr="00771F1F">
        <w:rPr>
          <w:sz w:val="20"/>
          <w:szCs w:val="20"/>
          <w:lang w:val="en-US"/>
        </w:rPr>
        <w:t>at 10, 12, 17</w:t>
      </w:r>
      <w:r w:rsidR="00CA6DEC" w:rsidRPr="00771F1F">
        <w:rPr>
          <w:sz w:val="20"/>
          <w:szCs w:val="20"/>
          <w:lang w:val="en-US"/>
        </w:rPr>
        <w:t>–</w:t>
      </w:r>
      <w:r w:rsidRPr="00771F1F">
        <w:rPr>
          <w:sz w:val="20"/>
          <w:szCs w:val="20"/>
          <w:lang w:val="en-US"/>
        </w:rPr>
        <w:t>18.</w:t>
      </w:r>
    </w:p>
    <w:p w14:paraId="3FC31DBF" w14:textId="7C1020AE" w:rsidR="4909DF12" w:rsidRPr="00771F1F" w:rsidRDefault="0DCAC561" w:rsidP="51C75393">
      <w:pPr>
        <w:pStyle w:val="WSParaNum"/>
        <w:numPr>
          <w:ilvl w:val="0"/>
          <w:numId w:val="0"/>
        </w:numPr>
        <w:ind w:firstLine="720"/>
        <w:jc w:val="both"/>
        <w:rPr>
          <w:sz w:val="20"/>
          <w:szCs w:val="20"/>
          <w:lang w:val="en-US"/>
        </w:rPr>
      </w:pPr>
      <w:r w:rsidRPr="00771F1F">
        <w:rPr>
          <w:sz w:val="20"/>
          <w:szCs w:val="20"/>
          <w:lang w:val="en-US"/>
        </w:rPr>
        <w:t xml:space="preserve">ONCA Decision, </w:t>
      </w:r>
      <w:r w:rsidRPr="00771F1F">
        <w:rPr>
          <w:i/>
          <w:iCs/>
          <w:sz w:val="20"/>
          <w:szCs w:val="20"/>
          <w:lang w:val="en-US"/>
        </w:rPr>
        <w:t>supra</w:t>
      </w:r>
      <w:r w:rsidR="00771F1F" w:rsidRPr="00771F1F">
        <w:rPr>
          <w:sz w:val="20"/>
          <w:szCs w:val="20"/>
        </w:rPr>
        <w:t xml:space="preserve"> para </w:t>
      </w:r>
      <w:r w:rsidR="4CC85748" w:rsidRPr="4CC85748">
        <w:rPr>
          <w:sz w:val="20"/>
          <w:szCs w:val="20"/>
        </w:rPr>
        <w:t>8</w:t>
      </w:r>
      <w:r w:rsidRPr="4CC85748">
        <w:rPr>
          <w:sz w:val="20"/>
          <w:szCs w:val="20"/>
        </w:rPr>
        <w:t xml:space="preserve"> </w:t>
      </w:r>
      <w:r w:rsidRPr="00771F1F">
        <w:rPr>
          <w:sz w:val="20"/>
          <w:szCs w:val="20"/>
          <w:lang w:val="en-US"/>
        </w:rPr>
        <w:t xml:space="preserve">at </w:t>
      </w:r>
      <w:r w:rsidR="0B964C60" w:rsidRPr="0B964C60">
        <w:rPr>
          <w:sz w:val="20"/>
          <w:szCs w:val="20"/>
          <w:lang w:val="en-US"/>
        </w:rPr>
        <w:t>paras</w:t>
      </w:r>
      <w:r w:rsidRPr="00771F1F">
        <w:rPr>
          <w:sz w:val="20"/>
          <w:szCs w:val="20"/>
          <w:lang w:val="en-US"/>
        </w:rPr>
        <w:t xml:space="preserve"> 28</w:t>
      </w:r>
      <w:r w:rsidR="00CA6DEC" w:rsidRPr="00771F1F">
        <w:rPr>
          <w:sz w:val="20"/>
          <w:szCs w:val="20"/>
          <w:lang w:val="en-US"/>
        </w:rPr>
        <w:t>–</w:t>
      </w:r>
      <w:r w:rsidRPr="00771F1F">
        <w:rPr>
          <w:sz w:val="20"/>
          <w:szCs w:val="20"/>
          <w:lang w:val="en-US"/>
        </w:rPr>
        <w:t>29, 31, 40.</w:t>
      </w:r>
    </w:p>
    <w:p w14:paraId="6209FDFD" w14:textId="3A00B2E3" w:rsidR="4909DF12" w:rsidRPr="00771F1F" w:rsidRDefault="54293854" w:rsidP="54293854">
      <w:pPr>
        <w:pStyle w:val="WSParaNum"/>
        <w:numPr>
          <w:ilvl w:val="0"/>
          <w:numId w:val="0"/>
        </w:numPr>
        <w:ind w:firstLine="720"/>
        <w:jc w:val="both"/>
        <w:rPr>
          <w:color w:val="000000"/>
          <w:sz w:val="20"/>
          <w:szCs w:val="20"/>
        </w:rPr>
      </w:pPr>
      <w:r>
        <w:rPr>
          <w:i/>
          <w:color w:val="000000"/>
          <w:sz w:val="20"/>
          <w:szCs w:val="20"/>
        </w:rPr>
        <w:t>ESA</w:t>
      </w:r>
      <w:r>
        <w:rPr>
          <w:color w:val="000000"/>
          <w:sz w:val="20"/>
          <w:szCs w:val="20"/>
        </w:rPr>
        <w:t xml:space="preserve">, </w:t>
      </w:r>
      <w:r>
        <w:rPr>
          <w:i/>
          <w:color w:val="000000"/>
          <w:sz w:val="20"/>
          <w:szCs w:val="20"/>
        </w:rPr>
        <w:t>supra</w:t>
      </w:r>
      <w:r>
        <w:rPr>
          <w:color w:val="000000"/>
          <w:sz w:val="20"/>
          <w:szCs w:val="20"/>
        </w:rPr>
        <w:t xml:space="preserve"> </w:t>
      </w:r>
      <w:r w:rsidRPr="11C417DE">
        <w:rPr>
          <w:sz w:val="20"/>
          <w:szCs w:val="20"/>
        </w:rPr>
        <w:t xml:space="preserve">para </w:t>
      </w:r>
      <w:r w:rsidR="6B4611FA" w:rsidRPr="11C417DE">
        <w:rPr>
          <w:sz w:val="20"/>
          <w:szCs w:val="20"/>
        </w:rPr>
        <w:t>2</w:t>
      </w:r>
      <w:r w:rsidRPr="11C417DE">
        <w:rPr>
          <w:sz w:val="20"/>
          <w:szCs w:val="20"/>
        </w:rPr>
        <w:t xml:space="preserve"> </w:t>
      </w:r>
      <w:r>
        <w:rPr>
          <w:color w:val="000000"/>
          <w:sz w:val="20"/>
          <w:szCs w:val="20"/>
        </w:rPr>
        <w:t>at s 2(1)(b).</w:t>
      </w:r>
    </w:p>
    <w:p w14:paraId="54054A73" w14:textId="3EF5D9F6" w:rsidR="09696FF9" w:rsidRPr="00D251A7" w:rsidRDefault="123A9755" w:rsidP="123A9755">
      <w:pPr>
        <w:pStyle w:val="WSParaNum"/>
        <w:jc w:val="both"/>
        <w:rPr>
          <w:color w:val="000000"/>
        </w:rPr>
      </w:pPr>
      <w:r w:rsidRPr="00D251A7">
        <w:rPr>
          <w:color w:val="000000"/>
        </w:rPr>
        <w:t xml:space="preserve">The Appellant submits that by failing to assess whether the evidentiary record established indirect dependence, the OCJ erred in law by misconstruing the scope of the statutory definition of habitat. In doing so, the OCJ further erred by substituting its own view of the evidence for that of the Trial Justice and overturning reasonable factual inferences about dependence without identifying any palpable and overriding error when applying the </w:t>
      </w:r>
      <w:r w:rsidRPr="00D251A7">
        <w:rPr>
          <w:i/>
          <w:iCs/>
          <w:color w:val="000000"/>
        </w:rPr>
        <w:t>ESA</w:t>
      </w:r>
      <w:r w:rsidRPr="00D251A7">
        <w:rPr>
          <w:color w:val="000000"/>
        </w:rPr>
        <w:t>.</w:t>
      </w:r>
    </w:p>
    <w:p w14:paraId="3620DEAD" w14:textId="78BDCB66" w:rsidR="6DCFAA61" w:rsidRDefault="332739C1" w:rsidP="4909DF12">
      <w:pPr>
        <w:pStyle w:val="Heading3"/>
        <w:spacing w:before="0" w:after="0" w:line="360" w:lineRule="auto"/>
        <w:jc w:val="both"/>
        <w:rPr>
          <w:rFonts w:ascii="Times New Roman" w:hAnsi="Times New Roman"/>
          <w:b w:val="0"/>
          <w:bCs w:val="0"/>
          <w:sz w:val="24"/>
          <w:szCs w:val="24"/>
          <w:u w:val="single"/>
        </w:rPr>
      </w:pPr>
      <w:bookmarkStart w:id="50" w:name="_Toc218630724"/>
      <w:bookmarkStart w:id="51" w:name="_Toc218783942"/>
      <w:bookmarkStart w:id="52" w:name="_Toc218846583"/>
      <w:bookmarkStart w:id="53" w:name="_Toc218858285"/>
      <w:r w:rsidRPr="332739C1">
        <w:rPr>
          <w:rFonts w:ascii="Times New Roman" w:hAnsi="Times New Roman"/>
          <w:b w:val="0"/>
          <w:bCs w:val="0"/>
          <w:sz w:val="24"/>
          <w:szCs w:val="24"/>
          <w:u w:val="single"/>
        </w:rPr>
        <w:t xml:space="preserve">The OCJ </w:t>
      </w:r>
      <w:bookmarkEnd w:id="50"/>
      <w:bookmarkEnd w:id="51"/>
      <w:r w:rsidR="1E7366C5">
        <w:rPr>
          <w:rFonts w:ascii="Times New Roman" w:hAnsi="Times New Roman"/>
          <w:b w:val="0"/>
          <w:color w:val="000000"/>
          <w:sz w:val="24"/>
          <w:szCs w:val="24"/>
          <w:u w:val="single"/>
        </w:rPr>
        <w:t>Misinterpreted the</w:t>
      </w:r>
      <w:r>
        <w:rPr>
          <w:rFonts w:ascii="Times New Roman" w:hAnsi="Times New Roman"/>
          <w:b w:val="0"/>
          <w:color w:val="000000"/>
          <w:sz w:val="24"/>
          <w:szCs w:val="24"/>
          <w:u w:val="single"/>
        </w:rPr>
        <w:t xml:space="preserve"> </w:t>
      </w:r>
      <w:r w:rsidR="6AF474C5">
        <w:rPr>
          <w:rFonts w:ascii="Times New Roman" w:hAnsi="Times New Roman"/>
          <w:b w:val="0"/>
          <w:color w:val="000000"/>
          <w:sz w:val="24"/>
          <w:szCs w:val="24"/>
          <w:u w:val="single"/>
        </w:rPr>
        <w:t xml:space="preserve">Statutory </w:t>
      </w:r>
      <w:r w:rsidR="1E7366C5">
        <w:rPr>
          <w:rFonts w:ascii="Times New Roman" w:hAnsi="Times New Roman"/>
          <w:b w:val="0"/>
          <w:color w:val="000000"/>
          <w:sz w:val="24"/>
          <w:szCs w:val="24"/>
          <w:u w:val="single"/>
        </w:rPr>
        <w:t>Definition</w:t>
      </w:r>
      <w:r>
        <w:rPr>
          <w:rFonts w:ascii="Times New Roman" w:hAnsi="Times New Roman"/>
          <w:b w:val="0"/>
          <w:color w:val="000000"/>
          <w:sz w:val="24"/>
          <w:szCs w:val="24"/>
          <w:u w:val="single"/>
        </w:rPr>
        <w:t xml:space="preserve"> of “Habitat”</w:t>
      </w:r>
      <w:bookmarkEnd w:id="52"/>
      <w:bookmarkEnd w:id="53"/>
    </w:p>
    <w:p w14:paraId="2A43533F" w14:textId="05E433B2" w:rsidR="4909DF12" w:rsidRDefault="4D2A7F8C" w:rsidP="00771F1F">
      <w:pPr>
        <w:pStyle w:val="WSParaNum"/>
        <w:jc w:val="both"/>
        <w:rPr>
          <w:color w:val="000000"/>
        </w:rPr>
      </w:pPr>
      <w:r>
        <w:rPr>
          <w:color w:val="000000"/>
        </w:rPr>
        <w:t xml:space="preserve">Statutory interpretation requires a court to consider the text, context, and purpose of the legislation. The </w:t>
      </w:r>
      <w:r>
        <w:rPr>
          <w:i/>
          <w:color w:val="000000"/>
        </w:rPr>
        <w:t>ESA</w:t>
      </w:r>
      <w:r>
        <w:rPr>
          <w:color w:val="000000"/>
        </w:rPr>
        <w:t xml:space="preserve">’s purpose is to prevent harm to endangered species by avoiding or minimizing threats arising from human activity. </w:t>
      </w:r>
      <w:r w:rsidR="1E74998B">
        <w:rPr>
          <w:color w:val="000000"/>
        </w:rPr>
        <w:t xml:space="preserve">The </w:t>
      </w:r>
      <w:r w:rsidR="1E74998B">
        <w:rPr>
          <w:i/>
          <w:color w:val="000000"/>
        </w:rPr>
        <w:t>ESA</w:t>
      </w:r>
      <w:r w:rsidR="1E74998B">
        <w:rPr>
          <w:color w:val="000000"/>
        </w:rPr>
        <w:t>’s preamble</w:t>
      </w:r>
      <w:r>
        <w:rPr>
          <w:color w:val="000000"/>
        </w:rPr>
        <w:t xml:space="preserve"> incorporates the precautionary principle, which states that</w:t>
      </w:r>
      <w:r w:rsidR="006C2079">
        <w:rPr>
          <w:color w:val="000000"/>
        </w:rPr>
        <w:t xml:space="preserve"> a</w:t>
      </w:r>
      <w:r>
        <w:rPr>
          <w:color w:val="000000"/>
        </w:rPr>
        <w:t xml:space="preserve"> lack of full scientific certainty should not be used as a reason for postponing measures to minimize threats to biological diversity. Considering this environmental protection objective, the </w:t>
      </w:r>
      <w:r>
        <w:rPr>
          <w:i/>
          <w:color w:val="000000"/>
        </w:rPr>
        <w:t>ESA</w:t>
      </w:r>
      <w:r>
        <w:rPr>
          <w:color w:val="000000"/>
        </w:rPr>
        <w:t xml:space="preserve"> is remedial legislation and must be interpreted broadly and purposively.</w:t>
      </w:r>
    </w:p>
    <w:p w14:paraId="6421842F" w14:textId="541418F7" w:rsidR="4D2A7F8C" w:rsidRDefault="4D2A7F8C" w:rsidP="00771F1F">
      <w:pPr>
        <w:pStyle w:val="WSParaNum"/>
        <w:numPr>
          <w:ilvl w:val="0"/>
          <w:numId w:val="0"/>
        </w:numPr>
        <w:ind w:left="720"/>
        <w:jc w:val="both"/>
        <w:rPr>
          <w:i/>
          <w:iCs/>
          <w:sz w:val="20"/>
          <w:szCs w:val="20"/>
          <w:lang w:val="en-US"/>
        </w:rPr>
      </w:pPr>
      <w:r w:rsidRPr="4D2A7F8C">
        <w:rPr>
          <w:i/>
          <w:iCs/>
          <w:sz w:val="20"/>
          <w:szCs w:val="20"/>
          <w:lang w:val="en-US"/>
        </w:rPr>
        <w:t xml:space="preserve">ESA, supra </w:t>
      </w:r>
      <w:r w:rsidR="405600D6" w:rsidRPr="405600D6">
        <w:rPr>
          <w:sz w:val="20"/>
          <w:szCs w:val="20"/>
          <w:lang w:val="en-US"/>
        </w:rPr>
        <w:t xml:space="preserve">para </w:t>
      </w:r>
      <w:r w:rsidR="1F667B4B" w:rsidRPr="1F667B4B">
        <w:rPr>
          <w:sz w:val="20"/>
          <w:szCs w:val="20"/>
          <w:lang w:val="en-US"/>
        </w:rPr>
        <w:t>2</w:t>
      </w:r>
      <w:r w:rsidRPr="405600D6">
        <w:rPr>
          <w:sz w:val="20"/>
          <w:szCs w:val="20"/>
          <w:lang w:val="en-US"/>
        </w:rPr>
        <w:t xml:space="preserve">, </w:t>
      </w:r>
      <w:r w:rsidRPr="4D2A7F8C">
        <w:rPr>
          <w:sz w:val="20"/>
          <w:szCs w:val="20"/>
          <w:lang w:val="en-US"/>
        </w:rPr>
        <w:t>Preamble.</w:t>
      </w:r>
    </w:p>
    <w:p w14:paraId="5BC3CE72" w14:textId="4B4F80D4" w:rsidR="70A0F321" w:rsidRDefault="70A0F321" w:rsidP="00771F1F">
      <w:pPr>
        <w:pStyle w:val="WSParaNum"/>
        <w:numPr>
          <w:ilvl w:val="0"/>
          <w:numId w:val="0"/>
        </w:numPr>
        <w:ind w:left="720"/>
        <w:jc w:val="both"/>
        <w:rPr>
          <w:sz w:val="20"/>
          <w:szCs w:val="20"/>
          <w:lang w:val="en-US"/>
        </w:rPr>
      </w:pPr>
      <w:r w:rsidRPr="4BC0E868">
        <w:rPr>
          <w:i/>
          <w:sz w:val="20"/>
          <w:szCs w:val="20"/>
          <w:lang w:val="en-US"/>
        </w:rPr>
        <w:t>Rizzo &amp; Rizzo Shoes Ltd. (Re)</w:t>
      </w:r>
      <w:r w:rsidRPr="70A0F321">
        <w:rPr>
          <w:sz w:val="20"/>
          <w:szCs w:val="20"/>
          <w:lang w:val="en-US"/>
        </w:rPr>
        <w:t>, 1998 CanLII 837 (SCC) at para 21</w:t>
      </w:r>
      <w:r w:rsidR="4BC0E868" w:rsidRPr="4BC0E868">
        <w:rPr>
          <w:sz w:val="20"/>
          <w:szCs w:val="20"/>
          <w:lang w:val="en-US"/>
        </w:rPr>
        <w:t xml:space="preserve"> [</w:t>
      </w:r>
      <w:r w:rsidR="4BC0E868" w:rsidRPr="4BC0E868">
        <w:rPr>
          <w:i/>
          <w:iCs/>
          <w:sz w:val="20"/>
          <w:szCs w:val="20"/>
          <w:lang w:val="en-US"/>
        </w:rPr>
        <w:t>Rizzo Shoes</w:t>
      </w:r>
      <w:r w:rsidR="4BC0E868" w:rsidRPr="4BC0E868">
        <w:rPr>
          <w:sz w:val="20"/>
          <w:szCs w:val="20"/>
          <w:lang w:val="en-US"/>
        </w:rPr>
        <w:t>].</w:t>
      </w:r>
    </w:p>
    <w:p w14:paraId="6602D6F1" w14:textId="5AC5DB08" w:rsidR="70A0F321" w:rsidRDefault="4909DF12" w:rsidP="00771F1F">
      <w:pPr>
        <w:pStyle w:val="WSParaNum"/>
        <w:numPr>
          <w:ilvl w:val="0"/>
          <w:numId w:val="0"/>
        </w:numPr>
        <w:ind w:left="720"/>
        <w:jc w:val="both"/>
        <w:rPr>
          <w:sz w:val="20"/>
          <w:szCs w:val="20"/>
        </w:rPr>
      </w:pPr>
      <w:r w:rsidRPr="38FF8205">
        <w:rPr>
          <w:i/>
          <w:sz w:val="20"/>
          <w:szCs w:val="20"/>
        </w:rPr>
        <w:t>South Bruce Peninsula</w:t>
      </w:r>
      <w:r w:rsidRPr="38FF8205">
        <w:rPr>
          <w:sz w:val="20"/>
          <w:szCs w:val="20"/>
        </w:rPr>
        <w:t xml:space="preserve">, </w:t>
      </w:r>
      <w:r w:rsidRPr="38FF8205">
        <w:rPr>
          <w:i/>
          <w:sz w:val="20"/>
          <w:szCs w:val="20"/>
        </w:rPr>
        <w:t xml:space="preserve">supra </w:t>
      </w:r>
      <w:r w:rsidRPr="38FF8205">
        <w:rPr>
          <w:sz w:val="20"/>
          <w:szCs w:val="20"/>
        </w:rPr>
        <w:t xml:space="preserve">para </w:t>
      </w:r>
      <w:r w:rsidR="009E1CFE">
        <w:rPr>
          <w:sz w:val="20"/>
          <w:szCs w:val="20"/>
        </w:rPr>
        <w:t>35</w:t>
      </w:r>
      <w:r w:rsidRPr="38FF8205">
        <w:rPr>
          <w:i/>
          <w:sz w:val="20"/>
          <w:szCs w:val="20"/>
        </w:rPr>
        <w:t xml:space="preserve"> </w:t>
      </w:r>
      <w:r w:rsidRPr="38FF8205">
        <w:rPr>
          <w:sz w:val="20"/>
          <w:szCs w:val="20"/>
          <w:lang w:val="en-US"/>
        </w:rPr>
        <w:t>at paras 25</w:t>
      </w:r>
      <w:r w:rsidR="00CA6DEC" w:rsidRPr="38FF8205">
        <w:rPr>
          <w:sz w:val="20"/>
          <w:szCs w:val="20"/>
          <w:lang w:val="en-US"/>
        </w:rPr>
        <w:t>–</w:t>
      </w:r>
      <w:r w:rsidRPr="38FF8205">
        <w:rPr>
          <w:sz w:val="20"/>
          <w:szCs w:val="20"/>
          <w:lang w:val="en-US"/>
        </w:rPr>
        <w:t>30.</w:t>
      </w:r>
    </w:p>
    <w:p w14:paraId="0566D079" w14:textId="7691F351" w:rsidR="70A0F321" w:rsidRDefault="4D2A7F8C" w:rsidP="00771F1F">
      <w:pPr>
        <w:pStyle w:val="WSParaNum"/>
        <w:numPr>
          <w:ilvl w:val="0"/>
          <w:numId w:val="0"/>
        </w:numPr>
        <w:ind w:left="720"/>
        <w:jc w:val="both"/>
        <w:rPr>
          <w:sz w:val="20"/>
          <w:szCs w:val="20"/>
        </w:rPr>
      </w:pPr>
      <w:r w:rsidRPr="4D2A7F8C">
        <w:rPr>
          <w:i/>
          <w:iCs/>
          <w:sz w:val="20"/>
          <w:szCs w:val="20"/>
        </w:rPr>
        <w:t>Castonguay Blasting Ltd. v Ontario (Environment),</w:t>
      </w:r>
      <w:r w:rsidRPr="4D2A7F8C">
        <w:rPr>
          <w:sz w:val="20"/>
          <w:szCs w:val="20"/>
        </w:rPr>
        <w:t xml:space="preserve"> 2013 SCC 52 at para 9.</w:t>
      </w:r>
    </w:p>
    <w:p w14:paraId="2CF8E38D" w14:textId="331B2925" w:rsidR="00A6150E" w:rsidRDefault="00155E82" w:rsidP="00771F1F">
      <w:pPr>
        <w:pStyle w:val="WSParaNum"/>
        <w:jc w:val="both"/>
        <w:rPr>
          <w:rFonts w:eastAsia="Arial"/>
          <w:color w:val="000000"/>
        </w:rPr>
      </w:pPr>
      <w:r>
        <w:rPr>
          <w:color w:val="000000"/>
          <w:lang w:val="en-US"/>
        </w:rPr>
        <w:t xml:space="preserve">Section 2(1) of the </w:t>
      </w:r>
      <w:r>
        <w:rPr>
          <w:i/>
          <w:color w:val="000000"/>
          <w:lang w:val="en-US"/>
        </w:rPr>
        <w:t xml:space="preserve">ESA </w:t>
      </w:r>
      <w:r w:rsidR="00D762D2">
        <w:rPr>
          <w:color w:val="000000"/>
          <w:lang w:val="en-US"/>
        </w:rPr>
        <w:t>reads</w:t>
      </w:r>
      <w:r w:rsidR="121FCBA3">
        <w:rPr>
          <w:color w:val="000000"/>
          <w:lang w:val="en-US"/>
        </w:rPr>
        <w:t xml:space="preserve"> </w:t>
      </w:r>
      <w:r w:rsidR="00061D8F">
        <w:rPr>
          <w:color w:val="000000"/>
          <w:lang w:val="en-US"/>
        </w:rPr>
        <w:t xml:space="preserve">as </w:t>
      </w:r>
      <w:r w:rsidR="121FCBA3">
        <w:rPr>
          <w:color w:val="000000"/>
          <w:lang w:val="en-US"/>
        </w:rPr>
        <w:t>follows:</w:t>
      </w:r>
    </w:p>
    <w:p w14:paraId="39E45E78" w14:textId="79021C57" w:rsidR="00155E82" w:rsidRDefault="00061D8F" w:rsidP="2AAD9F02">
      <w:pPr>
        <w:pStyle w:val="WSParaNum"/>
        <w:numPr>
          <w:ilvl w:val="0"/>
          <w:numId w:val="0"/>
        </w:numPr>
        <w:spacing w:line="240" w:lineRule="auto"/>
        <w:ind w:left="720" w:right="720"/>
        <w:jc w:val="both"/>
        <w:rPr>
          <w:color w:val="000000"/>
        </w:rPr>
      </w:pPr>
      <w:r>
        <w:rPr>
          <w:color w:val="000000"/>
          <w:lang w:val="en-US"/>
        </w:rPr>
        <w:t>“</w:t>
      </w:r>
      <w:r w:rsidR="000D23A3">
        <w:rPr>
          <w:color w:val="000000"/>
          <w:lang w:val="en-US"/>
        </w:rPr>
        <w:t xml:space="preserve"> (b)… </w:t>
      </w:r>
      <w:r>
        <w:rPr>
          <w:color w:val="000000"/>
        </w:rPr>
        <w:t xml:space="preserve">an area on which the species depends, directly or </w:t>
      </w:r>
      <w:r>
        <w:rPr>
          <w:color w:val="000000"/>
          <w:u w:val="single"/>
        </w:rPr>
        <w:t>indirectly</w:t>
      </w:r>
      <w:r>
        <w:rPr>
          <w:color w:val="000000"/>
        </w:rPr>
        <w:t xml:space="preserve">, to carry on its life processes, including life processes such as reproduction, rearing, hibernation, </w:t>
      </w:r>
      <w:r>
        <w:rPr>
          <w:color w:val="000000"/>
        </w:rPr>
        <w:lastRenderedPageBreak/>
        <w:t>migration or feeding, and includes places in the area</w:t>
      </w:r>
      <w:r w:rsidR="15D90F29">
        <w:rPr>
          <w:color w:val="000000"/>
        </w:rPr>
        <w:t>...</w:t>
      </w:r>
      <w:r w:rsidR="00EB7D3A">
        <w:rPr>
          <w:color w:val="000000"/>
        </w:rPr>
        <w:t xml:space="preserve"> </w:t>
      </w:r>
      <w:r>
        <w:rPr>
          <w:color w:val="000000"/>
        </w:rPr>
        <w:t>that are used by members of the species as dens, nests, hibernacula or other residences</w:t>
      </w:r>
      <w:r w:rsidR="00E66194">
        <w:rPr>
          <w:color w:val="000000"/>
        </w:rPr>
        <w:t>”.</w:t>
      </w:r>
      <w:r w:rsidR="00117701">
        <w:rPr>
          <w:color w:val="000000"/>
        </w:rPr>
        <w:t xml:space="preserve"> </w:t>
      </w:r>
    </w:p>
    <w:p w14:paraId="612AD50B" w14:textId="3DBFAEFA" w:rsidR="6A8AE7F4" w:rsidRDefault="6A8AE7F4" w:rsidP="009E1CFE">
      <w:pPr>
        <w:pStyle w:val="WSParaNum"/>
        <w:numPr>
          <w:ilvl w:val="0"/>
          <w:numId w:val="0"/>
        </w:numPr>
        <w:spacing w:line="240" w:lineRule="auto"/>
        <w:ind w:firstLine="720"/>
        <w:jc w:val="both"/>
        <w:rPr>
          <w:color w:val="000000"/>
        </w:rPr>
      </w:pPr>
      <w:r>
        <w:rPr>
          <w:color w:val="000000"/>
        </w:rPr>
        <w:t>[Emphasis added]</w:t>
      </w:r>
    </w:p>
    <w:p w14:paraId="3EB2276C" w14:textId="537159D2" w:rsidR="00E96CFC" w:rsidRPr="00E96CFC" w:rsidRDefault="00E96CFC" w:rsidP="009E1CFE">
      <w:pPr>
        <w:pStyle w:val="WSParaNum"/>
        <w:numPr>
          <w:ilvl w:val="0"/>
          <w:numId w:val="0"/>
        </w:numPr>
        <w:ind w:firstLine="720"/>
        <w:jc w:val="both"/>
        <w:rPr>
          <w:sz w:val="20"/>
          <w:szCs w:val="20"/>
        </w:rPr>
      </w:pPr>
      <w:r w:rsidRPr="7C507DC3">
        <w:rPr>
          <w:i/>
          <w:sz w:val="20"/>
          <w:szCs w:val="20"/>
        </w:rPr>
        <w:t>ESA</w:t>
      </w:r>
      <w:r w:rsidRPr="7C507DC3">
        <w:rPr>
          <w:sz w:val="20"/>
          <w:szCs w:val="20"/>
        </w:rPr>
        <w:t xml:space="preserve">, </w:t>
      </w:r>
      <w:r w:rsidRPr="7C507DC3">
        <w:rPr>
          <w:i/>
          <w:sz w:val="20"/>
          <w:szCs w:val="20"/>
        </w:rPr>
        <w:t>supra</w:t>
      </w:r>
      <w:r w:rsidRPr="7C507DC3">
        <w:rPr>
          <w:sz w:val="20"/>
          <w:szCs w:val="20"/>
        </w:rPr>
        <w:t xml:space="preserve"> para 2, s 2(1</w:t>
      </w:r>
      <w:r w:rsidR="15D90F29" w:rsidRPr="7C507DC3">
        <w:rPr>
          <w:sz w:val="20"/>
          <w:szCs w:val="20"/>
        </w:rPr>
        <w:t>)(b</w:t>
      </w:r>
      <w:r w:rsidRPr="7C507DC3">
        <w:rPr>
          <w:sz w:val="20"/>
          <w:szCs w:val="20"/>
        </w:rPr>
        <w:t>).</w:t>
      </w:r>
      <w:r w:rsidRPr="6A8AE7F4">
        <w:rPr>
          <w:sz w:val="20"/>
          <w:szCs w:val="20"/>
        </w:rPr>
        <w:t xml:space="preserve"> </w:t>
      </w:r>
    </w:p>
    <w:p w14:paraId="4AF26392" w14:textId="7374C4CB" w:rsidR="00155E82" w:rsidRPr="00155E82" w:rsidRDefault="00155E82" w:rsidP="2AAD9F02">
      <w:pPr>
        <w:pStyle w:val="WSParaNum"/>
        <w:jc w:val="both"/>
        <w:rPr>
          <w:rFonts w:eastAsia="Arial"/>
          <w:color w:val="000000"/>
        </w:rPr>
      </w:pPr>
      <w:r>
        <w:rPr>
          <w:color w:val="000000"/>
          <w:lang w:val="en-US"/>
        </w:rPr>
        <w:t xml:space="preserve">Section 2(2) </w:t>
      </w:r>
      <w:r>
        <w:rPr>
          <w:color w:val="000000"/>
        </w:rPr>
        <w:t xml:space="preserve">further </w:t>
      </w:r>
      <w:r w:rsidR="6A8AE7F4">
        <w:rPr>
          <w:color w:val="000000"/>
        </w:rPr>
        <w:t>clarifies</w:t>
      </w:r>
      <w:r>
        <w:rPr>
          <w:color w:val="000000"/>
        </w:rPr>
        <w:t xml:space="preserve"> that:</w:t>
      </w:r>
      <w:r w:rsidR="00117701">
        <w:rPr>
          <w:color w:val="000000"/>
        </w:rPr>
        <w:t xml:space="preserve"> </w:t>
      </w:r>
    </w:p>
    <w:p w14:paraId="3A7A3653" w14:textId="2E9110B0" w:rsidR="00A6150E" w:rsidRPr="00155E82" w:rsidRDefault="00117701" w:rsidP="2AAD9F02">
      <w:pPr>
        <w:pStyle w:val="WSParaNum"/>
        <w:numPr>
          <w:ilvl w:val="0"/>
          <w:numId w:val="0"/>
        </w:numPr>
        <w:spacing w:line="240" w:lineRule="auto"/>
        <w:ind w:left="720" w:right="720"/>
        <w:jc w:val="both"/>
        <w:rPr>
          <w:rFonts w:eastAsia="Arial"/>
          <w:color w:val="000000"/>
        </w:rPr>
      </w:pPr>
      <w:r>
        <w:rPr>
          <w:color w:val="000000"/>
        </w:rPr>
        <w:t>“</w:t>
      </w:r>
      <w:r w:rsidR="00F3074D">
        <w:rPr>
          <w:color w:val="000000"/>
        </w:rPr>
        <w:t>the definition of “habitat”</w:t>
      </w:r>
      <w:r w:rsidR="00214897">
        <w:rPr>
          <w:color w:val="000000"/>
        </w:rPr>
        <w:t xml:space="preserve"> </w:t>
      </w:r>
      <w:r w:rsidR="003B323D">
        <w:rPr>
          <w:color w:val="000000"/>
        </w:rPr>
        <w:t xml:space="preserve">… </w:t>
      </w:r>
      <w:r w:rsidR="00F3074D">
        <w:rPr>
          <w:color w:val="000000"/>
        </w:rPr>
        <w:t xml:space="preserve">does not include an area where the species formerly occurred or has the potential to be reintroduced </w:t>
      </w:r>
      <w:r w:rsidR="00F3074D">
        <w:rPr>
          <w:color w:val="000000"/>
          <w:u w:val="single"/>
        </w:rPr>
        <w:t>unless existing members of the species depend on that area to carry on their life processes</w:t>
      </w:r>
      <w:r w:rsidR="00F3074D">
        <w:rPr>
          <w:color w:val="000000"/>
        </w:rPr>
        <w:t>.</w:t>
      </w:r>
      <w:r w:rsidR="003B323D">
        <w:rPr>
          <w:color w:val="000000"/>
        </w:rPr>
        <w:t>”</w:t>
      </w:r>
    </w:p>
    <w:p w14:paraId="4F836DA5" w14:textId="305BC26F" w:rsidR="15D90F29" w:rsidRDefault="15D90F29" w:rsidP="00771F1F">
      <w:pPr>
        <w:pStyle w:val="WSParaNum"/>
        <w:numPr>
          <w:ilvl w:val="0"/>
          <w:numId w:val="0"/>
        </w:numPr>
        <w:ind w:firstLine="720"/>
        <w:jc w:val="both"/>
        <w:rPr>
          <w:rFonts w:eastAsia="Arial"/>
          <w:color w:val="000000"/>
        </w:rPr>
      </w:pPr>
      <w:r>
        <w:t>[Emphasis added]</w:t>
      </w:r>
    </w:p>
    <w:p w14:paraId="369389BC" w14:textId="379ADA2D" w:rsidR="00970A5F" w:rsidRDefault="4909DF12" w:rsidP="00771F1F">
      <w:pPr>
        <w:pStyle w:val="WSParaNum"/>
        <w:numPr>
          <w:ilvl w:val="0"/>
          <w:numId w:val="0"/>
        </w:numPr>
        <w:ind w:firstLine="720"/>
        <w:jc w:val="both"/>
        <w:rPr>
          <w:rFonts w:eastAsia="Arial"/>
          <w:color w:val="000000"/>
          <w:sz w:val="20"/>
          <w:szCs w:val="20"/>
        </w:rPr>
      </w:pPr>
      <w:r w:rsidRPr="3A8E187A">
        <w:rPr>
          <w:i/>
          <w:sz w:val="20"/>
          <w:szCs w:val="20"/>
        </w:rPr>
        <w:t>ESA</w:t>
      </w:r>
      <w:r w:rsidRPr="3A8E187A">
        <w:rPr>
          <w:sz w:val="20"/>
          <w:szCs w:val="20"/>
        </w:rPr>
        <w:t xml:space="preserve">, </w:t>
      </w:r>
      <w:r w:rsidRPr="3A8E187A">
        <w:rPr>
          <w:i/>
          <w:sz w:val="20"/>
          <w:szCs w:val="20"/>
        </w:rPr>
        <w:t xml:space="preserve">supra </w:t>
      </w:r>
      <w:r w:rsidRPr="3A8E187A">
        <w:rPr>
          <w:sz w:val="20"/>
          <w:szCs w:val="20"/>
        </w:rPr>
        <w:t>para 2, s 2(2).</w:t>
      </w:r>
      <w:r w:rsidRPr="4909DF12">
        <w:rPr>
          <w:sz w:val="20"/>
          <w:szCs w:val="20"/>
        </w:rPr>
        <w:t xml:space="preserve"> </w:t>
      </w:r>
    </w:p>
    <w:p w14:paraId="18BBFFDD" w14:textId="6E558D1C" w:rsidR="4909DF12" w:rsidRDefault="4D2A7F8C" w:rsidP="00771F1F">
      <w:pPr>
        <w:pStyle w:val="WSParaNum"/>
        <w:jc w:val="both"/>
      </w:pPr>
      <w:r>
        <w:rPr>
          <w:color w:val="000000"/>
        </w:rPr>
        <w:t xml:space="preserve">Environmental statutes that define habitat by reference to indirect dependence, including the </w:t>
      </w:r>
      <w:r>
        <w:rPr>
          <w:i/>
          <w:color w:val="000000"/>
        </w:rPr>
        <w:t>ESA</w:t>
      </w:r>
      <w:r>
        <w:rPr>
          <w:color w:val="000000"/>
        </w:rPr>
        <w:t xml:space="preserve">, do not require proof of the physical presence of a protected species using the area for life processes at the time of an alleged offence. The inclusion of “indirect dependence” in section 2(1)(b) of the </w:t>
      </w:r>
      <w:r>
        <w:rPr>
          <w:i/>
          <w:color w:val="000000"/>
        </w:rPr>
        <w:t>ESA</w:t>
      </w:r>
      <w:r>
        <w:rPr>
          <w:color w:val="000000"/>
        </w:rPr>
        <w:t xml:space="preserve"> captures areas that sustain the conditions necessary for life processes, even where the processes themselves are not physically carried out in the impugned area. The statutory definition of “habitat” thus requires, at minimum, proof that existing Blanding’s turtles indirectly depended on the Site to carry on their life processes at the relevant time. </w:t>
      </w:r>
    </w:p>
    <w:p w14:paraId="3F1FB4ED" w14:textId="73CAFDC8" w:rsidR="4909DF12" w:rsidRDefault="4D2A7F8C" w:rsidP="00771F1F">
      <w:pPr>
        <w:pStyle w:val="WSParaNum"/>
        <w:numPr>
          <w:ilvl w:val="0"/>
          <w:numId w:val="0"/>
        </w:numPr>
        <w:ind w:firstLine="720"/>
        <w:jc w:val="both"/>
        <w:rPr>
          <w:sz w:val="20"/>
          <w:szCs w:val="20"/>
          <w:lang w:val="en-US"/>
        </w:rPr>
      </w:pPr>
      <w:r w:rsidRPr="4D2A7F8C">
        <w:rPr>
          <w:i/>
          <w:iCs/>
          <w:sz w:val="20"/>
          <w:szCs w:val="20"/>
          <w:lang w:val="en-US"/>
        </w:rPr>
        <w:t xml:space="preserve">ESA, supra </w:t>
      </w:r>
      <w:r w:rsidRPr="4D2A7F8C">
        <w:rPr>
          <w:sz w:val="20"/>
          <w:szCs w:val="20"/>
          <w:lang w:val="en-US"/>
        </w:rPr>
        <w:t>para 2, s 2(1)(b).</w:t>
      </w:r>
    </w:p>
    <w:p w14:paraId="60C5DA45" w14:textId="7CB695AF" w:rsidR="70A0F321" w:rsidRDefault="123A9755" w:rsidP="00771F1F">
      <w:pPr>
        <w:pStyle w:val="WSParaNum"/>
        <w:numPr>
          <w:ilvl w:val="0"/>
          <w:numId w:val="0"/>
        </w:numPr>
        <w:ind w:firstLine="720"/>
        <w:jc w:val="both"/>
        <w:rPr>
          <w:sz w:val="20"/>
          <w:szCs w:val="20"/>
        </w:rPr>
      </w:pPr>
      <w:r w:rsidRPr="123A9755">
        <w:rPr>
          <w:i/>
          <w:iCs/>
          <w:sz w:val="20"/>
          <w:szCs w:val="20"/>
          <w:lang w:val="en-US"/>
        </w:rPr>
        <w:t xml:space="preserve">South Bruce, supra </w:t>
      </w:r>
      <w:r w:rsidRPr="123A9755">
        <w:rPr>
          <w:sz w:val="20"/>
          <w:szCs w:val="20"/>
          <w:lang w:val="en-US"/>
        </w:rPr>
        <w:t xml:space="preserve">para </w:t>
      </w:r>
      <w:r w:rsidR="009E1CFE">
        <w:rPr>
          <w:sz w:val="20"/>
          <w:szCs w:val="20"/>
          <w:lang w:val="en-US"/>
        </w:rPr>
        <w:t>35</w:t>
      </w:r>
      <w:r w:rsidRPr="123A9755">
        <w:rPr>
          <w:sz w:val="20"/>
          <w:szCs w:val="20"/>
          <w:lang w:val="en-US"/>
        </w:rPr>
        <w:t xml:space="preserve"> </w:t>
      </w:r>
      <w:r w:rsidRPr="123A9755">
        <w:rPr>
          <w:sz w:val="20"/>
          <w:szCs w:val="20"/>
        </w:rPr>
        <w:t>at paras 26, 31–35.</w:t>
      </w:r>
    </w:p>
    <w:p w14:paraId="6B90B8E3" w14:textId="2374C541" w:rsidR="3DF03CE7" w:rsidRDefault="123A9755" w:rsidP="00771F1F">
      <w:pPr>
        <w:pStyle w:val="WSParaNum"/>
        <w:jc w:val="both"/>
        <w:rPr>
          <w:color w:val="000000"/>
          <w:lang w:val="en-US"/>
        </w:rPr>
      </w:pPr>
      <w:r w:rsidRPr="123A9755">
        <w:rPr>
          <w:lang w:val="en-US"/>
        </w:rPr>
        <w:t>I</w:t>
      </w:r>
      <w:r>
        <w:rPr>
          <w:color w:val="000000"/>
          <w:lang w:val="en-US"/>
        </w:rPr>
        <w:t xml:space="preserve">n </w:t>
      </w:r>
      <w:r w:rsidRPr="123A9755">
        <w:rPr>
          <w:i/>
          <w:iCs/>
          <w:lang w:val="en-US"/>
        </w:rPr>
        <w:t>Ontario (Natural Resources and Forestry) v South Bruce Peninsula (Town)</w:t>
      </w:r>
      <w:r w:rsidRPr="123A9755">
        <w:rPr>
          <w:lang w:val="en-US"/>
        </w:rPr>
        <w:t>, 2022 ONCA 315 (“</w:t>
      </w:r>
      <w:r w:rsidRPr="123A9755">
        <w:rPr>
          <w:b/>
          <w:bCs/>
          <w:i/>
          <w:iCs/>
          <w:lang w:val="en-US"/>
        </w:rPr>
        <w:t>South Bruce</w:t>
      </w:r>
      <w:r w:rsidRPr="123A9755">
        <w:rPr>
          <w:lang w:val="en-US"/>
        </w:rPr>
        <w:t>”)</w:t>
      </w:r>
      <w:r>
        <w:rPr>
          <w:color w:val="000000"/>
          <w:lang w:val="en-US"/>
        </w:rPr>
        <w:t xml:space="preserve">, ONCA confirmed that indirect dependence under section 2 of the </w:t>
      </w:r>
      <w:r>
        <w:rPr>
          <w:i/>
          <w:color w:val="000000"/>
          <w:lang w:val="en-US"/>
        </w:rPr>
        <w:t xml:space="preserve">ESA </w:t>
      </w:r>
      <w:r>
        <w:rPr>
          <w:color w:val="000000"/>
          <w:lang w:val="en-US"/>
        </w:rPr>
        <w:t xml:space="preserve">can be established by demonstrating the existence of essential features </w:t>
      </w:r>
      <w:r w:rsidR="003C0928">
        <w:rPr>
          <w:color w:val="000000"/>
          <w:lang w:val="en-US"/>
        </w:rPr>
        <w:t>that support</w:t>
      </w:r>
      <w:r>
        <w:rPr>
          <w:color w:val="000000"/>
          <w:lang w:val="en-US"/>
        </w:rPr>
        <w:t xml:space="preserve"> the life processes of an endangered species based on expert evidence. The Court held that Piping Plover habitat was damaged when essential features for nesting, foraging, and shelter were removed before the birds returned from migration. The raking of an area known to contain such features was sufficient to ground liability under section 2 and 10 of the </w:t>
      </w:r>
      <w:r>
        <w:rPr>
          <w:i/>
          <w:color w:val="000000"/>
          <w:lang w:val="en-US"/>
        </w:rPr>
        <w:t>ESA</w:t>
      </w:r>
      <w:r>
        <w:rPr>
          <w:color w:val="000000"/>
          <w:lang w:val="en-US"/>
        </w:rPr>
        <w:t xml:space="preserve">, notwithstanding the absence of any active use by the species at the time of the offence. Relying on expert evidence, the Court concluded that the habitat was damaged within the meaning of the </w:t>
      </w:r>
      <w:r>
        <w:rPr>
          <w:i/>
          <w:color w:val="000000"/>
          <w:lang w:val="en-US"/>
        </w:rPr>
        <w:t xml:space="preserve">ESA </w:t>
      </w:r>
      <w:r>
        <w:rPr>
          <w:color w:val="000000"/>
          <w:lang w:val="en-US"/>
        </w:rPr>
        <w:t xml:space="preserve">because the physical alterations rendered it “less attractive, useful or valuable” from the species’ perspective. </w:t>
      </w:r>
    </w:p>
    <w:p w14:paraId="5AF88694" w14:textId="34F15496" w:rsidR="70A0F321" w:rsidRDefault="123A9755" w:rsidP="00771F1F">
      <w:pPr>
        <w:pStyle w:val="WSParaNum"/>
        <w:numPr>
          <w:ilvl w:val="0"/>
          <w:numId w:val="0"/>
        </w:numPr>
        <w:ind w:left="720"/>
        <w:jc w:val="both"/>
        <w:rPr>
          <w:sz w:val="20"/>
          <w:szCs w:val="20"/>
          <w:lang w:val="en-US"/>
        </w:rPr>
      </w:pPr>
      <w:r w:rsidRPr="123A9755">
        <w:rPr>
          <w:i/>
          <w:iCs/>
          <w:sz w:val="20"/>
          <w:szCs w:val="20"/>
          <w:lang w:val="en-US"/>
        </w:rPr>
        <w:t>South Bruce, supra</w:t>
      </w:r>
      <w:r w:rsidRPr="123A9755">
        <w:rPr>
          <w:sz w:val="20"/>
          <w:szCs w:val="20"/>
          <w:lang w:val="en-US"/>
        </w:rPr>
        <w:t xml:space="preserve"> para </w:t>
      </w:r>
      <w:r w:rsidR="009E1CFE">
        <w:rPr>
          <w:sz w:val="20"/>
          <w:szCs w:val="20"/>
          <w:lang w:val="en-US"/>
        </w:rPr>
        <w:t>35</w:t>
      </w:r>
      <w:r w:rsidRPr="123A9755">
        <w:rPr>
          <w:sz w:val="20"/>
          <w:szCs w:val="20"/>
          <w:lang w:val="en-US"/>
        </w:rPr>
        <w:t xml:space="preserve"> at paras 20–35, 65.</w:t>
      </w:r>
    </w:p>
    <w:p w14:paraId="0289CF0B" w14:textId="0F0E7415" w:rsidR="59D49C46" w:rsidRDefault="59D49C46" w:rsidP="59D49C46">
      <w:pPr>
        <w:pStyle w:val="WSParaNum"/>
        <w:spacing w:before="0" w:after="0"/>
        <w:jc w:val="both"/>
        <w:rPr>
          <w:color w:val="000000"/>
          <w:lang w:val="en-US"/>
        </w:rPr>
      </w:pPr>
      <w:r>
        <w:rPr>
          <w:color w:val="000000"/>
          <w:lang w:val="en-US"/>
        </w:rPr>
        <w:lastRenderedPageBreak/>
        <w:t>The grubbing in the present case similarly interfered with features on which Blanding’s turtles indirectly depend, as established by Mr. Snell’s expert evidence and the GHD.</w:t>
      </w:r>
    </w:p>
    <w:p w14:paraId="72D619DC" w14:textId="62B8AB7E" w:rsidR="4909DF12" w:rsidRPr="009E1CFE" w:rsidRDefault="00F56FFD" w:rsidP="00771F1F">
      <w:pPr>
        <w:pStyle w:val="WSParaNum"/>
        <w:numPr>
          <w:ilvl w:val="0"/>
          <w:numId w:val="0"/>
        </w:numPr>
        <w:ind w:firstLine="720"/>
        <w:jc w:val="both"/>
        <w:rPr>
          <w:color w:val="000000"/>
          <w:sz w:val="20"/>
          <w:szCs w:val="20"/>
          <w:lang w:val="en-US"/>
        </w:rPr>
      </w:pPr>
      <w:r w:rsidRPr="009E1CFE">
        <w:rPr>
          <w:sz w:val="20"/>
          <w:szCs w:val="20"/>
          <w:lang w:val="en-US"/>
        </w:rPr>
        <w:t xml:space="preserve">Trial Decision, </w:t>
      </w:r>
      <w:r w:rsidRPr="009E1CFE">
        <w:rPr>
          <w:i/>
          <w:iCs/>
          <w:sz w:val="20"/>
          <w:szCs w:val="20"/>
          <w:lang w:val="en-US"/>
        </w:rPr>
        <w:t>supra</w:t>
      </w:r>
      <w:r w:rsidRPr="009E1CFE">
        <w:rPr>
          <w:sz w:val="20"/>
          <w:szCs w:val="20"/>
          <w:lang w:val="en-US"/>
        </w:rPr>
        <w:t xml:space="preserve"> para 9</w:t>
      </w:r>
      <w:r w:rsidR="00771F1F" w:rsidRPr="009E1CFE">
        <w:rPr>
          <w:sz w:val="20"/>
          <w:szCs w:val="20"/>
        </w:rPr>
        <w:t xml:space="preserve"> </w:t>
      </w:r>
      <w:r w:rsidR="4909DF12" w:rsidRPr="009E1CFE">
        <w:rPr>
          <w:sz w:val="20"/>
          <w:szCs w:val="20"/>
          <w:lang w:val="en-US"/>
        </w:rPr>
        <w:t>at 5</w:t>
      </w:r>
      <w:r w:rsidR="00CA6DEC" w:rsidRPr="009E1CFE">
        <w:rPr>
          <w:sz w:val="20"/>
          <w:szCs w:val="20"/>
          <w:lang w:val="en-US"/>
        </w:rPr>
        <w:t>–</w:t>
      </w:r>
      <w:r w:rsidR="4909DF12" w:rsidRPr="009E1CFE">
        <w:rPr>
          <w:sz w:val="20"/>
          <w:szCs w:val="20"/>
          <w:lang w:val="en-US"/>
        </w:rPr>
        <w:t>7.</w:t>
      </w:r>
    </w:p>
    <w:p w14:paraId="0CEE567A" w14:textId="4AD3D986" w:rsidR="68577CE2" w:rsidRDefault="4D2A7F8C" w:rsidP="00155778">
      <w:pPr>
        <w:pStyle w:val="WSParaNum"/>
        <w:jc w:val="both"/>
        <w:rPr>
          <w:color w:val="000000"/>
          <w:lang w:val="en-US"/>
        </w:rPr>
      </w:pPr>
      <w:r>
        <w:rPr>
          <w:color w:val="000000"/>
          <w:lang w:val="en-US"/>
        </w:rPr>
        <w:t>Ontario courts</w:t>
      </w:r>
      <w:r w:rsidR="1B82AFAD">
        <w:rPr>
          <w:color w:val="000000"/>
          <w:lang w:val="en-US"/>
        </w:rPr>
        <w:t xml:space="preserve"> look</w:t>
      </w:r>
      <w:r>
        <w:rPr>
          <w:color w:val="000000"/>
          <w:lang w:val="en-US"/>
        </w:rPr>
        <w:t xml:space="preserve"> to the </w:t>
      </w:r>
      <w:r>
        <w:rPr>
          <w:i/>
          <w:color w:val="000000"/>
          <w:lang w:val="en-US"/>
        </w:rPr>
        <w:t>Fisheries Act</w:t>
      </w:r>
      <w:r>
        <w:rPr>
          <w:color w:val="000000"/>
          <w:lang w:val="en-US"/>
        </w:rPr>
        <w:t>, RSC 1985, c F-14 (“</w:t>
      </w:r>
      <w:r>
        <w:rPr>
          <w:b/>
          <w:i/>
          <w:color w:val="000000"/>
          <w:lang w:val="en-US"/>
        </w:rPr>
        <w:t>Fisheries Act</w:t>
      </w:r>
      <w:r>
        <w:rPr>
          <w:color w:val="000000"/>
          <w:lang w:val="en-US"/>
        </w:rPr>
        <w:t xml:space="preserve">”) when interpreting analogous provisions of the </w:t>
      </w:r>
      <w:r>
        <w:rPr>
          <w:i/>
          <w:color w:val="000000"/>
          <w:lang w:val="en-US"/>
        </w:rPr>
        <w:t>ESA</w:t>
      </w:r>
      <w:r>
        <w:rPr>
          <w:color w:val="000000"/>
          <w:lang w:val="en-US"/>
        </w:rPr>
        <w:t xml:space="preserve">. Section 2(1) of the </w:t>
      </w:r>
      <w:r>
        <w:rPr>
          <w:i/>
          <w:color w:val="000000"/>
          <w:lang w:val="en-US"/>
        </w:rPr>
        <w:t>Fisheries Act</w:t>
      </w:r>
      <w:r>
        <w:rPr>
          <w:color w:val="000000"/>
          <w:lang w:val="en-US"/>
        </w:rPr>
        <w:t xml:space="preserve"> defines “fish habitat” to include not only waters frequented by fish, but also areas on which “fish depend, directly or indirectly, to carry out their life processes.” Interpretations of this definition focus on the purpose and functional utility of an area for fish, rather than requiring proof that fish were physically present at a precise location at the time of an alleged offence. </w:t>
      </w:r>
      <w:r w:rsidRPr="4D2A7F8C">
        <w:rPr>
          <w:lang w:val="en-US"/>
        </w:rPr>
        <w:t xml:space="preserve">This approach reinforces an expansive and purposive interpretation of habitat pursuant to section 2(1)(b) of the </w:t>
      </w:r>
      <w:r w:rsidRPr="4D2A7F8C">
        <w:rPr>
          <w:i/>
          <w:iCs/>
          <w:lang w:val="en-US"/>
        </w:rPr>
        <w:t>ESA</w:t>
      </w:r>
      <w:r w:rsidRPr="4D2A7F8C">
        <w:rPr>
          <w:lang w:val="en-US"/>
        </w:rPr>
        <w:t xml:space="preserve"> such that areas sustaining the conditions essential to Blanding’s turtles may qualify as habitat without contemporaneous presence or use.</w:t>
      </w:r>
    </w:p>
    <w:p w14:paraId="2BDE719D" w14:textId="1E72E037" w:rsidR="70A0F321" w:rsidRDefault="123A9755" w:rsidP="00155778">
      <w:pPr>
        <w:pStyle w:val="WSParaNum"/>
        <w:numPr>
          <w:ilvl w:val="0"/>
          <w:numId w:val="0"/>
        </w:numPr>
        <w:ind w:left="720"/>
        <w:jc w:val="both"/>
        <w:rPr>
          <w:sz w:val="20"/>
          <w:szCs w:val="20"/>
          <w:lang w:val="en-US"/>
        </w:rPr>
      </w:pPr>
      <w:r w:rsidRPr="123A9755">
        <w:rPr>
          <w:i/>
          <w:iCs/>
          <w:sz w:val="20"/>
          <w:szCs w:val="20"/>
          <w:lang w:val="en-US"/>
        </w:rPr>
        <w:t>South Bruce, supra</w:t>
      </w:r>
      <w:r w:rsidRPr="123A9755">
        <w:rPr>
          <w:sz w:val="20"/>
          <w:szCs w:val="20"/>
          <w:lang w:val="en-US"/>
        </w:rPr>
        <w:t xml:space="preserve"> para 3</w:t>
      </w:r>
      <w:r w:rsidR="009E1CFE">
        <w:rPr>
          <w:sz w:val="20"/>
          <w:szCs w:val="20"/>
          <w:lang w:val="en-US"/>
        </w:rPr>
        <w:t>5</w:t>
      </w:r>
      <w:r w:rsidRPr="123A9755">
        <w:rPr>
          <w:sz w:val="20"/>
          <w:szCs w:val="20"/>
          <w:lang w:val="en-US"/>
        </w:rPr>
        <w:t xml:space="preserve"> at para 20.</w:t>
      </w:r>
    </w:p>
    <w:p w14:paraId="57B470A4" w14:textId="2038AD00" w:rsidR="70A0F321" w:rsidRDefault="4909DF12" w:rsidP="00155778">
      <w:pPr>
        <w:pStyle w:val="WSParaNum"/>
        <w:numPr>
          <w:ilvl w:val="0"/>
          <w:numId w:val="0"/>
        </w:numPr>
        <w:ind w:firstLine="720"/>
        <w:jc w:val="both"/>
        <w:rPr>
          <w:sz w:val="20"/>
          <w:szCs w:val="20"/>
          <w:lang w:val="en-US"/>
        </w:rPr>
      </w:pPr>
      <w:r w:rsidRPr="4909DF12">
        <w:rPr>
          <w:i/>
          <w:iCs/>
          <w:sz w:val="20"/>
          <w:szCs w:val="20"/>
          <w:lang w:val="en-US"/>
        </w:rPr>
        <w:t>Fisheries Act</w:t>
      </w:r>
      <w:r w:rsidRPr="4909DF12">
        <w:rPr>
          <w:sz w:val="20"/>
          <w:szCs w:val="20"/>
          <w:lang w:val="en-US"/>
        </w:rPr>
        <w:t>, RSC 1985, c F-14, s 2(1).</w:t>
      </w:r>
    </w:p>
    <w:p w14:paraId="0FC2963E" w14:textId="350AC36B" w:rsidR="56990F6C" w:rsidRPr="009E1CFE" w:rsidRDefault="00F56FFD" w:rsidP="00155778">
      <w:pPr>
        <w:pStyle w:val="WSParaNum"/>
        <w:numPr>
          <w:ilvl w:val="0"/>
          <w:numId w:val="0"/>
        </w:numPr>
        <w:ind w:firstLine="720"/>
        <w:jc w:val="both"/>
        <w:rPr>
          <w:sz w:val="20"/>
          <w:szCs w:val="20"/>
          <w:lang w:val="en-US"/>
        </w:rPr>
      </w:pPr>
      <w:r w:rsidRPr="009E1CFE">
        <w:rPr>
          <w:i/>
          <w:iCs/>
          <w:sz w:val="20"/>
          <w:szCs w:val="20"/>
          <w:lang w:val="en-US"/>
        </w:rPr>
        <w:t>ESA</w:t>
      </w:r>
      <w:r w:rsidRPr="009E1CFE">
        <w:rPr>
          <w:sz w:val="20"/>
          <w:szCs w:val="20"/>
          <w:lang w:val="en-US"/>
        </w:rPr>
        <w:t xml:space="preserve">, </w:t>
      </w:r>
      <w:r w:rsidRPr="009E1CFE">
        <w:rPr>
          <w:i/>
          <w:iCs/>
          <w:sz w:val="20"/>
          <w:szCs w:val="20"/>
          <w:lang w:val="en-US"/>
        </w:rPr>
        <w:t>supra</w:t>
      </w:r>
      <w:r w:rsidRPr="009E1CFE">
        <w:rPr>
          <w:sz w:val="20"/>
          <w:szCs w:val="20"/>
          <w:lang w:val="en-US"/>
        </w:rPr>
        <w:t xml:space="preserve"> para 2</w:t>
      </w:r>
      <w:r w:rsidR="16277B6E" w:rsidRPr="009E1CFE">
        <w:rPr>
          <w:sz w:val="20"/>
          <w:szCs w:val="20"/>
          <w:lang w:val="en-US"/>
        </w:rPr>
        <w:t>, s 2(1)(b).</w:t>
      </w:r>
    </w:p>
    <w:p w14:paraId="53B014A0" w14:textId="297E208A" w:rsidR="0ADC23E3" w:rsidRDefault="4D2A7F8C" w:rsidP="00155778">
      <w:pPr>
        <w:pStyle w:val="WSParaNum"/>
        <w:jc w:val="both"/>
        <w:rPr>
          <w:color w:val="000000"/>
          <w:lang w:val="en-US"/>
        </w:rPr>
      </w:pPr>
      <w:r>
        <w:rPr>
          <w:color w:val="000000"/>
          <w:lang w:val="en-US"/>
        </w:rPr>
        <w:t xml:space="preserve">In </w:t>
      </w:r>
      <w:r>
        <w:rPr>
          <w:i/>
          <w:color w:val="000000"/>
          <w:lang w:val="en-US"/>
        </w:rPr>
        <w:t>R v Sutherland</w:t>
      </w:r>
      <w:r>
        <w:rPr>
          <w:color w:val="000000"/>
          <w:lang w:val="en-US"/>
        </w:rPr>
        <w:t>, 2010 ONSC 2240, the Court accepted that a wetland constituted an area “on which fish depend” based on expert evidence about its suitability and functional role within an interconnected ecological aquatic system. The statutory definition of “fish habitat” was held to be sufficiently broad to encompass a creek, marshy wetland, and lake as related components of a single system supporting fish life cycles. I</w:t>
      </w:r>
      <w:r w:rsidRPr="4D2A7F8C">
        <w:rPr>
          <w:lang w:val="en-US"/>
        </w:rPr>
        <w:t>n the absence of direct evidence of fish physically using an exact square metre of wetland, the Court still found that it was fish habitat because of indirect dependence based on habitat connectivity and its function for spawning, nursing, rearing, and supplying food.</w:t>
      </w:r>
      <w:r>
        <w:rPr>
          <w:color w:val="000000"/>
          <w:lang w:val="en-US"/>
        </w:rPr>
        <w:t xml:space="preserve"> This reasoning supports an expansive interpretation of habitat pursuant to the </w:t>
      </w:r>
      <w:r>
        <w:rPr>
          <w:i/>
          <w:color w:val="000000"/>
          <w:lang w:val="en-US"/>
        </w:rPr>
        <w:t xml:space="preserve">ESA </w:t>
      </w:r>
      <w:r>
        <w:rPr>
          <w:color w:val="000000"/>
          <w:lang w:val="en-US"/>
        </w:rPr>
        <w:t>that includes indirect dependence proven by connection to direct habitat.</w:t>
      </w:r>
    </w:p>
    <w:p w14:paraId="1B328E43" w14:textId="22D1A147" w:rsidR="70A0F321" w:rsidRDefault="4909DF12" w:rsidP="007E432E">
      <w:pPr>
        <w:pStyle w:val="WSParaNum"/>
        <w:numPr>
          <w:ilvl w:val="0"/>
          <w:numId w:val="0"/>
        </w:numPr>
        <w:ind w:firstLine="720"/>
        <w:jc w:val="both"/>
        <w:rPr>
          <w:sz w:val="20"/>
          <w:szCs w:val="20"/>
          <w:lang w:val="en-US"/>
        </w:rPr>
      </w:pPr>
      <w:r w:rsidRPr="4909DF12">
        <w:rPr>
          <w:i/>
          <w:iCs/>
          <w:sz w:val="20"/>
          <w:szCs w:val="20"/>
          <w:lang w:val="en-US"/>
        </w:rPr>
        <w:t>R v Sutherland</w:t>
      </w:r>
      <w:r w:rsidRPr="4909DF12">
        <w:rPr>
          <w:sz w:val="20"/>
          <w:szCs w:val="20"/>
          <w:lang w:val="en-US"/>
        </w:rPr>
        <w:t>, 2010 ONSC 2240 at paras 53, 77, 87</w:t>
      </w:r>
      <w:r w:rsidR="00CA6DEC">
        <w:rPr>
          <w:sz w:val="20"/>
          <w:szCs w:val="20"/>
          <w:lang w:val="en-US"/>
        </w:rPr>
        <w:t>–</w:t>
      </w:r>
      <w:r w:rsidRPr="4909DF12">
        <w:rPr>
          <w:sz w:val="20"/>
          <w:szCs w:val="20"/>
          <w:lang w:val="en-US"/>
        </w:rPr>
        <w:t>94.</w:t>
      </w:r>
    </w:p>
    <w:p w14:paraId="301F1B67" w14:textId="5E9976D0" w:rsidR="70A0F321" w:rsidRDefault="4D2A7F8C" w:rsidP="54ED07DF">
      <w:pPr>
        <w:pStyle w:val="WSParaNum"/>
        <w:spacing w:before="0" w:after="0"/>
        <w:jc w:val="both"/>
        <w:rPr>
          <w:lang w:val="en-US"/>
        </w:rPr>
      </w:pPr>
      <w:r w:rsidRPr="4D2A7F8C">
        <w:rPr>
          <w:lang w:val="en-US"/>
        </w:rPr>
        <w:t xml:space="preserve">In </w:t>
      </w:r>
      <w:r w:rsidRPr="4D2A7F8C">
        <w:rPr>
          <w:i/>
          <w:iCs/>
          <w:lang w:val="en-US"/>
        </w:rPr>
        <w:t>R v</w:t>
      </w:r>
      <w:r w:rsidRPr="4D2A7F8C">
        <w:rPr>
          <w:lang w:val="en-US"/>
        </w:rPr>
        <w:t xml:space="preserve"> </w:t>
      </w:r>
      <w:r w:rsidRPr="4D2A7F8C">
        <w:rPr>
          <w:i/>
          <w:iCs/>
          <w:lang w:val="en-US"/>
        </w:rPr>
        <w:t>Zuber</w:t>
      </w:r>
      <w:r w:rsidRPr="4D2A7F8C">
        <w:rPr>
          <w:lang w:val="en-US"/>
        </w:rPr>
        <w:t xml:space="preserve">, 2004 CanLII 2549 (ON SC) the phrase “on which fish depend” was interpreted to mean “on which actual fish </w:t>
      </w:r>
      <w:r w:rsidRPr="4D2A7F8C">
        <w:rPr>
          <w:u w:val="single"/>
          <w:lang w:val="en-US"/>
        </w:rPr>
        <w:t>normally</w:t>
      </w:r>
      <w:r w:rsidRPr="00AE09E3">
        <w:rPr>
          <w:lang w:val="en-US"/>
        </w:rPr>
        <w:t xml:space="preserve"> </w:t>
      </w:r>
      <w:r w:rsidRPr="4D2A7F8C">
        <w:rPr>
          <w:lang w:val="en-US"/>
        </w:rPr>
        <w:t>use” [emphasis added] for spawning grounds, nurseries, rearing, food supply, or migration. The Court found</w:t>
      </w:r>
      <w:r>
        <w:t xml:space="preserve"> a root system was habitat because the fish in a nearby lake relied on it for food and shelter, meaning that removal of the stumps was </w:t>
      </w:r>
      <w:r>
        <w:lastRenderedPageBreak/>
        <w:t xml:space="preserve">an alteration or destruction of fish habitat. </w:t>
      </w:r>
      <w:r w:rsidRPr="4D2A7F8C">
        <w:rPr>
          <w:lang w:val="en-US"/>
        </w:rPr>
        <w:t>The Court</w:t>
      </w:r>
      <w:r w:rsidRPr="4D2A7F8C">
        <w:rPr>
          <w:i/>
          <w:iCs/>
          <w:lang w:val="en-US"/>
        </w:rPr>
        <w:t xml:space="preserve"> </w:t>
      </w:r>
      <w:r w:rsidRPr="4D2A7F8C">
        <w:rPr>
          <w:lang w:val="en-US"/>
        </w:rPr>
        <w:t xml:space="preserve">endorses this </w:t>
      </w:r>
      <w:r w:rsidR="52F1F073" w:rsidRPr="52F1F073">
        <w:rPr>
          <w:lang w:val="en-US"/>
        </w:rPr>
        <w:t>expansive definition</w:t>
      </w:r>
      <w:r w:rsidRPr="4D2A7F8C">
        <w:rPr>
          <w:lang w:val="en-US"/>
        </w:rPr>
        <w:t xml:space="preserve"> of fish habitat by confirming that “the Crown does not have to prove that identifiable fish are using the area.” </w:t>
      </w:r>
      <w:r>
        <w:rPr>
          <w:color w:val="000000"/>
          <w:lang w:val="en-US"/>
        </w:rPr>
        <w:t xml:space="preserve">This reasoning confirms that proof of indirect dependence by a protected species, rather than contemporaneous physical presence, is sufficient to meet the definition of habitat that includes indirect dependence in the </w:t>
      </w:r>
      <w:r>
        <w:rPr>
          <w:i/>
          <w:color w:val="000000"/>
          <w:lang w:val="en-US"/>
        </w:rPr>
        <w:t>ESA</w:t>
      </w:r>
      <w:r>
        <w:rPr>
          <w:color w:val="000000"/>
          <w:lang w:val="en-US"/>
        </w:rPr>
        <w:t>.</w:t>
      </w:r>
    </w:p>
    <w:p w14:paraId="475E5826" w14:textId="27DB3418" w:rsidR="4909DF12" w:rsidRDefault="4909DF12" w:rsidP="4909DF12">
      <w:pPr>
        <w:pStyle w:val="WSParaNum"/>
        <w:numPr>
          <w:ilvl w:val="0"/>
          <w:numId w:val="0"/>
        </w:numPr>
        <w:ind w:firstLine="720"/>
        <w:rPr>
          <w:sz w:val="20"/>
          <w:szCs w:val="20"/>
          <w:lang w:val="en-US"/>
        </w:rPr>
      </w:pPr>
      <w:r w:rsidRPr="4909DF12">
        <w:rPr>
          <w:i/>
          <w:iCs/>
          <w:sz w:val="20"/>
          <w:szCs w:val="20"/>
          <w:lang w:val="en-US"/>
        </w:rPr>
        <w:t>R v Zuber</w:t>
      </w:r>
      <w:r w:rsidRPr="4909DF12">
        <w:rPr>
          <w:sz w:val="20"/>
          <w:szCs w:val="20"/>
          <w:lang w:val="en-US"/>
        </w:rPr>
        <w:t>, 2004 CanLII 2549 (ON SC) at paras 15</w:t>
      </w:r>
      <w:r w:rsidR="00CA6DEC">
        <w:rPr>
          <w:sz w:val="20"/>
          <w:szCs w:val="20"/>
          <w:lang w:val="en-US"/>
        </w:rPr>
        <w:t>–</w:t>
      </w:r>
      <w:r w:rsidRPr="4909DF12">
        <w:rPr>
          <w:sz w:val="20"/>
          <w:szCs w:val="20"/>
          <w:lang w:val="en-US"/>
        </w:rPr>
        <w:t>19.</w:t>
      </w:r>
    </w:p>
    <w:p w14:paraId="6248D824" w14:textId="1E5671CA" w:rsidR="443824D1" w:rsidRDefault="4D2A7F8C" w:rsidP="443824D1">
      <w:pPr>
        <w:pStyle w:val="WSParaNum"/>
        <w:spacing w:before="0" w:after="0"/>
        <w:jc w:val="both"/>
        <w:rPr>
          <w:color w:val="000000"/>
          <w:lang w:val="en-US"/>
        </w:rPr>
      </w:pPr>
      <w:r>
        <w:rPr>
          <w:color w:val="000000"/>
          <w:lang w:val="en-US"/>
        </w:rPr>
        <w:t xml:space="preserve">Defining a protected species’ habitat in the remedial environmental context requires a broad and purposive interpretation that encompasses areas of indirect dependence. </w:t>
      </w:r>
      <w:r w:rsidRPr="4D2A7F8C">
        <w:rPr>
          <w:lang w:val="en-US"/>
        </w:rPr>
        <w:t>Habitat connectivity and the presence of features essential to the species’ life processes are relevant considerations in assessing indirect dependence, even where the species is not physically present or actively using the impugned area at the time of the offence.</w:t>
      </w:r>
      <w:r>
        <w:rPr>
          <w:color w:val="000000"/>
          <w:lang w:val="en-US"/>
        </w:rPr>
        <w:t xml:space="preserve"> This is the approach the Trial Justice took in the present case.</w:t>
      </w:r>
    </w:p>
    <w:p w14:paraId="07981081" w14:textId="1E92B232" w:rsidR="140AEA97" w:rsidRDefault="00F56FFD" w:rsidP="007E432E">
      <w:pPr>
        <w:pStyle w:val="WSParaNum"/>
        <w:numPr>
          <w:ilvl w:val="0"/>
          <w:numId w:val="0"/>
        </w:numPr>
        <w:ind w:left="720"/>
        <w:jc w:val="both"/>
        <w:rPr>
          <w:sz w:val="20"/>
          <w:szCs w:val="20"/>
          <w:highlight w:val="yellow"/>
          <w:lang w:val="en-US"/>
        </w:rPr>
      </w:pPr>
      <w:r w:rsidRPr="009E1CFE">
        <w:rPr>
          <w:sz w:val="20"/>
          <w:szCs w:val="20"/>
          <w:lang w:val="en-US"/>
        </w:rPr>
        <w:t xml:space="preserve">Trial Decision, </w:t>
      </w:r>
      <w:r w:rsidRPr="009E1CFE">
        <w:rPr>
          <w:i/>
          <w:iCs/>
          <w:sz w:val="20"/>
          <w:szCs w:val="20"/>
          <w:lang w:val="en-US"/>
        </w:rPr>
        <w:t>supra</w:t>
      </w:r>
      <w:r w:rsidRPr="009E1CFE">
        <w:rPr>
          <w:sz w:val="20"/>
          <w:szCs w:val="20"/>
          <w:lang w:val="en-US"/>
        </w:rPr>
        <w:t xml:space="preserve"> para 9</w:t>
      </w:r>
      <w:r w:rsidR="007E432E" w:rsidRPr="009E1CFE">
        <w:rPr>
          <w:sz w:val="20"/>
          <w:szCs w:val="20"/>
          <w:lang w:val="en-US"/>
        </w:rPr>
        <w:t xml:space="preserve"> </w:t>
      </w:r>
      <w:r w:rsidR="4909DF12" w:rsidRPr="009E1CFE">
        <w:rPr>
          <w:sz w:val="20"/>
          <w:szCs w:val="20"/>
          <w:lang w:val="en-US"/>
        </w:rPr>
        <w:t>at</w:t>
      </w:r>
      <w:r w:rsidR="4909DF12" w:rsidRPr="4909DF12">
        <w:rPr>
          <w:sz w:val="20"/>
          <w:szCs w:val="20"/>
          <w:lang w:val="en-US"/>
        </w:rPr>
        <w:t xml:space="preserve"> 2</w:t>
      </w:r>
      <w:r w:rsidR="00CA6DEC">
        <w:rPr>
          <w:sz w:val="20"/>
          <w:szCs w:val="20"/>
          <w:lang w:val="en-US"/>
        </w:rPr>
        <w:t>–</w:t>
      </w:r>
      <w:r w:rsidR="4909DF12" w:rsidRPr="4909DF12">
        <w:rPr>
          <w:sz w:val="20"/>
          <w:szCs w:val="20"/>
          <w:lang w:val="en-US"/>
        </w:rPr>
        <w:t>6, 12</w:t>
      </w:r>
      <w:r w:rsidR="00CA6DEC">
        <w:rPr>
          <w:sz w:val="20"/>
          <w:szCs w:val="20"/>
          <w:lang w:val="en-US"/>
        </w:rPr>
        <w:t>–</w:t>
      </w:r>
      <w:r w:rsidR="4909DF12" w:rsidRPr="4909DF12">
        <w:rPr>
          <w:sz w:val="20"/>
          <w:szCs w:val="20"/>
          <w:lang w:val="en-US"/>
        </w:rPr>
        <w:t>13.</w:t>
      </w:r>
    </w:p>
    <w:p w14:paraId="1AA5D845" w14:textId="38DB64C8" w:rsidR="006448DD" w:rsidRPr="006448DD" w:rsidRDefault="4D2A7F8C" w:rsidP="51FDE51E">
      <w:pPr>
        <w:pStyle w:val="WSParaNum"/>
        <w:spacing w:before="0" w:after="0"/>
        <w:jc w:val="both"/>
      </w:pPr>
      <w:r>
        <w:rPr>
          <w:color w:val="000000"/>
        </w:rPr>
        <w:t xml:space="preserve">Conversely, the OCJ concluded that section 2 of the </w:t>
      </w:r>
      <w:r>
        <w:rPr>
          <w:i/>
          <w:color w:val="000000"/>
        </w:rPr>
        <w:t xml:space="preserve">ESA </w:t>
      </w:r>
      <w:r>
        <w:rPr>
          <w:color w:val="000000"/>
        </w:rPr>
        <w:t xml:space="preserve">defines habitat in a manner that excludes areas where a species formerly occurred or might potentially be reintroduced. It characterizes these areas as “potential habitat.” In doing so, the OCJ conflates the exclusion of “potential habitat” in section 2(2) of the </w:t>
      </w:r>
      <w:r>
        <w:rPr>
          <w:i/>
          <w:color w:val="000000"/>
        </w:rPr>
        <w:t xml:space="preserve">ESA </w:t>
      </w:r>
      <w:r>
        <w:rPr>
          <w:color w:val="000000"/>
        </w:rPr>
        <w:t>with the concept of “indirect dependence” expressly captured by section 2(1)(b).</w:t>
      </w:r>
    </w:p>
    <w:p w14:paraId="6C81276C" w14:textId="2D4902CA" w:rsidR="4909DF12" w:rsidRPr="009E1CFE" w:rsidRDefault="4909DF12" w:rsidP="007E432E">
      <w:pPr>
        <w:pStyle w:val="WSParaNum"/>
        <w:numPr>
          <w:ilvl w:val="0"/>
          <w:numId w:val="0"/>
        </w:numPr>
        <w:ind w:firstLine="720"/>
        <w:jc w:val="both"/>
        <w:rPr>
          <w:sz w:val="20"/>
          <w:szCs w:val="20"/>
          <w:lang w:val="en-US"/>
        </w:rPr>
      </w:pPr>
      <w:r w:rsidRPr="009E1CFE">
        <w:rPr>
          <w:sz w:val="20"/>
          <w:szCs w:val="20"/>
          <w:lang w:val="en-US"/>
        </w:rPr>
        <w:t xml:space="preserve">OCJ Decision, </w:t>
      </w:r>
      <w:r w:rsidRPr="009E1CFE">
        <w:rPr>
          <w:i/>
          <w:iCs/>
          <w:sz w:val="20"/>
          <w:szCs w:val="20"/>
          <w:lang w:val="en-US"/>
        </w:rPr>
        <w:t>supra</w:t>
      </w:r>
      <w:r w:rsidR="007E432E" w:rsidRPr="009E1CFE">
        <w:rPr>
          <w:sz w:val="20"/>
          <w:szCs w:val="20"/>
          <w:lang w:val="en-US"/>
        </w:rPr>
        <w:t xml:space="preserve"> para </w:t>
      </w:r>
      <w:r w:rsidR="009E1CFE">
        <w:rPr>
          <w:sz w:val="20"/>
          <w:szCs w:val="20"/>
          <w:lang w:val="en-US"/>
        </w:rPr>
        <w:t>8</w:t>
      </w:r>
      <w:r w:rsidR="007E432E" w:rsidRPr="009E1CFE">
        <w:rPr>
          <w:sz w:val="20"/>
          <w:szCs w:val="20"/>
          <w:lang w:val="en-US"/>
        </w:rPr>
        <w:t xml:space="preserve"> </w:t>
      </w:r>
      <w:r w:rsidRPr="009E1CFE">
        <w:rPr>
          <w:sz w:val="20"/>
          <w:szCs w:val="20"/>
          <w:lang w:val="en-US"/>
        </w:rPr>
        <w:t>at 7</w:t>
      </w:r>
      <w:r w:rsidR="00CA6DEC" w:rsidRPr="009E1CFE">
        <w:rPr>
          <w:sz w:val="20"/>
          <w:szCs w:val="20"/>
          <w:lang w:val="en-US"/>
        </w:rPr>
        <w:t>–</w:t>
      </w:r>
      <w:r w:rsidRPr="009E1CFE">
        <w:rPr>
          <w:sz w:val="20"/>
          <w:szCs w:val="20"/>
          <w:lang w:val="en-US"/>
        </w:rPr>
        <w:t>8, 11</w:t>
      </w:r>
      <w:r w:rsidR="00CA6DEC" w:rsidRPr="009E1CFE">
        <w:rPr>
          <w:sz w:val="20"/>
          <w:szCs w:val="20"/>
          <w:lang w:val="en-US"/>
        </w:rPr>
        <w:t>–</w:t>
      </w:r>
      <w:r w:rsidRPr="009E1CFE">
        <w:rPr>
          <w:sz w:val="20"/>
          <w:szCs w:val="20"/>
          <w:lang w:val="en-US"/>
        </w:rPr>
        <w:t>18.</w:t>
      </w:r>
    </w:p>
    <w:p w14:paraId="5F2F19F1" w14:textId="103DA05D" w:rsidR="56E1F06D" w:rsidRDefault="4D2A7F8C" w:rsidP="56E1F06D">
      <w:pPr>
        <w:pStyle w:val="WSParaNum"/>
        <w:spacing w:before="0" w:after="0"/>
        <w:jc w:val="both"/>
      </w:pPr>
      <w:r>
        <w:rPr>
          <w:color w:val="000000"/>
          <w:lang w:val="en-US"/>
        </w:rPr>
        <w:t xml:space="preserve">Potential habitat in section 2(2) of the </w:t>
      </w:r>
      <w:r>
        <w:rPr>
          <w:i/>
          <w:color w:val="000000"/>
          <w:lang w:val="en-US"/>
        </w:rPr>
        <w:t xml:space="preserve">ESA </w:t>
      </w:r>
      <w:r>
        <w:rPr>
          <w:color w:val="000000"/>
          <w:lang w:val="en-US"/>
        </w:rPr>
        <w:t xml:space="preserve">refers to areas that were formerly used as habitat or possess habitat-like characteristics, but where a species is no longer found anywhere in the vicinity. By contrast, indirect dependence encompasses areas that are presently relied upon by nearby Blanding’s turtles to carry out essential life processes. These are distinct statutory concepts, and the exclusion of the former does not foreclose consideration of the latter under the modern approach to statutory interpretation. </w:t>
      </w:r>
    </w:p>
    <w:p w14:paraId="47363BC8" w14:textId="7A256B38" w:rsidR="70A0F321" w:rsidRPr="009E1CFE" w:rsidRDefault="00F56FFD" w:rsidP="007E432E">
      <w:pPr>
        <w:pStyle w:val="WSParaNum"/>
        <w:numPr>
          <w:ilvl w:val="0"/>
          <w:numId w:val="0"/>
        </w:numPr>
        <w:ind w:firstLine="720"/>
        <w:jc w:val="both"/>
        <w:rPr>
          <w:sz w:val="20"/>
          <w:szCs w:val="20"/>
          <w:lang w:val="en-US"/>
        </w:rPr>
      </w:pPr>
      <w:r w:rsidRPr="009E1CFE">
        <w:rPr>
          <w:i/>
          <w:iCs/>
          <w:sz w:val="20"/>
          <w:szCs w:val="20"/>
        </w:rPr>
        <w:t>ESA</w:t>
      </w:r>
      <w:r w:rsidRPr="009E1CFE">
        <w:rPr>
          <w:sz w:val="20"/>
          <w:szCs w:val="20"/>
        </w:rPr>
        <w:t xml:space="preserve">, </w:t>
      </w:r>
      <w:r w:rsidRPr="009E1CFE">
        <w:rPr>
          <w:i/>
          <w:iCs/>
          <w:sz w:val="20"/>
          <w:szCs w:val="20"/>
        </w:rPr>
        <w:t>supra</w:t>
      </w:r>
      <w:r w:rsidRPr="009E1CFE">
        <w:rPr>
          <w:sz w:val="20"/>
          <w:szCs w:val="20"/>
        </w:rPr>
        <w:t xml:space="preserve"> para 2</w:t>
      </w:r>
      <w:r w:rsidR="4D2A7F8C" w:rsidRPr="009E1CFE">
        <w:rPr>
          <w:sz w:val="20"/>
          <w:szCs w:val="20"/>
        </w:rPr>
        <w:t>, s 2.</w:t>
      </w:r>
    </w:p>
    <w:p w14:paraId="014ACB60" w14:textId="53CCE9E1" w:rsidR="70A0F321" w:rsidRPr="001D0D73" w:rsidRDefault="4909DF12" w:rsidP="007E432E">
      <w:pPr>
        <w:pStyle w:val="WSParaNum"/>
        <w:numPr>
          <w:ilvl w:val="0"/>
          <w:numId w:val="0"/>
        </w:numPr>
        <w:ind w:firstLine="720"/>
        <w:jc w:val="both"/>
        <w:rPr>
          <w:sz w:val="20"/>
          <w:szCs w:val="20"/>
          <w:lang w:val="en-US"/>
        </w:rPr>
      </w:pPr>
      <w:r w:rsidRPr="001D0D73">
        <w:rPr>
          <w:sz w:val="20"/>
          <w:szCs w:val="20"/>
          <w:lang w:val="en-US"/>
        </w:rPr>
        <w:t xml:space="preserve">OCJ Decision, </w:t>
      </w:r>
      <w:r w:rsidRPr="001D0D73">
        <w:rPr>
          <w:i/>
          <w:iCs/>
          <w:sz w:val="20"/>
          <w:szCs w:val="20"/>
          <w:lang w:val="en-US"/>
        </w:rPr>
        <w:t xml:space="preserve">supra </w:t>
      </w:r>
      <w:r w:rsidR="007E432E" w:rsidRPr="001D0D73">
        <w:rPr>
          <w:sz w:val="20"/>
          <w:szCs w:val="20"/>
          <w:lang w:val="en-US"/>
        </w:rPr>
        <w:t xml:space="preserve">para </w:t>
      </w:r>
      <w:r w:rsidR="009E1CFE" w:rsidRPr="001D0D73">
        <w:rPr>
          <w:sz w:val="20"/>
          <w:szCs w:val="20"/>
          <w:lang w:val="en-US"/>
        </w:rPr>
        <w:t>8</w:t>
      </w:r>
      <w:r w:rsidRPr="001D0D73">
        <w:rPr>
          <w:sz w:val="20"/>
          <w:szCs w:val="20"/>
          <w:lang w:val="en-US"/>
        </w:rPr>
        <w:t xml:space="preserve"> at 8, 15, and 17</w:t>
      </w:r>
      <w:r w:rsidR="00CA6DEC" w:rsidRPr="001D0D73">
        <w:rPr>
          <w:sz w:val="20"/>
          <w:szCs w:val="20"/>
          <w:lang w:val="en-US"/>
        </w:rPr>
        <w:t>–</w:t>
      </w:r>
      <w:r w:rsidRPr="001D0D73">
        <w:rPr>
          <w:sz w:val="20"/>
          <w:szCs w:val="20"/>
          <w:lang w:val="en-US"/>
        </w:rPr>
        <w:t xml:space="preserve">18. </w:t>
      </w:r>
    </w:p>
    <w:p w14:paraId="046E1441" w14:textId="1B5075AB" w:rsidR="70A0F321" w:rsidRPr="001D0D73" w:rsidRDefault="4909DF12" w:rsidP="007E432E">
      <w:pPr>
        <w:pStyle w:val="WSParaNum"/>
        <w:numPr>
          <w:ilvl w:val="0"/>
          <w:numId w:val="0"/>
        </w:numPr>
        <w:ind w:firstLine="720"/>
        <w:jc w:val="both"/>
        <w:rPr>
          <w:sz w:val="20"/>
          <w:szCs w:val="20"/>
          <w:lang w:val="en-US"/>
        </w:rPr>
      </w:pPr>
      <w:r w:rsidRPr="001D0D73">
        <w:rPr>
          <w:i/>
          <w:iCs/>
          <w:sz w:val="20"/>
          <w:szCs w:val="20"/>
          <w:lang w:val="en-US"/>
        </w:rPr>
        <w:t>Rizzo Shoes, supra</w:t>
      </w:r>
      <w:r w:rsidRPr="001D0D73">
        <w:rPr>
          <w:sz w:val="20"/>
          <w:szCs w:val="20"/>
          <w:lang w:val="en-US"/>
        </w:rPr>
        <w:t xml:space="preserve"> </w:t>
      </w:r>
      <w:r w:rsidR="007E432E" w:rsidRPr="001D0D73">
        <w:rPr>
          <w:sz w:val="20"/>
          <w:szCs w:val="20"/>
          <w:lang w:val="en-US"/>
        </w:rPr>
        <w:t xml:space="preserve">para </w:t>
      </w:r>
      <w:r w:rsidR="001D0D73" w:rsidRPr="001D0D73">
        <w:rPr>
          <w:sz w:val="20"/>
          <w:szCs w:val="20"/>
          <w:lang w:val="en-US"/>
        </w:rPr>
        <w:t>51</w:t>
      </w:r>
      <w:r w:rsidR="001D0D73">
        <w:rPr>
          <w:sz w:val="20"/>
          <w:szCs w:val="20"/>
          <w:lang w:val="en-US"/>
        </w:rPr>
        <w:t>.</w:t>
      </w:r>
    </w:p>
    <w:p w14:paraId="2FBB5CBD" w14:textId="2D95EF47" w:rsidR="559CA2F1" w:rsidRDefault="0921FFFD" w:rsidP="00905DDB">
      <w:pPr>
        <w:pStyle w:val="WSParaNum"/>
        <w:jc w:val="both"/>
        <w:rPr>
          <w:color w:val="000000"/>
          <w:lang w:val="en-US"/>
        </w:rPr>
      </w:pPr>
      <w:r>
        <w:rPr>
          <w:color w:val="000000"/>
          <w:lang w:val="en-US"/>
        </w:rPr>
        <w:lastRenderedPageBreak/>
        <w:t>Therefore</w:t>
      </w:r>
      <w:r w:rsidR="559CA2F1">
        <w:rPr>
          <w:color w:val="000000"/>
          <w:lang w:val="en-US"/>
        </w:rPr>
        <w:t xml:space="preserve">, the Appellant submits that the OCJ misinterpreted the </w:t>
      </w:r>
      <w:r w:rsidR="559CA2F1">
        <w:rPr>
          <w:i/>
          <w:color w:val="000000"/>
          <w:lang w:val="en-US"/>
        </w:rPr>
        <w:t>ESA</w:t>
      </w:r>
      <w:r w:rsidR="559CA2F1">
        <w:rPr>
          <w:color w:val="000000"/>
          <w:lang w:val="en-US"/>
        </w:rPr>
        <w:t xml:space="preserve">’s definition of habitat by relying on the exclusion of “potential habitat” in </w:t>
      </w:r>
      <w:r w:rsidR="43F414F7">
        <w:rPr>
          <w:color w:val="000000"/>
          <w:lang w:val="en-US"/>
        </w:rPr>
        <w:t>section</w:t>
      </w:r>
      <w:r w:rsidR="559CA2F1">
        <w:rPr>
          <w:color w:val="000000"/>
          <w:lang w:val="en-US"/>
        </w:rPr>
        <w:t xml:space="preserve"> 2(2) as a basis for declining to assess whether the impugned area was indirectly relied upon by Blanding’s turtles within the meaning of </w:t>
      </w:r>
      <w:r w:rsidR="60C6F53A">
        <w:rPr>
          <w:color w:val="000000"/>
          <w:lang w:val="en-US"/>
        </w:rPr>
        <w:t>section</w:t>
      </w:r>
      <w:r w:rsidR="559CA2F1">
        <w:rPr>
          <w:color w:val="000000"/>
          <w:lang w:val="en-US"/>
        </w:rPr>
        <w:t xml:space="preserve"> 2(1)(b).</w:t>
      </w:r>
    </w:p>
    <w:p w14:paraId="7DF0483E" w14:textId="5F420A05" w:rsidR="00D05C8E" w:rsidRPr="00445110" w:rsidRDefault="6DCFAA61" w:rsidP="00905DDB">
      <w:pPr>
        <w:pStyle w:val="Heading3"/>
        <w:spacing w:before="120" w:after="120"/>
        <w:jc w:val="both"/>
        <w:rPr>
          <w:rFonts w:ascii="Times New Roman" w:hAnsi="Times New Roman"/>
          <w:b w:val="0"/>
          <w:sz w:val="24"/>
          <w:szCs w:val="24"/>
          <w:u w:val="single"/>
        </w:rPr>
      </w:pPr>
      <w:bookmarkStart w:id="54" w:name="_Toc218630725"/>
      <w:bookmarkStart w:id="55" w:name="_Toc218783943"/>
      <w:bookmarkStart w:id="56" w:name="_Toc218846584"/>
      <w:bookmarkStart w:id="57" w:name="_Toc218858286"/>
      <w:r w:rsidRPr="6DCFAA61">
        <w:rPr>
          <w:rFonts w:ascii="Times New Roman" w:hAnsi="Times New Roman"/>
          <w:b w:val="0"/>
          <w:bCs w:val="0"/>
          <w:sz w:val="24"/>
          <w:szCs w:val="24"/>
          <w:u w:val="single"/>
        </w:rPr>
        <w:t xml:space="preserve">The OCJ Erred by </w:t>
      </w:r>
      <w:r w:rsidR="46C363B9" w:rsidRPr="46C363B9">
        <w:rPr>
          <w:rFonts w:ascii="Times New Roman" w:hAnsi="Times New Roman"/>
          <w:b w:val="0"/>
          <w:bCs w:val="0"/>
          <w:sz w:val="24"/>
          <w:szCs w:val="24"/>
          <w:u w:val="single"/>
        </w:rPr>
        <w:t xml:space="preserve">Failing </w:t>
      </w:r>
      <w:r w:rsidR="46C363B9">
        <w:rPr>
          <w:rFonts w:ascii="Times New Roman" w:hAnsi="Times New Roman"/>
          <w:b w:val="0"/>
          <w:color w:val="000000"/>
          <w:sz w:val="24"/>
          <w:szCs w:val="24"/>
          <w:u w:val="single"/>
        </w:rPr>
        <w:t>to</w:t>
      </w:r>
      <w:r>
        <w:rPr>
          <w:rFonts w:ascii="Times New Roman" w:hAnsi="Times New Roman"/>
          <w:b w:val="0"/>
          <w:color w:val="000000"/>
          <w:sz w:val="24"/>
          <w:szCs w:val="24"/>
          <w:u w:val="single"/>
        </w:rPr>
        <w:t xml:space="preserve"> </w:t>
      </w:r>
      <w:r w:rsidR="4F290414">
        <w:rPr>
          <w:rFonts w:ascii="Times New Roman" w:hAnsi="Times New Roman"/>
          <w:b w:val="0"/>
          <w:color w:val="000000"/>
          <w:sz w:val="24"/>
          <w:szCs w:val="24"/>
          <w:u w:val="single"/>
        </w:rPr>
        <w:t>Assess</w:t>
      </w:r>
      <w:r>
        <w:rPr>
          <w:rFonts w:ascii="Times New Roman" w:hAnsi="Times New Roman"/>
          <w:b w:val="0"/>
          <w:color w:val="000000"/>
          <w:sz w:val="24"/>
          <w:szCs w:val="24"/>
          <w:u w:val="single"/>
        </w:rPr>
        <w:t xml:space="preserve"> </w:t>
      </w:r>
      <w:r w:rsidR="2454CD96">
        <w:rPr>
          <w:rFonts w:ascii="Times New Roman" w:hAnsi="Times New Roman"/>
          <w:b w:val="0"/>
          <w:color w:val="000000"/>
          <w:sz w:val="24"/>
          <w:szCs w:val="24"/>
          <w:u w:val="single"/>
        </w:rPr>
        <w:t>Whether the Evidence Satisfies Indirect</w:t>
      </w:r>
      <w:r>
        <w:rPr>
          <w:rFonts w:ascii="Times New Roman" w:hAnsi="Times New Roman"/>
          <w:b w:val="0"/>
          <w:color w:val="000000"/>
          <w:sz w:val="24"/>
          <w:szCs w:val="24"/>
          <w:u w:val="single"/>
        </w:rPr>
        <w:t xml:space="preserve"> Dependence</w:t>
      </w:r>
      <w:bookmarkEnd w:id="54"/>
      <w:bookmarkEnd w:id="55"/>
      <w:bookmarkEnd w:id="56"/>
      <w:bookmarkEnd w:id="57"/>
      <w:r w:rsidR="4F290414">
        <w:rPr>
          <w:rFonts w:ascii="Times New Roman" w:hAnsi="Times New Roman"/>
          <w:b w:val="0"/>
          <w:color w:val="000000"/>
          <w:sz w:val="24"/>
          <w:szCs w:val="24"/>
          <w:u w:val="single"/>
        </w:rPr>
        <w:t xml:space="preserve"> </w:t>
      </w:r>
    </w:p>
    <w:p w14:paraId="66291CC3" w14:textId="420AC06D" w:rsidR="0212EF75" w:rsidRDefault="0212EF75" w:rsidP="00905DDB">
      <w:pPr>
        <w:pStyle w:val="WSParaNum"/>
        <w:jc w:val="both"/>
        <w:rPr>
          <w:color w:val="000000"/>
          <w:lang w:val="en-US"/>
        </w:rPr>
      </w:pPr>
      <w:r>
        <w:rPr>
          <w:color w:val="000000"/>
          <w:lang w:val="en-US"/>
        </w:rPr>
        <w:t xml:space="preserve">In applying the statutory definition of habitat, the OCJ further erred by failing to assess whether the evidence </w:t>
      </w:r>
      <w:r w:rsidR="6181D767">
        <w:rPr>
          <w:color w:val="000000"/>
          <w:lang w:val="en-US"/>
        </w:rPr>
        <w:t>satisfies</w:t>
      </w:r>
      <w:r>
        <w:rPr>
          <w:color w:val="000000"/>
          <w:lang w:val="en-US"/>
        </w:rPr>
        <w:t xml:space="preserve"> the </w:t>
      </w:r>
      <w:r w:rsidR="60C6F53A">
        <w:rPr>
          <w:color w:val="000000"/>
          <w:lang w:val="en-US"/>
        </w:rPr>
        <w:t>available</w:t>
      </w:r>
      <w:r w:rsidR="5AB00674">
        <w:rPr>
          <w:color w:val="000000"/>
          <w:lang w:val="en-US"/>
        </w:rPr>
        <w:t xml:space="preserve"> </w:t>
      </w:r>
      <w:r w:rsidR="56B9D480">
        <w:rPr>
          <w:color w:val="000000"/>
          <w:lang w:val="en-US"/>
        </w:rPr>
        <w:t xml:space="preserve">definition </w:t>
      </w:r>
      <w:r w:rsidR="5AB00674">
        <w:rPr>
          <w:color w:val="000000"/>
          <w:lang w:val="en-US"/>
        </w:rPr>
        <w:t>of</w:t>
      </w:r>
      <w:r>
        <w:rPr>
          <w:color w:val="000000"/>
          <w:lang w:val="en-US"/>
        </w:rPr>
        <w:t xml:space="preserve"> indirect dependence.</w:t>
      </w:r>
    </w:p>
    <w:p w14:paraId="7D883FA1" w14:textId="4E5E8731" w:rsidR="70A0F321" w:rsidRPr="001D0D73" w:rsidRDefault="4909DF12" w:rsidP="007E432E">
      <w:pPr>
        <w:pStyle w:val="WSParaNum"/>
        <w:numPr>
          <w:ilvl w:val="0"/>
          <w:numId w:val="0"/>
        </w:numPr>
        <w:ind w:firstLine="720"/>
        <w:jc w:val="both"/>
        <w:rPr>
          <w:sz w:val="20"/>
          <w:szCs w:val="20"/>
        </w:rPr>
      </w:pPr>
      <w:r w:rsidRPr="001D0D73">
        <w:rPr>
          <w:color w:val="000000"/>
          <w:sz w:val="20"/>
          <w:szCs w:val="20"/>
        </w:rPr>
        <w:t xml:space="preserve">OCJ Decision, </w:t>
      </w:r>
      <w:r w:rsidRPr="001D0D73">
        <w:rPr>
          <w:i/>
          <w:color w:val="000000"/>
          <w:sz w:val="20"/>
          <w:szCs w:val="20"/>
        </w:rPr>
        <w:t xml:space="preserve">supra </w:t>
      </w:r>
      <w:r w:rsidR="007E432E" w:rsidRPr="001D0D73">
        <w:rPr>
          <w:sz w:val="20"/>
          <w:szCs w:val="20"/>
          <w:lang w:val="en-US"/>
        </w:rPr>
        <w:t xml:space="preserve">para </w:t>
      </w:r>
      <w:r w:rsidR="001D0D73" w:rsidRPr="001D0D73">
        <w:rPr>
          <w:sz w:val="20"/>
          <w:szCs w:val="20"/>
          <w:lang w:val="en-US"/>
        </w:rPr>
        <w:t>8</w:t>
      </w:r>
      <w:r w:rsidR="007E432E" w:rsidRPr="001D0D73">
        <w:rPr>
          <w:sz w:val="20"/>
          <w:szCs w:val="20"/>
          <w:lang w:val="en-US"/>
        </w:rPr>
        <w:t xml:space="preserve"> </w:t>
      </w:r>
      <w:r w:rsidRPr="001D0D73">
        <w:rPr>
          <w:color w:val="000000"/>
          <w:sz w:val="20"/>
          <w:szCs w:val="20"/>
        </w:rPr>
        <w:t>at 10</w:t>
      </w:r>
      <w:r w:rsidR="00CA6DEC" w:rsidRPr="001D0D73">
        <w:rPr>
          <w:color w:val="000000"/>
          <w:sz w:val="20"/>
          <w:szCs w:val="20"/>
        </w:rPr>
        <w:t>–</w:t>
      </w:r>
      <w:r w:rsidRPr="001D0D73">
        <w:rPr>
          <w:color w:val="000000"/>
          <w:sz w:val="20"/>
          <w:szCs w:val="20"/>
        </w:rPr>
        <w:t xml:space="preserve">20. </w:t>
      </w:r>
      <w:r w:rsidRPr="001D0D73">
        <w:rPr>
          <w:sz w:val="20"/>
          <w:szCs w:val="20"/>
        </w:rPr>
        <w:t xml:space="preserve"> </w:t>
      </w:r>
    </w:p>
    <w:p w14:paraId="2510A93C" w14:textId="27657D32" w:rsidR="5B5E3AC8" w:rsidRDefault="4D2A7F8C" w:rsidP="5B5E3AC8">
      <w:pPr>
        <w:pStyle w:val="WSParaNum"/>
        <w:spacing w:before="0" w:after="0"/>
        <w:jc w:val="both"/>
        <w:rPr>
          <w:color w:val="000000"/>
        </w:rPr>
      </w:pPr>
      <w:r>
        <w:rPr>
          <w:color w:val="000000"/>
        </w:rPr>
        <w:t xml:space="preserve">Although the OCJ correctly recited the statutory definition of habitat under the </w:t>
      </w:r>
      <w:r>
        <w:rPr>
          <w:i/>
          <w:color w:val="000000"/>
        </w:rPr>
        <w:t>ESA</w:t>
      </w:r>
      <w:r>
        <w:rPr>
          <w:color w:val="000000"/>
        </w:rPr>
        <w:t>, it fails to appreciate that indirect dependence does not require physical proof Blanding’s turtles at the Site proximate in time to the alleged offence. Rather, the Crown is required to prove beyond a reasonable doubt that Blanding’s turtles existed in Circle Lake or the surrounding wetland complex, and that the Site provided features essential to their life processes.</w:t>
      </w:r>
    </w:p>
    <w:p w14:paraId="53978210" w14:textId="052029A1" w:rsidR="70A0F321" w:rsidRPr="001D0D73" w:rsidRDefault="4909DF12" w:rsidP="00180176">
      <w:pPr>
        <w:pStyle w:val="WSParaNum"/>
        <w:numPr>
          <w:ilvl w:val="0"/>
          <w:numId w:val="0"/>
        </w:numPr>
        <w:ind w:firstLine="720"/>
        <w:jc w:val="both"/>
        <w:rPr>
          <w:sz w:val="20"/>
          <w:szCs w:val="20"/>
        </w:rPr>
      </w:pPr>
      <w:r w:rsidRPr="001D0D73">
        <w:rPr>
          <w:sz w:val="20"/>
          <w:szCs w:val="20"/>
        </w:rPr>
        <w:t xml:space="preserve">OCJ Decision, </w:t>
      </w:r>
      <w:r w:rsidRPr="001D0D73">
        <w:rPr>
          <w:i/>
          <w:sz w:val="20"/>
          <w:szCs w:val="20"/>
        </w:rPr>
        <w:t>supra</w:t>
      </w:r>
      <w:r w:rsidR="007E432E" w:rsidRPr="001D0D73">
        <w:rPr>
          <w:sz w:val="20"/>
          <w:szCs w:val="20"/>
          <w:lang w:val="en-US"/>
        </w:rPr>
        <w:t xml:space="preserve"> para </w:t>
      </w:r>
      <w:r w:rsidR="001D0D73" w:rsidRPr="001D0D73">
        <w:rPr>
          <w:sz w:val="20"/>
          <w:szCs w:val="20"/>
          <w:lang w:val="en-US"/>
        </w:rPr>
        <w:t>8</w:t>
      </w:r>
      <w:r w:rsidRPr="001D0D73">
        <w:rPr>
          <w:i/>
          <w:sz w:val="20"/>
          <w:szCs w:val="20"/>
        </w:rPr>
        <w:t xml:space="preserve"> </w:t>
      </w:r>
      <w:r w:rsidRPr="001D0D73">
        <w:rPr>
          <w:sz w:val="20"/>
          <w:szCs w:val="20"/>
        </w:rPr>
        <w:t>at 11.</w:t>
      </w:r>
    </w:p>
    <w:p w14:paraId="2DB2F4D1" w14:textId="79CCC675" w:rsidR="70A0F321" w:rsidRPr="001D0D73" w:rsidRDefault="4909DF12" w:rsidP="00180176">
      <w:pPr>
        <w:pStyle w:val="WSParaNum"/>
        <w:numPr>
          <w:ilvl w:val="0"/>
          <w:numId w:val="0"/>
        </w:numPr>
        <w:ind w:firstLine="720"/>
        <w:jc w:val="both"/>
        <w:rPr>
          <w:sz w:val="20"/>
          <w:szCs w:val="20"/>
        </w:rPr>
      </w:pPr>
      <w:r w:rsidRPr="001D0D73">
        <w:rPr>
          <w:sz w:val="20"/>
          <w:szCs w:val="20"/>
        </w:rPr>
        <w:t xml:space="preserve">ONCA Decision, </w:t>
      </w:r>
      <w:r w:rsidRPr="001D0D73">
        <w:rPr>
          <w:i/>
          <w:sz w:val="20"/>
          <w:szCs w:val="20"/>
        </w:rPr>
        <w:t xml:space="preserve">supra </w:t>
      </w:r>
      <w:r w:rsidR="00180176" w:rsidRPr="001D0D73">
        <w:rPr>
          <w:sz w:val="20"/>
          <w:szCs w:val="20"/>
          <w:lang w:val="en-US"/>
        </w:rPr>
        <w:t xml:space="preserve">para </w:t>
      </w:r>
      <w:r w:rsidR="001D0D73" w:rsidRPr="001D0D73">
        <w:rPr>
          <w:sz w:val="20"/>
          <w:szCs w:val="20"/>
          <w:lang w:val="en-US"/>
        </w:rPr>
        <w:t>8</w:t>
      </w:r>
      <w:r w:rsidR="00180176" w:rsidRPr="001D0D73">
        <w:rPr>
          <w:sz w:val="20"/>
          <w:szCs w:val="20"/>
          <w:lang w:val="en-US"/>
        </w:rPr>
        <w:t xml:space="preserve"> </w:t>
      </w:r>
      <w:r w:rsidRPr="001D0D73">
        <w:rPr>
          <w:sz w:val="20"/>
          <w:szCs w:val="20"/>
        </w:rPr>
        <w:t>at paras 32</w:t>
      </w:r>
      <w:r w:rsidR="00CA6DEC" w:rsidRPr="001D0D73">
        <w:rPr>
          <w:sz w:val="20"/>
          <w:szCs w:val="20"/>
        </w:rPr>
        <w:t>–</w:t>
      </w:r>
      <w:r w:rsidRPr="001D0D73">
        <w:rPr>
          <w:sz w:val="20"/>
          <w:szCs w:val="20"/>
        </w:rPr>
        <w:t>36.</w:t>
      </w:r>
    </w:p>
    <w:p w14:paraId="5EEDBE65" w14:textId="2BBCCE6A" w:rsidR="55A60700" w:rsidRDefault="4D2A7F8C" w:rsidP="55A60700">
      <w:pPr>
        <w:pStyle w:val="WSParaNum"/>
        <w:spacing w:before="0" w:after="0"/>
        <w:jc w:val="both"/>
        <w:rPr>
          <w:color w:val="000000"/>
        </w:rPr>
      </w:pPr>
      <w:r>
        <w:rPr>
          <w:color w:val="000000"/>
        </w:rPr>
        <w:t xml:space="preserve">The Trial Justice found that this burden was met, concluding that the evidence supported a reasonable inference that Blanding’s turtles were continuously present in the Circle Lake area throughout the summer of 2018 and, at a minimum, were indirectly dependent on the Site. This conclusion was open to the Trial Justice, resting on a reasonably available circumstantial inference drawn from Mr. Snell’s expert evidence </w:t>
      </w:r>
      <w:r w:rsidR="448B3388">
        <w:rPr>
          <w:color w:val="000000"/>
        </w:rPr>
        <w:t>about</w:t>
      </w:r>
      <w:r>
        <w:rPr>
          <w:color w:val="000000"/>
        </w:rPr>
        <w:t xml:space="preserve"> the species’ 70–80-year lifespan, together with the “bookended” sightings from 2007, 2017, and 2020.</w:t>
      </w:r>
    </w:p>
    <w:p w14:paraId="71AC7D0E" w14:textId="0D9B1147" w:rsidR="70A0F321" w:rsidRDefault="00F56FFD" w:rsidP="00180176">
      <w:pPr>
        <w:pStyle w:val="WSParaNum"/>
        <w:numPr>
          <w:ilvl w:val="0"/>
          <w:numId w:val="0"/>
        </w:numPr>
        <w:ind w:firstLine="720"/>
        <w:jc w:val="both"/>
        <w:rPr>
          <w:sz w:val="20"/>
          <w:szCs w:val="20"/>
        </w:rPr>
      </w:pPr>
      <w:r w:rsidRPr="00F56FFD">
        <w:rPr>
          <w:sz w:val="20"/>
          <w:szCs w:val="20"/>
        </w:rPr>
        <w:t xml:space="preserve">Trial Decision, </w:t>
      </w:r>
      <w:r w:rsidRPr="001D0D73">
        <w:rPr>
          <w:i/>
          <w:iCs/>
          <w:sz w:val="20"/>
          <w:szCs w:val="20"/>
        </w:rPr>
        <w:t>supra</w:t>
      </w:r>
      <w:r w:rsidRPr="00F56FFD">
        <w:rPr>
          <w:sz w:val="20"/>
          <w:szCs w:val="20"/>
        </w:rPr>
        <w:t xml:space="preserve"> para 9</w:t>
      </w:r>
      <w:r w:rsidR="4909DF12" w:rsidRPr="4909DF12">
        <w:rPr>
          <w:i/>
          <w:iCs/>
          <w:sz w:val="20"/>
          <w:szCs w:val="20"/>
        </w:rPr>
        <w:t xml:space="preserve"> </w:t>
      </w:r>
      <w:r w:rsidR="4909DF12" w:rsidRPr="4909DF12">
        <w:rPr>
          <w:sz w:val="20"/>
          <w:szCs w:val="20"/>
        </w:rPr>
        <w:t>at 13</w:t>
      </w:r>
      <w:r w:rsidR="008E32CA">
        <w:rPr>
          <w:sz w:val="20"/>
          <w:szCs w:val="20"/>
        </w:rPr>
        <w:t>–</w:t>
      </w:r>
      <w:r w:rsidR="00CA6DEC">
        <w:rPr>
          <w:sz w:val="20"/>
          <w:szCs w:val="20"/>
        </w:rPr>
        <w:t>1</w:t>
      </w:r>
      <w:r w:rsidR="4909DF12" w:rsidRPr="4909DF12">
        <w:rPr>
          <w:sz w:val="20"/>
          <w:szCs w:val="20"/>
        </w:rPr>
        <w:t>4.</w:t>
      </w:r>
    </w:p>
    <w:p w14:paraId="4EF022AA" w14:textId="49A91611" w:rsidR="70A0F321" w:rsidRDefault="4909DF12" w:rsidP="00180176">
      <w:pPr>
        <w:pStyle w:val="WSParaNum"/>
        <w:numPr>
          <w:ilvl w:val="0"/>
          <w:numId w:val="0"/>
        </w:numPr>
        <w:ind w:firstLine="720"/>
        <w:jc w:val="both"/>
        <w:rPr>
          <w:sz w:val="20"/>
          <w:szCs w:val="20"/>
        </w:rPr>
      </w:pPr>
      <w:r w:rsidRPr="4909DF12">
        <w:rPr>
          <w:sz w:val="20"/>
          <w:szCs w:val="20"/>
        </w:rPr>
        <w:t xml:space="preserve">ONCA Decision, </w:t>
      </w:r>
      <w:r w:rsidRPr="4909DF12">
        <w:rPr>
          <w:i/>
          <w:iCs/>
          <w:sz w:val="20"/>
          <w:szCs w:val="20"/>
        </w:rPr>
        <w:t>supra</w:t>
      </w:r>
      <w:r w:rsidR="00180176" w:rsidRPr="00180176">
        <w:rPr>
          <w:sz w:val="20"/>
          <w:szCs w:val="20"/>
          <w:lang w:val="en-US"/>
        </w:rPr>
        <w:t xml:space="preserve"> para </w:t>
      </w:r>
      <w:r w:rsidR="001D0D73">
        <w:rPr>
          <w:sz w:val="20"/>
          <w:szCs w:val="20"/>
          <w:lang w:val="en-US"/>
        </w:rPr>
        <w:t>8</w:t>
      </w:r>
      <w:r w:rsidRPr="4909DF12">
        <w:rPr>
          <w:i/>
          <w:iCs/>
          <w:sz w:val="20"/>
          <w:szCs w:val="20"/>
        </w:rPr>
        <w:t xml:space="preserve"> </w:t>
      </w:r>
      <w:r w:rsidRPr="4909DF12">
        <w:rPr>
          <w:sz w:val="20"/>
          <w:szCs w:val="20"/>
        </w:rPr>
        <w:t>at paras 32</w:t>
      </w:r>
      <w:r w:rsidR="008E32CA">
        <w:rPr>
          <w:sz w:val="20"/>
          <w:szCs w:val="20"/>
        </w:rPr>
        <w:t>–</w:t>
      </w:r>
      <w:r w:rsidRPr="4909DF12">
        <w:rPr>
          <w:sz w:val="20"/>
          <w:szCs w:val="20"/>
        </w:rPr>
        <w:t>36.</w:t>
      </w:r>
    </w:p>
    <w:p w14:paraId="7CE7DABE" w14:textId="32C9F624" w:rsidR="70A0F321" w:rsidRDefault="4D2A7F8C" w:rsidP="4D2A7F8C">
      <w:pPr>
        <w:pStyle w:val="WSParaNum"/>
        <w:spacing w:before="0" w:after="0"/>
        <w:jc w:val="both"/>
        <w:rPr>
          <w:color w:val="000000"/>
        </w:rPr>
      </w:pPr>
      <w:r>
        <w:rPr>
          <w:color w:val="000000"/>
        </w:rPr>
        <w:t xml:space="preserve">In </w:t>
      </w:r>
      <w:r>
        <w:rPr>
          <w:i/>
          <w:color w:val="000000"/>
        </w:rPr>
        <w:t>Guelph (City) v Soltys</w:t>
      </w:r>
      <w:r>
        <w:rPr>
          <w:color w:val="000000"/>
        </w:rPr>
        <w:t xml:space="preserve">, 2009 CanLII 42449 (ON SC), the Court accepted a comparable circumstantial inference of indirect dependence by a threatened species when considering whether to grant an injunction. Although there was no direct evidence that a Jefferson Salamander was physically present in the impugned area, the Court relied on expert evidence and circumstantial evidence, including the discovery of a dead salamander capable of breeding with the species nearby, when identifying habitat under the </w:t>
      </w:r>
      <w:r>
        <w:rPr>
          <w:i/>
          <w:color w:val="000000"/>
        </w:rPr>
        <w:t>ESA</w:t>
      </w:r>
      <w:r>
        <w:rPr>
          <w:color w:val="000000"/>
        </w:rPr>
        <w:t xml:space="preserve">. Taken together, this evidence </w:t>
      </w:r>
      <w:r>
        <w:rPr>
          <w:color w:val="000000"/>
        </w:rPr>
        <w:lastRenderedPageBreak/>
        <w:t xml:space="preserve">supported a reasonable inference that the area was inhabited and used by Jefferson Salamanders for the life process of breeding sufficient to restrain construction activities. The absence of direct proof of presence or use at the relevant time did not automatically render the area potential habitat of the Jefferson Salamander pursuant to section 2(2) of the </w:t>
      </w:r>
      <w:r>
        <w:rPr>
          <w:i/>
          <w:color w:val="000000"/>
        </w:rPr>
        <w:t>ESA</w:t>
      </w:r>
      <w:r>
        <w:rPr>
          <w:color w:val="000000"/>
        </w:rPr>
        <w:t>.</w:t>
      </w:r>
    </w:p>
    <w:p w14:paraId="6CEF207C" w14:textId="28D66038" w:rsidR="70A0F321" w:rsidRDefault="4909DF12" w:rsidP="00180176">
      <w:pPr>
        <w:pStyle w:val="WSParaNum"/>
        <w:numPr>
          <w:ilvl w:val="0"/>
          <w:numId w:val="0"/>
        </w:numPr>
        <w:ind w:firstLine="720"/>
        <w:jc w:val="both"/>
        <w:rPr>
          <w:sz w:val="20"/>
          <w:szCs w:val="20"/>
        </w:rPr>
      </w:pPr>
      <w:r w:rsidRPr="4909DF12">
        <w:rPr>
          <w:i/>
          <w:iCs/>
          <w:sz w:val="20"/>
          <w:szCs w:val="20"/>
        </w:rPr>
        <w:t>Guelph (City) v Soltys</w:t>
      </w:r>
      <w:r w:rsidRPr="4909DF12">
        <w:rPr>
          <w:sz w:val="20"/>
          <w:szCs w:val="20"/>
        </w:rPr>
        <w:t>, 2009 CanLII 42449 (ON SC) at paras 9, 18-19, and 42-50 [</w:t>
      </w:r>
      <w:r w:rsidRPr="4909DF12">
        <w:rPr>
          <w:i/>
          <w:iCs/>
          <w:sz w:val="20"/>
          <w:szCs w:val="20"/>
        </w:rPr>
        <w:t>Soltys</w:t>
      </w:r>
      <w:r w:rsidRPr="4909DF12">
        <w:rPr>
          <w:sz w:val="20"/>
          <w:szCs w:val="20"/>
        </w:rPr>
        <w:t>].</w:t>
      </w:r>
    </w:p>
    <w:p w14:paraId="741566F3" w14:textId="1CA7EDE7" w:rsidR="1EA1A30C" w:rsidRDefault="1EA1A30C" w:rsidP="1EA1A30C">
      <w:pPr>
        <w:pStyle w:val="WSParaNum"/>
        <w:spacing w:before="0" w:after="0"/>
        <w:jc w:val="both"/>
      </w:pPr>
      <w:r>
        <w:rPr>
          <w:color w:val="000000"/>
          <w:lang w:val="en-US"/>
        </w:rPr>
        <w:t>Similarly, in the present case, the Trial Justice drew a reasonable factual inference that Blanding’s turtles were indirectly dependent on the Site based on expert evidence and historical sightings. That inference was squarely within the Trial Justice’s role as trier of fact and entitled to deference on appeal.</w:t>
      </w:r>
    </w:p>
    <w:p w14:paraId="7B6F05D8" w14:textId="45C5BA56" w:rsidR="70A0F321" w:rsidRPr="001D0D73" w:rsidRDefault="00F56FFD" w:rsidP="00180176">
      <w:pPr>
        <w:pStyle w:val="WSParaNum"/>
        <w:numPr>
          <w:ilvl w:val="0"/>
          <w:numId w:val="0"/>
        </w:numPr>
        <w:ind w:firstLine="720"/>
        <w:jc w:val="both"/>
        <w:rPr>
          <w:sz w:val="20"/>
          <w:szCs w:val="20"/>
        </w:rPr>
      </w:pPr>
      <w:r w:rsidRPr="001D0D73">
        <w:rPr>
          <w:sz w:val="20"/>
          <w:szCs w:val="20"/>
        </w:rPr>
        <w:t xml:space="preserve">Trial Decision, </w:t>
      </w:r>
      <w:r w:rsidRPr="001D0D73">
        <w:rPr>
          <w:i/>
          <w:iCs/>
          <w:sz w:val="20"/>
          <w:szCs w:val="20"/>
        </w:rPr>
        <w:t>supra</w:t>
      </w:r>
      <w:r w:rsidRPr="001D0D73">
        <w:rPr>
          <w:sz w:val="20"/>
          <w:szCs w:val="20"/>
        </w:rPr>
        <w:t xml:space="preserve"> para 9</w:t>
      </w:r>
      <w:r w:rsidR="4909DF12" w:rsidRPr="001D0D73">
        <w:rPr>
          <w:sz w:val="20"/>
          <w:szCs w:val="20"/>
        </w:rPr>
        <w:t xml:space="preserve"> at 2</w:t>
      </w:r>
      <w:r w:rsidR="00CA6DEC" w:rsidRPr="001D0D73">
        <w:rPr>
          <w:sz w:val="20"/>
          <w:szCs w:val="20"/>
        </w:rPr>
        <w:t>–</w:t>
      </w:r>
      <w:r w:rsidR="4909DF12" w:rsidRPr="001D0D73">
        <w:rPr>
          <w:sz w:val="20"/>
          <w:szCs w:val="20"/>
        </w:rPr>
        <w:t>9, 13</w:t>
      </w:r>
      <w:r w:rsidR="008E32CA" w:rsidRPr="001D0D73">
        <w:rPr>
          <w:sz w:val="20"/>
          <w:szCs w:val="20"/>
        </w:rPr>
        <w:t>–</w:t>
      </w:r>
      <w:r w:rsidR="4909DF12" w:rsidRPr="001D0D73">
        <w:rPr>
          <w:sz w:val="20"/>
          <w:szCs w:val="20"/>
        </w:rPr>
        <w:t xml:space="preserve">14. </w:t>
      </w:r>
    </w:p>
    <w:p w14:paraId="64B19D4D" w14:textId="1403EF07" w:rsidR="70A0F321" w:rsidRPr="001D0D73" w:rsidRDefault="4909DF12" w:rsidP="00180176">
      <w:pPr>
        <w:pStyle w:val="WSParaNum"/>
        <w:numPr>
          <w:ilvl w:val="0"/>
          <w:numId w:val="0"/>
        </w:numPr>
        <w:ind w:firstLine="720"/>
        <w:jc w:val="both"/>
        <w:rPr>
          <w:sz w:val="20"/>
          <w:szCs w:val="20"/>
        </w:rPr>
      </w:pPr>
      <w:r w:rsidRPr="001D0D73">
        <w:rPr>
          <w:sz w:val="20"/>
          <w:szCs w:val="20"/>
        </w:rPr>
        <w:t xml:space="preserve">ONCA Decision, </w:t>
      </w:r>
      <w:r w:rsidRPr="001D0D73">
        <w:rPr>
          <w:i/>
          <w:iCs/>
          <w:sz w:val="20"/>
          <w:szCs w:val="20"/>
        </w:rPr>
        <w:t xml:space="preserve">supra </w:t>
      </w:r>
      <w:r w:rsidR="00180176" w:rsidRPr="001D0D73">
        <w:rPr>
          <w:sz w:val="20"/>
          <w:szCs w:val="20"/>
          <w:lang w:val="en-US"/>
        </w:rPr>
        <w:t xml:space="preserve">para </w:t>
      </w:r>
      <w:r w:rsidR="001D0D73">
        <w:rPr>
          <w:sz w:val="20"/>
          <w:szCs w:val="20"/>
          <w:lang w:val="en-US"/>
        </w:rPr>
        <w:t>8</w:t>
      </w:r>
      <w:r w:rsidRPr="001D0D73">
        <w:rPr>
          <w:sz w:val="20"/>
          <w:szCs w:val="20"/>
        </w:rPr>
        <w:t xml:space="preserve"> at paras 31</w:t>
      </w:r>
      <w:r w:rsidR="00486BCF" w:rsidRPr="001D0D73">
        <w:rPr>
          <w:sz w:val="20"/>
          <w:szCs w:val="20"/>
        </w:rPr>
        <w:t>–</w:t>
      </w:r>
      <w:r w:rsidRPr="001D0D73">
        <w:rPr>
          <w:sz w:val="20"/>
          <w:szCs w:val="20"/>
        </w:rPr>
        <w:t xml:space="preserve">33. </w:t>
      </w:r>
    </w:p>
    <w:p w14:paraId="65571D52" w14:textId="2F6EBEB7" w:rsidR="762ACA9A" w:rsidRDefault="4D2A7F8C" w:rsidP="762ACA9A">
      <w:pPr>
        <w:pStyle w:val="WSParaNum"/>
        <w:spacing w:before="0" w:after="0"/>
        <w:jc w:val="both"/>
        <w:rPr>
          <w:color w:val="000000"/>
        </w:rPr>
      </w:pPr>
      <w:r>
        <w:rPr>
          <w:color w:val="000000"/>
        </w:rPr>
        <w:t xml:space="preserve">Conversely, the OCJ concluded that the evidence did not establish that “there were Blanding’s turtles anywhere in the vicinity of Circle Lake in the summer of 2018.” This finding relied largely on a concession by Mr. Snell in cross-examination that he did not “have any confirmation or proof” that the Site “was utilized for travel purposes, nesting, or thermogenic activities by Blanding’s turtles.” However, section 2(1)(b) of the </w:t>
      </w:r>
      <w:r>
        <w:rPr>
          <w:i/>
          <w:color w:val="000000"/>
        </w:rPr>
        <w:t xml:space="preserve">ESA </w:t>
      </w:r>
      <w:r>
        <w:rPr>
          <w:color w:val="000000"/>
        </w:rPr>
        <w:t>does not require proof that Blanding’s turtles actively “utilized” the Site at the relevant time. Rather, it requires proof that Blanding’s turtles existed nearby and depended on the Site, directly or indirectly, for essential life processes.</w:t>
      </w:r>
    </w:p>
    <w:p w14:paraId="3601A577" w14:textId="6869803F" w:rsidR="4909DF12" w:rsidRPr="001D0D73" w:rsidRDefault="123A9755" w:rsidP="00180176">
      <w:pPr>
        <w:pStyle w:val="WSParaNum"/>
        <w:numPr>
          <w:ilvl w:val="0"/>
          <w:numId w:val="0"/>
        </w:numPr>
        <w:ind w:firstLine="720"/>
        <w:jc w:val="both"/>
        <w:rPr>
          <w:sz w:val="20"/>
          <w:szCs w:val="20"/>
        </w:rPr>
      </w:pPr>
      <w:r w:rsidRPr="001D0D73">
        <w:rPr>
          <w:i/>
          <w:iCs/>
          <w:sz w:val="20"/>
          <w:szCs w:val="20"/>
          <w:lang w:val="en-US"/>
        </w:rPr>
        <w:t xml:space="preserve">South Bruce, supra </w:t>
      </w:r>
      <w:r w:rsidRPr="001D0D73">
        <w:rPr>
          <w:sz w:val="20"/>
          <w:szCs w:val="20"/>
          <w:lang w:val="en-US"/>
        </w:rPr>
        <w:t>para 3</w:t>
      </w:r>
      <w:r w:rsidR="001D0D73">
        <w:rPr>
          <w:sz w:val="20"/>
          <w:szCs w:val="20"/>
          <w:lang w:val="en-US"/>
        </w:rPr>
        <w:t>5</w:t>
      </w:r>
      <w:r w:rsidRPr="001D0D73">
        <w:rPr>
          <w:sz w:val="20"/>
          <w:szCs w:val="20"/>
          <w:lang w:val="en-US"/>
        </w:rPr>
        <w:t xml:space="preserve"> </w:t>
      </w:r>
      <w:r w:rsidRPr="001D0D73">
        <w:rPr>
          <w:sz w:val="20"/>
          <w:szCs w:val="20"/>
        </w:rPr>
        <w:t>at paras 26, 31–35.</w:t>
      </w:r>
    </w:p>
    <w:p w14:paraId="5E839D74" w14:textId="2216F646" w:rsidR="70A0F321" w:rsidRPr="001D0D73" w:rsidRDefault="4909DF12" w:rsidP="00180176">
      <w:pPr>
        <w:pStyle w:val="WSParaNum"/>
        <w:numPr>
          <w:ilvl w:val="0"/>
          <w:numId w:val="0"/>
        </w:numPr>
        <w:ind w:left="720"/>
        <w:jc w:val="both"/>
        <w:rPr>
          <w:sz w:val="20"/>
          <w:szCs w:val="20"/>
        </w:rPr>
      </w:pPr>
      <w:r w:rsidRPr="001D0D73">
        <w:rPr>
          <w:sz w:val="20"/>
          <w:szCs w:val="20"/>
        </w:rPr>
        <w:t xml:space="preserve">OCJ Decision, </w:t>
      </w:r>
      <w:r w:rsidRPr="001D0D73">
        <w:rPr>
          <w:i/>
          <w:iCs/>
          <w:sz w:val="20"/>
          <w:szCs w:val="20"/>
        </w:rPr>
        <w:t>supra</w:t>
      </w:r>
      <w:r w:rsidR="00180176" w:rsidRPr="001D0D73">
        <w:rPr>
          <w:sz w:val="20"/>
          <w:szCs w:val="20"/>
          <w:lang w:val="en-US"/>
        </w:rPr>
        <w:t xml:space="preserve"> para </w:t>
      </w:r>
      <w:r w:rsidR="001D0D73" w:rsidRPr="001D0D73">
        <w:rPr>
          <w:sz w:val="20"/>
          <w:szCs w:val="20"/>
          <w:lang w:val="en-US"/>
        </w:rPr>
        <w:t>8</w:t>
      </w:r>
      <w:r w:rsidRPr="001D0D73">
        <w:rPr>
          <w:i/>
          <w:iCs/>
          <w:sz w:val="20"/>
          <w:szCs w:val="20"/>
        </w:rPr>
        <w:t xml:space="preserve"> </w:t>
      </w:r>
      <w:r w:rsidRPr="001D0D73">
        <w:rPr>
          <w:sz w:val="20"/>
          <w:szCs w:val="20"/>
        </w:rPr>
        <w:t>at 14.</w:t>
      </w:r>
      <w:r w:rsidR="140AEA97" w:rsidRPr="001D0D73">
        <w:tab/>
      </w:r>
    </w:p>
    <w:p w14:paraId="08428067" w14:textId="2AB3AEA7" w:rsidR="70A0F321" w:rsidRPr="001D0D73" w:rsidRDefault="4909DF12" w:rsidP="00180176">
      <w:pPr>
        <w:pStyle w:val="WSParaNum"/>
        <w:numPr>
          <w:ilvl w:val="0"/>
          <w:numId w:val="0"/>
        </w:numPr>
        <w:ind w:firstLine="720"/>
        <w:jc w:val="both"/>
        <w:rPr>
          <w:sz w:val="20"/>
          <w:szCs w:val="20"/>
        </w:rPr>
      </w:pPr>
      <w:r w:rsidRPr="001D0D73">
        <w:rPr>
          <w:sz w:val="20"/>
          <w:szCs w:val="20"/>
        </w:rPr>
        <w:t xml:space="preserve">ONCA Decision, </w:t>
      </w:r>
      <w:r w:rsidRPr="001D0D73">
        <w:rPr>
          <w:i/>
          <w:iCs/>
          <w:sz w:val="20"/>
          <w:szCs w:val="20"/>
        </w:rPr>
        <w:t>supra</w:t>
      </w:r>
      <w:r w:rsidRPr="001D0D73">
        <w:rPr>
          <w:sz w:val="20"/>
          <w:szCs w:val="20"/>
        </w:rPr>
        <w:t xml:space="preserve"> </w:t>
      </w:r>
      <w:r w:rsidR="00180176" w:rsidRPr="001D0D73">
        <w:rPr>
          <w:sz w:val="20"/>
          <w:szCs w:val="20"/>
          <w:lang w:val="en-US"/>
        </w:rPr>
        <w:t xml:space="preserve">para </w:t>
      </w:r>
      <w:r w:rsidR="001D0D73" w:rsidRPr="001D0D73">
        <w:rPr>
          <w:sz w:val="20"/>
          <w:szCs w:val="20"/>
          <w:lang w:val="en-US"/>
        </w:rPr>
        <w:t>8</w:t>
      </w:r>
      <w:r w:rsidR="00180176" w:rsidRPr="001D0D73">
        <w:rPr>
          <w:i/>
          <w:iCs/>
          <w:sz w:val="20"/>
          <w:szCs w:val="20"/>
        </w:rPr>
        <w:t xml:space="preserve"> </w:t>
      </w:r>
      <w:r w:rsidR="00180176" w:rsidRPr="001D0D73">
        <w:rPr>
          <w:sz w:val="20"/>
          <w:szCs w:val="20"/>
        </w:rPr>
        <w:t>at</w:t>
      </w:r>
      <w:r w:rsidR="00180176" w:rsidRPr="001D0D73">
        <w:rPr>
          <w:i/>
          <w:iCs/>
          <w:sz w:val="20"/>
          <w:szCs w:val="20"/>
        </w:rPr>
        <w:t xml:space="preserve"> </w:t>
      </w:r>
      <w:r w:rsidRPr="001D0D73">
        <w:rPr>
          <w:sz w:val="20"/>
          <w:szCs w:val="20"/>
        </w:rPr>
        <w:t>paras 39</w:t>
      </w:r>
      <w:r w:rsidR="00486BCF" w:rsidRPr="001D0D73">
        <w:rPr>
          <w:sz w:val="20"/>
          <w:szCs w:val="20"/>
        </w:rPr>
        <w:t>–</w:t>
      </w:r>
      <w:r w:rsidRPr="001D0D73">
        <w:rPr>
          <w:sz w:val="20"/>
          <w:szCs w:val="20"/>
        </w:rPr>
        <w:t>40.</w:t>
      </w:r>
    </w:p>
    <w:p w14:paraId="50511B01" w14:textId="6E004421" w:rsidR="60AD910E" w:rsidRDefault="4D2A7F8C" w:rsidP="4D2A7F8C">
      <w:pPr>
        <w:pStyle w:val="WSParaNum"/>
        <w:spacing w:before="0" w:after="0"/>
        <w:jc w:val="both"/>
        <w:rPr>
          <w:color w:val="000000"/>
        </w:rPr>
      </w:pPr>
      <w:r>
        <w:rPr>
          <w:color w:val="000000"/>
        </w:rPr>
        <w:t xml:space="preserve">Mr. Snell’s concession does not capture the full scope of section 2(1)(b) of the </w:t>
      </w:r>
      <w:r>
        <w:rPr>
          <w:i/>
          <w:color w:val="000000"/>
        </w:rPr>
        <w:t xml:space="preserve">ESA </w:t>
      </w:r>
      <w:r>
        <w:rPr>
          <w:color w:val="000000"/>
        </w:rPr>
        <w:t xml:space="preserve">and does not undermine the reasonable inference that Blanding’s turtles relied on the Site, based on their lifespan and the “bookended” sightings. He confirmed that the Site was “functioning as habitat,” which, together with the GHD and other witness evidence, supports a finding of dependence. Mr. Snell opined that Blanding’s turtles would use the Site for essential life processes, making it Category 2 habitat, based on the GHD, occurrences in Circle Lake and adjacent areas, and his extensive field experience. He explained that the earth pushed up along the wetland boundary blocked water flow to a critical area, and that the removal of vegetation </w:t>
      </w:r>
      <w:r>
        <w:rPr>
          <w:color w:val="000000"/>
        </w:rPr>
        <w:lastRenderedPageBreak/>
        <w:t xml:space="preserve">and shaded areas reduced food supply, thermal regulation, and nesting opportunities. This evidence, </w:t>
      </w:r>
      <w:bookmarkStart w:id="58" w:name="_Int_u991cJc0"/>
      <w:r>
        <w:rPr>
          <w:color w:val="000000"/>
        </w:rPr>
        <w:t>in light of</w:t>
      </w:r>
      <w:bookmarkEnd w:id="58"/>
      <w:r>
        <w:rPr>
          <w:color w:val="000000"/>
        </w:rPr>
        <w:t xml:space="preserve"> the full record, firmly supports the Trial Justice’s reasonable inference that the Site was relied upon by Blanding’s turtles for essential life processes</w:t>
      </w:r>
      <w:r w:rsidR="7CAD3EFF">
        <w:rPr>
          <w:color w:val="000000"/>
        </w:rPr>
        <w:t xml:space="preserve"> in 2018.</w:t>
      </w:r>
    </w:p>
    <w:p w14:paraId="2D512B80" w14:textId="1813C63F" w:rsidR="70A0F321" w:rsidRPr="00783379" w:rsidRDefault="4909DF12" w:rsidP="00180176">
      <w:pPr>
        <w:pStyle w:val="WSParaNum"/>
        <w:numPr>
          <w:ilvl w:val="0"/>
          <w:numId w:val="0"/>
        </w:numPr>
        <w:ind w:firstLine="720"/>
        <w:jc w:val="both"/>
        <w:rPr>
          <w:sz w:val="20"/>
          <w:szCs w:val="20"/>
        </w:rPr>
      </w:pPr>
      <w:r w:rsidRPr="00783379">
        <w:rPr>
          <w:sz w:val="20"/>
          <w:szCs w:val="20"/>
        </w:rPr>
        <w:t xml:space="preserve">ONCA Decision, </w:t>
      </w:r>
      <w:r w:rsidRPr="00783379">
        <w:rPr>
          <w:i/>
          <w:iCs/>
          <w:sz w:val="20"/>
          <w:szCs w:val="20"/>
        </w:rPr>
        <w:t xml:space="preserve">supra </w:t>
      </w:r>
      <w:r w:rsidR="00180176" w:rsidRPr="00783379">
        <w:rPr>
          <w:sz w:val="20"/>
          <w:szCs w:val="20"/>
          <w:lang w:val="en-US"/>
        </w:rPr>
        <w:t xml:space="preserve">para </w:t>
      </w:r>
      <w:r w:rsidR="001D0D73" w:rsidRPr="00783379">
        <w:rPr>
          <w:sz w:val="20"/>
          <w:szCs w:val="20"/>
          <w:lang w:val="en-US"/>
        </w:rPr>
        <w:t>8</w:t>
      </w:r>
      <w:r w:rsidR="00180176" w:rsidRPr="00783379">
        <w:rPr>
          <w:i/>
          <w:iCs/>
          <w:sz w:val="20"/>
          <w:szCs w:val="20"/>
        </w:rPr>
        <w:t xml:space="preserve"> </w:t>
      </w:r>
      <w:r w:rsidRPr="00783379">
        <w:rPr>
          <w:sz w:val="20"/>
          <w:szCs w:val="20"/>
        </w:rPr>
        <w:t>at paras 39</w:t>
      </w:r>
      <w:r w:rsidR="00486BCF" w:rsidRPr="00783379">
        <w:rPr>
          <w:sz w:val="20"/>
          <w:szCs w:val="20"/>
        </w:rPr>
        <w:t>–</w:t>
      </w:r>
      <w:r w:rsidRPr="00783379">
        <w:rPr>
          <w:sz w:val="20"/>
          <w:szCs w:val="20"/>
        </w:rPr>
        <w:t>4</w:t>
      </w:r>
      <w:r w:rsidR="00486BCF" w:rsidRPr="00783379">
        <w:rPr>
          <w:sz w:val="20"/>
          <w:szCs w:val="20"/>
        </w:rPr>
        <w:t>0</w:t>
      </w:r>
      <w:r w:rsidRPr="00783379">
        <w:rPr>
          <w:sz w:val="20"/>
          <w:szCs w:val="20"/>
        </w:rPr>
        <w:t>.</w:t>
      </w:r>
    </w:p>
    <w:p w14:paraId="5ED0436B" w14:textId="76E48370" w:rsidR="70A0F321" w:rsidRPr="00783379" w:rsidRDefault="4909DF12" w:rsidP="00180176">
      <w:pPr>
        <w:pStyle w:val="WSParaNum"/>
        <w:numPr>
          <w:ilvl w:val="0"/>
          <w:numId w:val="0"/>
        </w:numPr>
        <w:ind w:firstLine="720"/>
        <w:jc w:val="both"/>
        <w:rPr>
          <w:sz w:val="20"/>
          <w:szCs w:val="20"/>
        </w:rPr>
      </w:pPr>
      <w:r w:rsidRPr="00783379">
        <w:rPr>
          <w:sz w:val="20"/>
          <w:szCs w:val="20"/>
        </w:rPr>
        <w:t xml:space="preserve">OCJ Decision, </w:t>
      </w:r>
      <w:r w:rsidRPr="00783379">
        <w:rPr>
          <w:i/>
          <w:iCs/>
          <w:sz w:val="20"/>
          <w:szCs w:val="20"/>
        </w:rPr>
        <w:t>supra</w:t>
      </w:r>
      <w:r w:rsidRPr="00783379">
        <w:rPr>
          <w:sz w:val="20"/>
          <w:szCs w:val="20"/>
        </w:rPr>
        <w:t xml:space="preserve"> </w:t>
      </w:r>
      <w:r w:rsidR="00180176" w:rsidRPr="00783379">
        <w:rPr>
          <w:sz w:val="20"/>
          <w:szCs w:val="20"/>
          <w:lang w:val="en-US"/>
        </w:rPr>
        <w:t xml:space="preserve">para </w:t>
      </w:r>
      <w:r w:rsidR="001D0D73" w:rsidRPr="00783379">
        <w:rPr>
          <w:sz w:val="20"/>
          <w:szCs w:val="20"/>
          <w:lang w:val="en-US"/>
        </w:rPr>
        <w:t>8</w:t>
      </w:r>
      <w:r w:rsidR="00180176" w:rsidRPr="00783379">
        <w:rPr>
          <w:i/>
          <w:iCs/>
          <w:sz w:val="20"/>
          <w:szCs w:val="20"/>
        </w:rPr>
        <w:t xml:space="preserve"> </w:t>
      </w:r>
      <w:r w:rsidRPr="00783379">
        <w:rPr>
          <w:sz w:val="20"/>
          <w:szCs w:val="20"/>
        </w:rPr>
        <w:t xml:space="preserve">at 14.  </w:t>
      </w:r>
    </w:p>
    <w:p w14:paraId="15BF2A48" w14:textId="506A0EE2" w:rsidR="766181F6" w:rsidRPr="00783379" w:rsidRDefault="00F56FFD" w:rsidP="00180176">
      <w:pPr>
        <w:pStyle w:val="WSParaNum"/>
        <w:numPr>
          <w:ilvl w:val="0"/>
          <w:numId w:val="0"/>
        </w:numPr>
        <w:ind w:firstLine="720"/>
        <w:jc w:val="both"/>
        <w:rPr>
          <w:rFonts w:eastAsia="Arial"/>
          <w:color w:val="000000"/>
          <w:sz w:val="20"/>
          <w:szCs w:val="20"/>
        </w:rPr>
      </w:pPr>
      <w:r w:rsidRPr="00783379">
        <w:rPr>
          <w:rFonts w:eastAsia="Arial"/>
          <w:color w:val="000000"/>
          <w:sz w:val="20"/>
          <w:szCs w:val="20"/>
        </w:rPr>
        <w:t xml:space="preserve">Trial Decision, </w:t>
      </w:r>
      <w:r w:rsidRPr="00783379">
        <w:rPr>
          <w:rFonts w:eastAsia="Arial"/>
          <w:i/>
          <w:iCs/>
          <w:color w:val="000000"/>
          <w:sz w:val="20"/>
          <w:szCs w:val="20"/>
        </w:rPr>
        <w:t>supra</w:t>
      </w:r>
      <w:r w:rsidRPr="00783379">
        <w:rPr>
          <w:rFonts w:eastAsia="Arial"/>
          <w:color w:val="000000"/>
          <w:sz w:val="20"/>
          <w:szCs w:val="20"/>
        </w:rPr>
        <w:t xml:space="preserve"> para 9</w:t>
      </w:r>
      <w:r w:rsidR="4909DF12" w:rsidRPr="00783379">
        <w:rPr>
          <w:rFonts w:eastAsia="Arial"/>
          <w:i/>
          <w:color w:val="000000"/>
          <w:sz w:val="20"/>
          <w:szCs w:val="20"/>
        </w:rPr>
        <w:t xml:space="preserve"> </w:t>
      </w:r>
      <w:r w:rsidR="4909DF12" w:rsidRPr="00783379">
        <w:rPr>
          <w:rFonts w:eastAsia="Arial"/>
          <w:color w:val="000000"/>
          <w:sz w:val="20"/>
          <w:szCs w:val="20"/>
        </w:rPr>
        <w:t>at 7, 12.</w:t>
      </w:r>
    </w:p>
    <w:p w14:paraId="413D4D32" w14:textId="33BC0F24" w:rsidR="26A42119" w:rsidRPr="00783379" w:rsidRDefault="26A42119" w:rsidP="00180176">
      <w:pPr>
        <w:pStyle w:val="WSParaNum"/>
        <w:numPr>
          <w:ilvl w:val="0"/>
          <w:numId w:val="0"/>
        </w:numPr>
        <w:ind w:left="720"/>
        <w:jc w:val="both"/>
        <w:rPr>
          <w:sz w:val="20"/>
          <w:szCs w:val="20"/>
        </w:rPr>
      </w:pPr>
      <w:r w:rsidRPr="00783379">
        <w:rPr>
          <w:i/>
          <w:iCs/>
          <w:sz w:val="20"/>
          <w:szCs w:val="20"/>
        </w:rPr>
        <w:t>Soltys</w:t>
      </w:r>
      <w:r w:rsidRPr="00783379">
        <w:rPr>
          <w:sz w:val="20"/>
          <w:szCs w:val="20"/>
        </w:rPr>
        <w:t xml:space="preserve">, </w:t>
      </w:r>
      <w:r w:rsidRPr="00783379">
        <w:rPr>
          <w:i/>
          <w:iCs/>
          <w:sz w:val="20"/>
          <w:szCs w:val="20"/>
        </w:rPr>
        <w:t xml:space="preserve">supra </w:t>
      </w:r>
      <w:r w:rsidR="00180176" w:rsidRPr="00783379">
        <w:rPr>
          <w:sz w:val="20"/>
          <w:szCs w:val="20"/>
          <w:lang w:val="en-US"/>
        </w:rPr>
        <w:t xml:space="preserve">para </w:t>
      </w:r>
      <w:r w:rsidR="00783379" w:rsidRPr="00783379">
        <w:rPr>
          <w:sz w:val="20"/>
          <w:szCs w:val="20"/>
          <w:lang w:val="en-US"/>
        </w:rPr>
        <w:t>67</w:t>
      </w:r>
      <w:r w:rsidR="00180176" w:rsidRPr="00783379">
        <w:rPr>
          <w:i/>
          <w:iCs/>
          <w:sz w:val="20"/>
          <w:szCs w:val="20"/>
        </w:rPr>
        <w:t xml:space="preserve"> </w:t>
      </w:r>
      <w:r w:rsidR="00180176" w:rsidRPr="00783379">
        <w:rPr>
          <w:sz w:val="20"/>
          <w:szCs w:val="20"/>
        </w:rPr>
        <w:t xml:space="preserve">at </w:t>
      </w:r>
      <w:r w:rsidRPr="00783379">
        <w:rPr>
          <w:sz w:val="20"/>
          <w:szCs w:val="20"/>
        </w:rPr>
        <w:t>para 72.</w:t>
      </w:r>
    </w:p>
    <w:p w14:paraId="74B99609" w14:textId="57D54D48" w:rsidR="4A8D8E34" w:rsidRDefault="4D2A7F8C" w:rsidP="54ED07DF">
      <w:pPr>
        <w:pStyle w:val="WSParaNum"/>
        <w:spacing w:before="0" w:after="0"/>
        <w:jc w:val="both"/>
      </w:pPr>
      <w:r>
        <w:rPr>
          <w:color w:val="000000"/>
        </w:rPr>
        <w:t xml:space="preserve">The OCJ also points to an email chain regarding CHL leaving an approximate “30 metre” buffer based on the MNRF wetland boundary, and witness testimony that the grubbing occurred “100 feet away” from Circle Lake and outside the wetland boundary. It finds that this evidence, coupled with </w:t>
      </w:r>
      <w:r>
        <w:rPr>
          <w:i/>
          <w:color w:val="000000"/>
        </w:rPr>
        <w:t xml:space="preserve">ESA </w:t>
      </w:r>
      <w:r>
        <w:rPr>
          <w:color w:val="000000"/>
        </w:rPr>
        <w:t>section 2(2), Mr. Snell’s concession, and “heavy reliance” on the GHD, renders the Trial Justice’s decision unreasonable or unsupported by the evidence.</w:t>
      </w:r>
    </w:p>
    <w:p w14:paraId="2F17E628" w14:textId="49557D5C" w:rsidR="4A8D8E34" w:rsidRPr="00783379" w:rsidRDefault="4D2A7F8C" w:rsidP="00180176">
      <w:pPr>
        <w:pStyle w:val="WSParaNum"/>
        <w:numPr>
          <w:ilvl w:val="0"/>
          <w:numId w:val="0"/>
        </w:numPr>
        <w:ind w:firstLine="720"/>
        <w:jc w:val="both"/>
        <w:rPr>
          <w:sz w:val="20"/>
          <w:szCs w:val="20"/>
        </w:rPr>
      </w:pPr>
      <w:r w:rsidRPr="00783379">
        <w:rPr>
          <w:sz w:val="20"/>
          <w:szCs w:val="20"/>
        </w:rPr>
        <w:t xml:space="preserve">OCJ Decision, </w:t>
      </w:r>
      <w:r w:rsidRPr="00783379">
        <w:rPr>
          <w:i/>
          <w:iCs/>
          <w:sz w:val="20"/>
          <w:szCs w:val="20"/>
        </w:rPr>
        <w:t>supra</w:t>
      </w:r>
      <w:r w:rsidRPr="00783379">
        <w:rPr>
          <w:sz w:val="20"/>
          <w:szCs w:val="20"/>
        </w:rPr>
        <w:t xml:space="preserve"> </w:t>
      </w:r>
      <w:r w:rsidR="00180176" w:rsidRPr="00783379">
        <w:rPr>
          <w:sz w:val="20"/>
          <w:szCs w:val="20"/>
          <w:lang w:val="en-US"/>
        </w:rPr>
        <w:t xml:space="preserve">para </w:t>
      </w:r>
      <w:r w:rsidR="00783379" w:rsidRPr="00783379">
        <w:rPr>
          <w:sz w:val="20"/>
          <w:szCs w:val="20"/>
          <w:lang w:val="en-US"/>
        </w:rPr>
        <w:t>8</w:t>
      </w:r>
      <w:r w:rsidR="00180176" w:rsidRPr="00783379">
        <w:rPr>
          <w:i/>
          <w:iCs/>
          <w:sz w:val="20"/>
          <w:szCs w:val="20"/>
        </w:rPr>
        <w:t xml:space="preserve"> </w:t>
      </w:r>
      <w:r w:rsidRPr="00783379">
        <w:rPr>
          <w:sz w:val="20"/>
          <w:szCs w:val="20"/>
        </w:rPr>
        <w:t>at 8, 10, 17–20.</w:t>
      </w:r>
    </w:p>
    <w:p w14:paraId="24A008F4" w14:textId="24EE0096" w:rsidR="577B40BD" w:rsidRDefault="4D2A7F8C" w:rsidP="577B40BD">
      <w:pPr>
        <w:pStyle w:val="WSParaNum"/>
        <w:spacing w:before="0" w:after="0"/>
        <w:jc w:val="both"/>
        <w:rPr>
          <w:color w:val="000000"/>
        </w:rPr>
      </w:pPr>
      <w:r>
        <w:rPr>
          <w:color w:val="000000"/>
        </w:rPr>
        <w:t xml:space="preserve">This reasoning demonstrates that the OCJ focused solely on direct dependence, without addressing whether the evidence supported indirect dependence under section 2(1)(b) of the </w:t>
      </w:r>
      <w:r>
        <w:rPr>
          <w:i/>
          <w:color w:val="000000"/>
        </w:rPr>
        <w:t>ESA</w:t>
      </w:r>
      <w:r>
        <w:rPr>
          <w:color w:val="000000"/>
        </w:rPr>
        <w:t xml:space="preserve">. </w:t>
      </w:r>
      <w:r w:rsidRPr="4D2A7F8C">
        <w:t>In doing so, the OCJ misinterpreted and unduly narrowed the statutory scope of habitat protection by improperly equating the area immediately around the MNRF wetland boundary with an absence of habitat as defined by the GHD.</w:t>
      </w:r>
      <w:r>
        <w:rPr>
          <w:color w:val="000000"/>
        </w:rPr>
        <w:t xml:space="preserve"> </w:t>
      </w:r>
    </w:p>
    <w:p w14:paraId="1D583F91" w14:textId="1107E04C" w:rsidR="6ABE1EA8" w:rsidRPr="00783379" w:rsidRDefault="4D2A7F8C" w:rsidP="00180176">
      <w:pPr>
        <w:pStyle w:val="WSParaNum"/>
        <w:numPr>
          <w:ilvl w:val="0"/>
          <w:numId w:val="0"/>
        </w:numPr>
        <w:ind w:firstLine="720"/>
        <w:jc w:val="both"/>
        <w:rPr>
          <w:sz w:val="20"/>
          <w:szCs w:val="20"/>
        </w:rPr>
      </w:pPr>
      <w:r w:rsidRPr="00783379">
        <w:rPr>
          <w:sz w:val="20"/>
          <w:szCs w:val="20"/>
        </w:rPr>
        <w:t xml:space="preserve">OCJ Decision, </w:t>
      </w:r>
      <w:r w:rsidRPr="00783379">
        <w:rPr>
          <w:i/>
          <w:iCs/>
          <w:sz w:val="20"/>
          <w:szCs w:val="20"/>
        </w:rPr>
        <w:t>supra</w:t>
      </w:r>
      <w:r w:rsidRPr="00783379">
        <w:rPr>
          <w:sz w:val="20"/>
          <w:szCs w:val="20"/>
        </w:rPr>
        <w:t xml:space="preserve"> </w:t>
      </w:r>
      <w:r w:rsidR="00180176" w:rsidRPr="00783379">
        <w:rPr>
          <w:sz w:val="20"/>
          <w:szCs w:val="20"/>
          <w:lang w:val="en-US"/>
        </w:rPr>
        <w:t xml:space="preserve">para </w:t>
      </w:r>
      <w:r w:rsidR="00FC025D">
        <w:rPr>
          <w:sz w:val="20"/>
          <w:szCs w:val="20"/>
          <w:lang w:val="en-US"/>
        </w:rPr>
        <w:t>8</w:t>
      </w:r>
      <w:r w:rsidR="00180176" w:rsidRPr="00783379">
        <w:rPr>
          <w:i/>
          <w:iCs/>
          <w:sz w:val="20"/>
          <w:szCs w:val="20"/>
        </w:rPr>
        <w:t xml:space="preserve"> </w:t>
      </w:r>
      <w:r w:rsidRPr="00783379">
        <w:rPr>
          <w:sz w:val="20"/>
          <w:szCs w:val="20"/>
        </w:rPr>
        <w:t>at 13.</w:t>
      </w:r>
    </w:p>
    <w:p w14:paraId="66359959" w14:textId="257DE4AF" w:rsidR="4D2A7F8C" w:rsidRPr="00905DDB" w:rsidRDefault="123A9755" w:rsidP="00905DDB">
      <w:pPr>
        <w:pStyle w:val="WSParaNum"/>
        <w:jc w:val="both"/>
      </w:pPr>
      <w:r>
        <w:t xml:space="preserve">In </w:t>
      </w:r>
      <w:r w:rsidRPr="123A9755">
        <w:rPr>
          <w:i/>
          <w:iCs/>
        </w:rPr>
        <w:t>South Bruce</w:t>
      </w:r>
      <w:r>
        <w:t xml:space="preserve">, a concurring judgment found that expert evidence alone can prove habitat pursuant to sections 2 and 10 of the </w:t>
      </w:r>
      <w:r w:rsidRPr="123A9755">
        <w:rPr>
          <w:i/>
          <w:iCs/>
        </w:rPr>
        <w:t>ESA</w:t>
      </w:r>
      <w:r>
        <w:t xml:space="preserve">:  </w:t>
      </w:r>
    </w:p>
    <w:p w14:paraId="59747357" w14:textId="06A48BB9" w:rsidR="4D2A7F8C" w:rsidRPr="00905DDB" w:rsidRDefault="4D2A7F8C" w:rsidP="00334377">
      <w:pPr>
        <w:pStyle w:val="WSParaNum"/>
        <w:numPr>
          <w:ilvl w:val="0"/>
          <w:numId w:val="0"/>
        </w:numPr>
        <w:spacing w:line="240" w:lineRule="auto"/>
        <w:ind w:left="720" w:right="720"/>
        <w:jc w:val="both"/>
        <w:rPr>
          <w:lang w:val="en-US"/>
        </w:rPr>
      </w:pPr>
      <w:r w:rsidRPr="4D2A7F8C">
        <w:rPr>
          <w:lang w:val="en-US"/>
        </w:rPr>
        <w:t>I concur with my colleague’s decision in result and in analysis, except with respect to the appellant’s challenge to the admissibility of the expert evidence of Ministry biologist Ms. Robinson</w:t>
      </w:r>
      <w:r w:rsidRPr="4D2A7F8C">
        <w:rPr>
          <w:rFonts w:ascii="Arial" w:eastAsia="Arial" w:hAnsi="Arial" w:cs="Arial"/>
          <w:color w:val="0A0A0A"/>
          <w:lang w:val="en-US"/>
        </w:rPr>
        <w:t xml:space="preserve"> ...</w:t>
      </w:r>
      <w:r w:rsidRPr="4D2A7F8C">
        <w:rPr>
          <w:lang w:val="en-US"/>
        </w:rPr>
        <w:t xml:space="preserve"> However, this conclusion does not assist the appellant </w:t>
      </w:r>
      <w:r w:rsidRPr="4D2A7F8C">
        <w:rPr>
          <w:u w:val="single"/>
          <w:lang w:val="en-US"/>
        </w:rPr>
        <w:t>because the evidence of the other expert accepted by the trial justice, Dr. Cuthbert, who is a recognized authority on the Piping Plover, was sufficient to ground the success of the prosecution.</w:t>
      </w:r>
    </w:p>
    <w:p w14:paraId="56CE7F5F" w14:textId="2E69B146" w:rsidR="4D2A7F8C" w:rsidRDefault="4D2A7F8C" w:rsidP="00905DDB">
      <w:pPr>
        <w:pStyle w:val="WSParaNum"/>
        <w:numPr>
          <w:ilvl w:val="0"/>
          <w:numId w:val="0"/>
        </w:numPr>
        <w:jc w:val="both"/>
        <w:rPr>
          <w:color w:val="000000"/>
        </w:rPr>
      </w:pPr>
      <w:r>
        <w:tab/>
      </w:r>
      <w:r>
        <w:rPr>
          <w:color w:val="000000"/>
        </w:rPr>
        <w:t xml:space="preserve">[Emphasis added] </w:t>
      </w:r>
    </w:p>
    <w:p w14:paraId="11AF490F" w14:textId="2A80696D" w:rsidR="4D2A7F8C" w:rsidRPr="00D43786" w:rsidRDefault="4D2A7F8C" w:rsidP="00D43786">
      <w:pPr>
        <w:pStyle w:val="WSParaNum"/>
        <w:numPr>
          <w:ilvl w:val="0"/>
          <w:numId w:val="0"/>
        </w:numPr>
        <w:ind w:firstLine="720"/>
        <w:jc w:val="both"/>
        <w:rPr>
          <w:color w:val="000000"/>
          <w:sz w:val="20"/>
          <w:szCs w:val="20"/>
        </w:rPr>
      </w:pPr>
      <w:r w:rsidRPr="00D43786">
        <w:rPr>
          <w:i/>
          <w:iCs/>
          <w:color w:val="000000"/>
          <w:sz w:val="20"/>
          <w:szCs w:val="20"/>
        </w:rPr>
        <w:t>South Bruce</w:t>
      </w:r>
      <w:r w:rsidRPr="00D43786">
        <w:rPr>
          <w:color w:val="000000"/>
          <w:sz w:val="20"/>
          <w:szCs w:val="20"/>
        </w:rPr>
        <w:t xml:space="preserve">, </w:t>
      </w:r>
      <w:r w:rsidRPr="00D43786">
        <w:rPr>
          <w:i/>
          <w:iCs/>
          <w:color w:val="000000"/>
          <w:sz w:val="20"/>
          <w:szCs w:val="20"/>
        </w:rPr>
        <w:t>supra</w:t>
      </w:r>
      <w:r w:rsidRPr="00D43786">
        <w:rPr>
          <w:color w:val="000000"/>
          <w:sz w:val="20"/>
          <w:szCs w:val="20"/>
        </w:rPr>
        <w:t xml:space="preserve"> </w:t>
      </w:r>
      <w:r w:rsidR="00D43786" w:rsidRPr="00D43786">
        <w:rPr>
          <w:sz w:val="20"/>
          <w:szCs w:val="20"/>
          <w:lang w:val="en-US"/>
        </w:rPr>
        <w:t xml:space="preserve">para </w:t>
      </w:r>
      <w:r w:rsidR="00FC025D">
        <w:rPr>
          <w:sz w:val="20"/>
          <w:szCs w:val="20"/>
          <w:lang w:val="en-US"/>
        </w:rPr>
        <w:t>35</w:t>
      </w:r>
      <w:r w:rsidR="00D43786" w:rsidRPr="00D43786">
        <w:rPr>
          <w:i/>
          <w:iCs/>
          <w:sz w:val="20"/>
          <w:szCs w:val="20"/>
        </w:rPr>
        <w:t xml:space="preserve"> </w:t>
      </w:r>
      <w:r w:rsidRPr="00D43786">
        <w:rPr>
          <w:color w:val="000000"/>
          <w:sz w:val="20"/>
          <w:szCs w:val="20"/>
        </w:rPr>
        <w:t xml:space="preserve">at para 67. </w:t>
      </w:r>
    </w:p>
    <w:p w14:paraId="0A189926" w14:textId="66D92328" w:rsidR="4D2A7F8C" w:rsidRDefault="4D2A7F8C" w:rsidP="4D2A7F8C">
      <w:pPr>
        <w:pStyle w:val="WSParaNum"/>
        <w:spacing w:before="0" w:after="0"/>
        <w:jc w:val="both"/>
        <w:rPr>
          <w:color w:val="000000"/>
        </w:rPr>
      </w:pPr>
      <w:r>
        <w:rPr>
          <w:color w:val="000000"/>
        </w:rPr>
        <w:t xml:space="preserve">Mr. Snell’s opinion and the GHD confirm that the Site provided essential features for Blanding’s turtle life processes. Considering the full evidentiary record, including expert opinion </w:t>
      </w:r>
      <w:r>
        <w:rPr>
          <w:color w:val="000000"/>
        </w:rPr>
        <w:lastRenderedPageBreak/>
        <w:t>and turtle sightings, the Trial Justice could be reasonably certain that Blanding’s turtles occupied the Circle Lake area in 2018. An inference of indirect dependence was available to the Trial Justice and did not give rise to a reasonable doubt.</w:t>
      </w:r>
    </w:p>
    <w:p w14:paraId="204B6936" w14:textId="4D2A99FF" w:rsidR="4D2A7F8C" w:rsidRPr="00334377" w:rsidRDefault="00F56FFD" w:rsidP="00D43786">
      <w:pPr>
        <w:pStyle w:val="WSParaNum"/>
        <w:numPr>
          <w:ilvl w:val="0"/>
          <w:numId w:val="0"/>
        </w:numPr>
        <w:ind w:firstLine="720"/>
        <w:jc w:val="both"/>
        <w:rPr>
          <w:sz w:val="20"/>
          <w:szCs w:val="20"/>
        </w:rPr>
      </w:pPr>
      <w:r w:rsidRPr="00334377">
        <w:rPr>
          <w:sz w:val="20"/>
          <w:szCs w:val="20"/>
        </w:rPr>
        <w:t xml:space="preserve">Trial Decision, </w:t>
      </w:r>
      <w:r w:rsidRPr="00334377">
        <w:rPr>
          <w:i/>
          <w:iCs/>
          <w:sz w:val="20"/>
          <w:szCs w:val="20"/>
        </w:rPr>
        <w:t>supra</w:t>
      </w:r>
      <w:r w:rsidRPr="00334377">
        <w:rPr>
          <w:sz w:val="20"/>
          <w:szCs w:val="20"/>
        </w:rPr>
        <w:t xml:space="preserve"> para 9</w:t>
      </w:r>
      <w:r w:rsidR="4D2A7F8C" w:rsidRPr="00334377">
        <w:rPr>
          <w:sz w:val="20"/>
          <w:szCs w:val="20"/>
        </w:rPr>
        <w:t xml:space="preserve"> at 10–11.</w:t>
      </w:r>
    </w:p>
    <w:p w14:paraId="047ED88E" w14:textId="25F720C3" w:rsidR="4D2A7F8C" w:rsidRPr="00334377" w:rsidRDefault="4D2A7F8C" w:rsidP="00D43786">
      <w:pPr>
        <w:pStyle w:val="WSParaNum"/>
        <w:numPr>
          <w:ilvl w:val="0"/>
          <w:numId w:val="0"/>
        </w:numPr>
        <w:ind w:firstLine="720"/>
        <w:jc w:val="both"/>
        <w:rPr>
          <w:rFonts w:ascii="Segoe UI" w:eastAsia="Segoe UI" w:hAnsi="Segoe UI" w:cs="Segoe UI"/>
          <w:sz w:val="18"/>
          <w:szCs w:val="18"/>
        </w:rPr>
      </w:pPr>
      <w:r w:rsidRPr="00334377">
        <w:rPr>
          <w:sz w:val="20"/>
          <w:szCs w:val="20"/>
        </w:rPr>
        <w:t xml:space="preserve">ONCA Decision, </w:t>
      </w:r>
      <w:r w:rsidRPr="00334377">
        <w:rPr>
          <w:i/>
          <w:iCs/>
          <w:sz w:val="20"/>
          <w:szCs w:val="20"/>
        </w:rPr>
        <w:t xml:space="preserve">supra </w:t>
      </w:r>
      <w:r w:rsidR="00D43786" w:rsidRPr="00334377">
        <w:rPr>
          <w:sz w:val="20"/>
          <w:szCs w:val="20"/>
          <w:lang w:val="en-US"/>
        </w:rPr>
        <w:t xml:space="preserve">para </w:t>
      </w:r>
      <w:r w:rsidR="00334377" w:rsidRPr="00334377">
        <w:rPr>
          <w:sz w:val="20"/>
          <w:szCs w:val="20"/>
          <w:lang w:val="en-US"/>
        </w:rPr>
        <w:t>8</w:t>
      </w:r>
      <w:r w:rsidR="00D43786" w:rsidRPr="00334377">
        <w:rPr>
          <w:i/>
          <w:iCs/>
          <w:sz w:val="20"/>
          <w:szCs w:val="20"/>
        </w:rPr>
        <w:t xml:space="preserve"> </w:t>
      </w:r>
      <w:r w:rsidRPr="00334377">
        <w:rPr>
          <w:sz w:val="20"/>
          <w:szCs w:val="20"/>
        </w:rPr>
        <w:t>at paras 31–33.</w:t>
      </w:r>
    </w:p>
    <w:p w14:paraId="7B52290C" w14:textId="19119329" w:rsidR="75079A62" w:rsidRPr="00164202" w:rsidRDefault="4D2A7F8C" w:rsidP="75079A62">
      <w:pPr>
        <w:pStyle w:val="WSParaNum"/>
        <w:spacing w:before="0" w:after="0"/>
        <w:jc w:val="both"/>
        <w:rPr>
          <w:color w:val="000000"/>
        </w:rPr>
      </w:pPr>
      <w:r>
        <w:rPr>
          <w:color w:val="000000"/>
        </w:rPr>
        <w:t xml:space="preserve">It is fundamentally the role of the trier of fact to </w:t>
      </w:r>
      <w:r w:rsidR="6BAFBF55">
        <w:rPr>
          <w:color w:val="000000"/>
        </w:rPr>
        <w:t>draw</w:t>
      </w:r>
      <w:r>
        <w:rPr>
          <w:color w:val="000000"/>
        </w:rPr>
        <w:t xml:space="preserve"> the line between reasonable doubt and speculation. A Trial Justice’s assessment of the evidence can only be set aside on appeal where identifiable flaws in their evaluation or reasoning led to an unreasonable conclusion. ONCA affirms that the Trial Justice’s findings were grounded in a “reasonably available circumstantial inference.” The OCJ fails to identify palpable and overriding errors that would render the Trial Justice’s inferences about habitat unreasonable, nor does it consider that the evidence could support a finding of indirect dependence. Accordingly, the OCJ’s interference with the Trial Justice’s factual inference regarding Blanding’s turtle habitat pursuant to the </w:t>
      </w:r>
      <w:r>
        <w:rPr>
          <w:i/>
          <w:color w:val="000000"/>
        </w:rPr>
        <w:t xml:space="preserve">POA </w:t>
      </w:r>
      <w:r>
        <w:rPr>
          <w:color w:val="000000"/>
        </w:rPr>
        <w:t>was improper.</w:t>
      </w:r>
    </w:p>
    <w:p w14:paraId="6C0CEC33" w14:textId="1563AF4C" w:rsidR="70A0F321" w:rsidRPr="00886962" w:rsidRDefault="4909DF12" w:rsidP="00905DDB">
      <w:pPr>
        <w:pStyle w:val="WSParaNum"/>
        <w:numPr>
          <w:ilvl w:val="0"/>
          <w:numId w:val="0"/>
        </w:numPr>
        <w:ind w:firstLine="720"/>
        <w:jc w:val="both"/>
        <w:rPr>
          <w:sz w:val="20"/>
          <w:szCs w:val="20"/>
        </w:rPr>
      </w:pPr>
      <w:r w:rsidRPr="00886962">
        <w:rPr>
          <w:i/>
          <w:iCs/>
          <w:sz w:val="20"/>
          <w:szCs w:val="20"/>
        </w:rPr>
        <w:t>Villaroman</w:t>
      </w:r>
      <w:r w:rsidRPr="00886962">
        <w:rPr>
          <w:sz w:val="20"/>
          <w:szCs w:val="20"/>
        </w:rPr>
        <w:t xml:space="preserve">, </w:t>
      </w:r>
      <w:r w:rsidRPr="00886962">
        <w:rPr>
          <w:i/>
          <w:iCs/>
          <w:sz w:val="20"/>
          <w:szCs w:val="20"/>
        </w:rPr>
        <w:t xml:space="preserve">supra </w:t>
      </w:r>
      <w:r w:rsidR="00D43786" w:rsidRPr="00886962">
        <w:rPr>
          <w:sz w:val="20"/>
          <w:szCs w:val="20"/>
          <w:lang w:val="en-US"/>
        </w:rPr>
        <w:t xml:space="preserve">para </w:t>
      </w:r>
      <w:r w:rsidR="00334377" w:rsidRPr="00886962">
        <w:rPr>
          <w:sz w:val="20"/>
          <w:szCs w:val="20"/>
          <w:lang w:val="en-US"/>
        </w:rPr>
        <w:t>30</w:t>
      </w:r>
      <w:r w:rsidR="00D43786" w:rsidRPr="00886962">
        <w:rPr>
          <w:i/>
          <w:iCs/>
          <w:sz w:val="20"/>
          <w:szCs w:val="20"/>
        </w:rPr>
        <w:t xml:space="preserve"> </w:t>
      </w:r>
      <w:r w:rsidRPr="00886962">
        <w:rPr>
          <w:sz w:val="20"/>
          <w:szCs w:val="20"/>
        </w:rPr>
        <w:t xml:space="preserve">at para 71. </w:t>
      </w:r>
    </w:p>
    <w:p w14:paraId="5F5B4E42" w14:textId="5A093DCF" w:rsidR="70A0F321" w:rsidRPr="00886962" w:rsidRDefault="4909DF12" w:rsidP="00905DDB">
      <w:pPr>
        <w:pStyle w:val="WSParaNum"/>
        <w:numPr>
          <w:ilvl w:val="0"/>
          <w:numId w:val="0"/>
        </w:numPr>
        <w:ind w:firstLine="720"/>
        <w:jc w:val="both"/>
        <w:rPr>
          <w:sz w:val="20"/>
          <w:szCs w:val="20"/>
        </w:rPr>
      </w:pPr>
      <w:r w:rsidRPr="00886962">
        <w:rPr>
          <w:i/>
          <w:iCs/>
          <w:sz w:val="20"/>
          <w:szCs w:val="20"/>
        </w:rPr>
        <w:t>Biniaris</w:t>
      </w:r>
      <w:r w:rsidRPr="00886962">
        <w:rPr>
          <w:sz w:val="20"/>
          <w:szCs w:val="20"/>
        </w:rPr>
        <w:t xml:space="preserve">, </w:t>
      </w:r>
      <w:r w:rsidRPr="00886962">
        <w:rPr>
          <w:i/>
          <w:iCs/>
          <w:sz w:val="20"/>
          <w:szCs w:val="20"/>
        </w:rPr>
        <w:t>supra</w:t>
      </w:r>
      <w:r w:rsidR="00D43786" w:rsidRPr="00886962">
        <w:rPr>
          <w:sz w:val="20"/>
          <w:szCs w:val="20"/>
          <w:lang w:val="en-US"/>
        </w:rPr>
        <w:t xml:space="preserve"> para </w:t>
      </w:r>
      <w:r w:rsidR="00886962" w:rsidRPr="00886962">
        <w:rPr>
          <w:sz w:val="20"/>
          <w:szCs w:val="20"/>
          <w:lang w:val="en-US"/>
        </w:rPr>
        <w:t>22</w:t>
      </w:r>
      <w:r w:rsidRPr="00886962">
        <w:rPr>
          <w:i/>
          <w:iCs/>
          <w:sz w:val="20"/>
          <w:szCs w:val="20"/>
        </w:rPr>
        <w:t xml:space="preserve"> </w:t>
      </w:r>
      <w:r w:rsidRPr="00886962">
        <w:rPr>
          <w:sz w:val="20"/>
          <w:szCs w:val="20"/>
        </w:rPr>
        <w:t>at paras 36</w:t>
      </w:r>
      <w:r w:rsidR="00486BCF" w:rsidRPr="00886962">
        <w:rPr>
          <w:sz w:val="20"/>
          <w:szCs w:val="20"/>
        </w:rPr>
        <w:t>–</w:t>
      </w:r>
      <w:r w:rsidRPr="00886962">
        <w:rPr>
          <w:sz w:val="20"/>
          <w:szCs w:val="20"/>
        </w:rPr>
        <w:t>37.</w:t>
      </w:r>
    </w:p>
    <w:p w14:paraId="6BDD1F97" w14:textId="035FF58D" w:rsidR="70A0F321" w:rsidRPr="00886962" w:rsidRDefault="4909DF12" w:rsidP="00905DDB">
      <w:pPr>
        <w:pStyle w:val="WSParaNum"/>
        <w:numPr>
          <w:ilvl w:val="0"/>
          <w:numId w:val="0"/>
        </w:numPr>
        <w:ind w:firstLine="720"/>
        <w:jc w:val="both"/>
        <w:rPr>
          <w:rFonts w:ascii="Segoe UI" w:eastAsia="Segoe UI" w:hAnsi="Segoe UI" w:cs="Segoe UI"/>
          <w:sz w:val="18"/>
          <w:szCs w:val="18"/>
        </w:rPr>
      </w:pPr>
      <w:r w:rsidRPr="00886962">
        <w:rPr>
          <w:sz w:val="20"/>
          <w:szCs w:val="20"/>
        </w:rPr>
        <w:t xml:space="preserve">ONCA Decision, </w:t>
      </w:r>
      <w:r w:rsidRPr="00886962">
        <w:rPr>
          <w:i/>
          <w:iCs/>
          <w:sz w:val="20"/>
          <w:szCs w:val="20"/>
        </w:rPr>
        <w:t xml:space="preserve">supra </w:t>
      </w:r>
      <w:r w:rsidR="00886962" w:rsidRPr="00886962">
        <w:rPr>
          <w:sz w:val="20"/>
          <w:szCs w:val="20"/>
        </w:rPr>
        <w:t xml:space="preserve">para 8 </w:t>
      </w:r>
      <w:r w:rsidRPr="00886962">
        <w:rPr>
          <w:sz w:val="20"/>
          <w:szCs w:val="20"/>
        </w:rPr>
        <w:t>at paras 31</w:t>
      </w:r>
      <w:r w:rsidR="000E5DB2" w:rsidRPr="00886962">
        <w:rPr>
          <w:sz w:val="20"/>
          <w:szCs w:val="20"/>
        </w:rPr>
        <w:t>–</w:t>
      </w:r>
      <w:r w:rsidRPr="00886962">
        <w:rPr>
          <w:sz w:val="20"/>
          <w:szCs w:val="20"/>
        </w:rPr>
        <w:t>33.</w:t>
      </w:r>
    </w:p>
    <w:p w14:paraId="469E3F88" w14:textId="4530650D" w:rsidR="70A0F321" w:rsidRPr="00886962" w:rsidRDefault="4909DF12" w:rsidP="00905DDB">
      <w:pPr>
        <w:pStyle w:val="WSParaNum"/>
        <w:numPr>
          <w:ilvl w:val="0"/>
          <w:numId w:val="0"/>
        </w:numPr>
        <w:ind w:firstLine="720"/>
        <w:jc w:val="both"/>
        <w:rPr>
          <w:rFonts w:ascii="Segoe UI" w:eastAsia="Segoe UI" w:hAnsi="Segoe UI" w:cs="Segoe UI"/>
          <w:sz w:val="18"/>
          <w:szCs w:val="18"/>
        </w:rPr>
      </w:pPr>
      <w:r w:rsidRPr="00886962">
        <w:rPr>
          <w:sz w:val="20"/>
          <w:szCs w:val="20"/>
        </w:rPr>
        <w:t xml:space="preserve">OCJ Decision, </w:t>
      </w:r>
      <w:r w:rsidRPr="00886962">
        <w:rPr>
          <w:i/>
          <w:iCs/>
          <w:sz w:val="20"/>
          <w:szCs w:val="20"/>
        </w:rPr>
        <w:t xml:space="preserve">supra </w:t>
      </w:r>
      <w:r w:rsidRPr="00886962">
        <w:rPr>
          <w:sz w:val="20"/>
          <w:szCs w:val="20"/>
        </w:rPr>
        <w:t xml:space="preserve">para </w:t>
      </w:r>
      <w:r w:rsidR="00886962">
        <w:rPr>
          <w:sz w:val="20"/>
          <w:szCs w:val="20"/>
        </w:rPr>
        <w:t>8</w:t>
      </w:r>
      <w:r w:rsidRPr="00886962">
        <w:rPr>
          <w:sz w:val="20"/>
          <w:szCs w:val="20"/>
        </w:rPr>
        <w:t>.</w:t>
      </w:r>
      <w:r w:rsidRPr="00886962">
        <w:rPr>
          <w:rFonts w:ascii="Segoe UI" w:eastAsia="Segoe UI" w:hAnsi="Segoe UI" w:cs="Segoe UI"/>
          <w:sz w:val="18"/>
          <w:szCs w:val="18"/>
        </w:rPr>
        <w:t xml:space="preserve"> </w:t>
      </w:r>
    </w:p>
    <w:p w14:paraId="5A83631F" w14:textId="2104BC18" w:rsidR="70A0F321" w:rsidRDefault="4D2A7F8C" w:rsidP="00D43786">
      <w:pPr>
        <w:pStyle w:val="WSParaNum"/>
        <w:jc w:val="both"/>
        <w:rPr>
          <w:lang w:val="en-US"/>
        </w:rPr>
      </w:pPr>
      <w:r>
        <w:rPr>
          <w:color w:val="000000"/>
          <w:lang w:val="en-US"/>
        </w:rPr>
        <w:t xml:space="preserve">Therefore, the Appellant submits that the OCJ erred in law by misinterpreting the </w:t>
      </w:r>
      <w:r>
        <w:rPr>
          <w:i/>
          <w:color w:val="000000"/>
          <w:lang w:val="en-US"/>
        </w:rPr>
        <w:t>ESA</w:t>
      </w:r>
      <w:r>
        <w:rPr>
          <w:color w:val="000000"/>
          <w:lang w:val="en-US"/>
        </w:rPr>
        <w:t xml:space="preserve">’s definition of habitat and overturning reasonable factual inferences without identifying any palpable and overriding errors when applying that definition. </w:t>
      </w:r>
    </w:p>
    <w:p w14:paraId="43F9144C" w14:textId="2725B5AE" w:rsidR="002D0A80" w:rsidRPr="00AB04FF" w:rsidRDefault="140AEA97" w:rsidP="54ED07DF">
      <w:pPr>
        <w:pStyle w:val="Heading2"/>
        <w:tabs>
          <w:tab w:val="num" w:pos="720"/>
        </w:tabs>
        <w:spacing w:before="0" w:after="0" w:line="360" w:lineRule="auto"/>
        <w:jc w:val="both"/>
        <w:rPr>
          <w:rFonts w:ascii="Times New Roman" w:hAnsi="Times New Roman"/>
          <w:i w:val="0"/>
          <w:iCs w:val="0"/>
          <w:sz w:val="24"/>
          <w:szCs w:val="24"/>
        </w:rPr>
      </w:pPr>
      <w:bookmarkStart w:id="59" w:name="_Toc218630726"/>
      <w:bookmarkStart w:id="60" w:name="_Toc218783944"/>
      <w:bookmarkStart w:id="61" w:name="_Toc218846585"/>
      <w:bookmarkStart w:id="62" w:name="_Toc218858287"/>
      <w:r w:rsidRPr="140AEA97">
        <w:rPr>
          <w:rFonts w:ascii="Times New Roman" w:hAnsi="Times New Roman"/>
          <w:i w:val="0"/>
          <w:iCs w:val="0"/>
          <w:sz w:val="24"/>
          <w:szCs w:val="24"/>
        </w:rPr>
        <w:t xml:space="preserve">The Offence is </w:t>
      </w:r>
      <w:r w:rsidR="1FDF0F01" w:rsidRPr="1FDF0F01">
        <w:rPr>
          <w:rFonts w:ascii="Times New Roman" w:hAnsi="Times New Roman"/>
          <w:i w:val="0"/>
          <w:iCs w:val="0"/>
          <w:sz w:val="24"/>
          <w:szCs w:val="24"/>
        </w:rPr>
        <w:t>Still Established</w:t>
      </w:r>
      <w:r w:rsidRPr="140AEA97">
        <w:rPr>
          <w:rFonts w:ascii="Times New Roman" w:hAnsi="Times New Roman"/>
          <w:i w:val="0"/>
          <w:iCs w:val="0"/>
          <w:sz w:val="24"/>
          <w:szCs w:val="24"/>
        </w:rPr>
        <w:t xml:space="preserve"> Under the </w:t>
      </w:r>
      <w:r w:rsidR="17C4BD87" w:rsidRPr="17C4BD87">
        <w:rPr>
          <w:rFonts w:ascii="Times New Roman" w:hAnsi="Times New Roman"/>
          <w:i w:val="0"/>
          <w:iCs w:val="0"/>
          <w:sz w:val="24"/>
          <w:szCs w:val="24"/>
        </w:rPr>
        <w:t>New</w:t>
      </w:r>
      <w:r w:rsidRPr="140AEA97">
        <w:rPr>
          <w:rFonts w:ascii="Times New Roman" w:hAnsi="Times New Roman"/>
          <w:i w:val="0"/>
          <w:iCs w:val="0"/>
          <w:sz w:val="24"/>
          <w:szCs w:val="24"/>
        </w:rPr>
        <w:t xml:space="preserve"> Definition</w:t>
      </w:r>
      <w:bookmarkEnd w:id="59"/>
      <w:bookmarkEnd w:id="60"/>
      <w:bookmarkEnd w:id="61"/>
      <w:bookmarkEnd w:id="62"/>
    </w:p>
    <w:p w14:paraId="54EAC550" w14:textId="6B79BB52" w:rsidR="1A2C36C6" w:rsidRDefault="4D2A7F8C" w:rsidP="00D43786">
      <w:pPr>
        <w:pStyle w:val="WSParaNum"/>
        <w:jc w:val="both"/>
        <w:rPr>
          <w:color w:val="000000"/>
        </w:rPr>
      </w:pPr>
      <w:r>
        <w:rPr>
          <w:color w:val="000000"/>
        </w:rPr>
        <w:t xml:space="preserve">The “habitat” definition in the </w:t>
      </w:r>
      <w:r>
        <w:rPr>
          <w:i/>
          <w:color w:val="000000"/>
        </w:rPr>
        <w:t xml:space="preserve">ESA </w:t>
      </w:r>
      <w:r>
        <w:rPr>
          <w:color w:val="000000"/>
        </w:rPr>
        <w:t xml:space="preserve">has been amended by omnibus legislation. The </w:t>
      </w:r>
      <w:r>
        <w:rPr>
          <w:i/>
          <w:color w:val="000000"/>
        </w:rPr>
        <w:t>Protect Ontario by Unleashing our Economy Act, 2025</w:t>
      </w:r>
      <w:r>
        <w:rPr>
          <w:color w:val="000000"/>
        </w:rPr>
        <w:t>, Sch. 2 (</w:t>
      </w:r>
      <w:r>
        <w:rPr>
          <w:i/>
          <w:color w:val="000000"/>
        </w:rPr>
        <w:t>“</w:t>
      </w:r>
      <w:r>
        <w:rPr>
          <w:b/>
          <w:i/>
          <w:color w:val="000000"/>
        </w:rPr>
        <w:t>Protect Ontario Act</w:t>
      </w:r>
      <w:r>
        <w:rPr>
          <w:i/>
          <w:color w:val="000000"/>
        </w:rPr>
        <w:t>”</w:t>
      </w:r>
      <w:r>
        <w:rPr>
          <w:color w:val="000000"/>
        </w:rPr>
        <w:t xml:space="preserve">) replaces the </w:t>
      </w:r>
      <w:r>
        <w:rPr>
          <w:i/>
          <w:color w:val="000000"/>
        </w:rPr>
        <w:t xml:space="preserve">ESA </w:t>
      </w:r>
      <w:r>
        <w:rPr>
          <w:color w:val="000000"/>
        </w:rPr>
        <w:t xml:space="preserve">with the </w:t>
      </w:r>
      <w:r>
        <w:rPr>
          <w:i/>
          <w:color w:val="000000"/>
        </w:rPr>
        <w:t>Species Conservation Act, 2025</w:t>
      </w:r>
      <w:r>
        <w:rPr>
          <w:color w:val="000000"/>
        </w:rPr>
        <w:t xml:space="preserve">, SO 2025, c 4, Sch. </w:t>
      </w:r>
      <w:r w:rsidR="3988D040">
        <w:rPr>
          <w:color w:val="000000"/>
        </w:rPr>
        <w:t>10, which is not yet in force.</w:t>
      </w:r>
    </w:p>
    <w:p w14:paraId="4378183A" w14:textId="370106C6" w:rsidR="4D2A7F8C" w:rsidRDefault="4D2A7F8C" w:rsidP="00D43786">
      <w:pPr>
        <w:pStyle w:val="WSParaNum"/>
        <w:numPr>
          <w:ilvl w:val="0"/>
          <w:numId w:val="0"/>
        </w:numPr>
        <w:ind w:firstLine="720"/>
        <w:jc w:val="both"/>
        <w:rPr>
          <w:color w:val="000000"/>
        </w:rPr>
      </w:pPr>
      <w:r w:rsidRPr="4D2A7F8C">
        <w:rPr>
          <w:i/>
          <w:iCs/>
          <w:sz w:val="20"/>
          <w:szCs w:val="20"/>
        </w:rPr>
        <w:t>Protect Ontario by Unleashing our Economy Act</w:t>
      </w:r>
      <w:r w:rsidRPr="4D2A7F8C">
        <w:rPr>
          <w:sz w:val="20"/>
          <w:szCs w:val="20"/>
        </w:rPr>
        <w:t xml:space="preserve">, </w:t>
      </w:r>
      <w:r w:rsidRPr="4D2A7F8C">
        <w:rPr>
          <w:i/>
          <w:iCs/>
          <w:sz w:val="20"/>
          <w:szCs w:val="20"/>
        </w:rPr>
        <w:t>2025</w:t>
      </w:r>
      <w:r w:rsidRPr="4D2A7F8C">
        <w:rPr>
          <w:sz w:val="20"/>
          <w:szCs w:val="20"/>
        </w:rPr>
        <w:t>, Sch. 2, s 2(3) [</w:t>
      </w:r>
      <w:r w:rsidRPr="4D2A7F8C">
        <w:rPr>
          <w:i/>
          <w:iCs/>
          <w:sz w:val="20"/>
          <w:szCs w:val="20"/>
        </w:rPr>
        <w:t>Protect Ontario Act</w:t>
      </w:r>
      <w:r w:rsidRPr="4D2A7F8C">
        <w:rPr>
          <w:sz w:val="20"/>
          <w:szCs w:val="20"/>
        </w:rPr>
        <w:t>].</w:t>
      </w:r>
    </w:p>
    <w:p w14:paraId="54333BAD" w14:textId="38584C57" w:rsidR="4D2A7F8C" w:rsidRDefault="4D2A7F8C" w:rsidP="00D43786">
      <w:pPr>
        <w:pStyle w:val="WSParaNum"/>
        <w:numPr>
          <w:ilvl w:val="0"/>
          <w:numId w:val="0"/>
        </w:numPr>
        <w:ind w:firstLine="720"/>
        <w:jc w:val="both"/>
        <w:rPr>
          <w:i/>
          <w:iCs/>
          <w:sz w:val="20"/>
          <w:szCs w:val="20"/>
        </w:rPr>
      </w:pPr>
      <w:r w:rsidRPr="4D2A7F8C">
        <w:rPr>
          <w:i/>
          <w:iCs/>
          <w:sz w:val="20"/>
          <w:szCs w:val="20"/>
        </w:rPr>
        <w:t xml:space="preserve">Species Conservation Act, 2025, </w:t>
      </w:r>
      <w:r w:rsidRPr="4D2A7F8C">
        <w:rPr>
          <w:sz w:val="20"/>
          <w:szCs w:val="20"/>
        </w:rPr>
        <w:t>SO 2025, c 4, Sch. 10.</w:t>
      </w:r>
    </w:p>
    <w:p w14:paraId="3C40B47E" w14:textId="22712415" w:rsidR="4D2A7F8C" w:rsidRDefault="4D2A7F8C" w:rsidP="44256C28">
      <w:pPr>
        <w:pStyle w:val="WSParaNum"/>
        <w:spacing w:before="0" w:after="0"/>
        <w:jc w:val="both"/>
        <w:rPr>
          <w:color w:val="000000"/>
        </w:rPr>
      </w:pPr>
      <w:r>
        <w:rPr>
          <w:color w:val="000000"/>
        </w:rPr>
        <w:lastRenderedPageBreak/>
        <w:t xml:space="preserve">Pursuant to the </w:t>
      </w:r>
      <w:r>
        <w:rPr>
          <w:i/>
          <w:color w:val="000000"/>
        </w:rPr>
        <w:t>Legislation Act</w:t>
      </w:r>
      <w:r>
        <w:rPr>
          <w:color w:val="000000"/>
        </w:rPr>
        <w:t xml:space="preserve">, SO 2006, c. 21, Sch. F, and the presumption against the retroactive application of legislation to past facts, the </w:t>
      </w:r>
      <w:r>
        <w:rPr>
          <w:i/>
          <w:color w:val="000000"/>
        </w:rPr>
        <w:t>Protect Ontario Act</w:t>
      </w:r>
      <w:r>
        <w:rPr>
          <w:color w:val="000000"/>
        </w:rPr>
        <w:t xml:space="preserve"> cannot apply to the conduct at issue in the present case.</w:t>
      </w:r>
    </w:p>
    <w:p w14:paraId="48DF76C0" w14:textId="4244C03E" w:rsidR="4D2A7F8C" w:rsidRDefault="123A9755" w:rsidP="00D43786">
      <w:pPr>
        <w:pStyle w:val="WSParaNum"/>
        <w:numPr>
          <w:ilvl w:val="0"/>
          <w:numId w:val="0"/>
        </w:numPr>
        <w:ind w:firstLine="720"/>
        <w:rPr>
          <w:sz w:val="20"/>
          <w:szCs w:val="20"/>
        </w:rPr>
      </w:pPr>
      <w:r w:rsidRPr="123A9755">
        <w:rPr>
          <w:i/>
          <w:iCs/>
          <w:sz w:val="20"/>
          <w:szCs w:val="20"/>
        </w:rPr>
        <w:t xml:space="preserve">Legislation Act, </w:t>
      </w:r>
      <w:r w:rsidRPr="123A9755">
        <w:rPr>
          <w:sz w:val="20"/>
          <w:szCs w:val="20"/>
        </w:rPr>
        <w:t>SO 2006, c. 21, Sch</w:t>
      </w:r>
      <w:r w:rsidR="00E71FFA">
        <w:rPr>
          <w:sz w:val="20"/>
          <w:szCs w:val="20"/>
        </w:rPr>
        <w:t>.</w:t>
      </w:r>
      <w:r w:rsidRPr="123A9755">
        <w:rPr>
          <w:sz w:val="20"/>
          <w:szCs w:val="20"/>
        </w:rPr>
        <w:t xml:space="preserve"> F, s 51 [</w:t>
      </w:r>
      <w:r w:rsidRPr="123A9755">
        <w:rPr>
          <w:i/>
          <w:iCs/>
          <w:sz w:val="20"/>
          <w:szCs w:val="20"/>
        </w:rPr>
        <w:t>Legislation Act</w:t>
      </w:r>
      <w:r w:rsidRPr="123A9755">
        <w:rPr>
          <w:sz w:val="20"/>
          <w:szCs w:val="20"/>
        </w:rPr>
        <w:t>].</w:t>
      </w:r>
    </w:p>
    <w:p w14:paraId="3BD664CF" w14:textId="5379DC07" w:rsidR="4D2A7F8C" w:rsidRDefault="4D2A7F8C" w:rsidP="00D43786">
      <w:pPr>
        <w:pStyle w:val="WSParaNum"/>
        <w:numPr>
          <w:ilvl w:val="0"/>
          <w:numId w:val="0"/>
        </w:numPr>
        <w:ind w:firstLine="720"/>
        <w:jc w:val="both"/>
        <w:rPr>
          <w:sz w:val="20"/>
          <w:szCs w:val="20"/>
        </w:rPr>
      </w:pPr>
      <w:r w:rsidRPr="4D2A7F8C">
        <w:rPr>
          <w:i/>
          <w:iCs/>
          <w:sz w:val="20"/>
          <w:szCs w:val="20"/>
        </w:rPr>
        <w:t>R v Albashir</w:t>
      </w:r>
      <w:r w:rsidRPr="4D2A7F8C">
        <w:rPr>
          <w:sz w:val="20"/>
          <w:szCs w:val="20"/>
        </w:rPr>
        <w:t>, 2021 SCC 48 at para 35.</w:t>
      </w:r>
    </w:p>
    <w:p w14:paraId="042AD211" w14:textId="40505253" w:rsidR="0C7B24C8" w:rsidRDefault="4D2A7F8C" w:rsidP="44256C28">
      <w:pPr>
        <w:pStyle w:val="WSParaNum"/>
        <w:spacing w:before="0" w:after="0"/>
        <w:jc w:val="both"/>
        <w:rPr>
          <w:lang w:val="en-US"/>
        </w:rPr>
      </w:pPr>
      <w:r>
        <w:rPr>
          <w:color w:val="000000"/>
          <w:lang w:val="en-US"/>
        </w:rPr>
        <w:t>Nevertheless, it remains reasonable to infer that the Site satisfies the new definition as an area immediately surrounding a dwelling place. T</w:t>
      </w:r>
      <w:r>
        <w:rPr>
          <w:color w:val="000000"/>
        </w:rPr>
        <w:t xml:space="preserve">he new definition of habitat under the </w:t>
      </w:r>
      <w:r>
        <w:rPr>
          <w:i/>
          <w:color w:val="000000"/>
        </w:rPr>
        <w:t xml:space="preserve">Protect Ontario Act </w:t>
      </w:r>
      <w:r>
        <w:rPr>
          <w:color w:val="000000"/>
        </w:rPr>
        <w:t>includes “a dwelling-place occupied or habitually occupied by one or more members of the species for purposes of breeding, rearing, staging, wintering, or hibernating, as well as the area immediately around such a dwelling-place.”</w:t>
      </w:r>
      <w:r>
        <w:rPr>
          <w:color w:val="000000"/>
          <w:lang w:val="en-US"/>
        </w:rPr>
        <w:t xml:space="preserve"> Although the </w:t>
      </w:r>
      <w:r>
        <w:rPr>
          <w:i/>
          <w:color w:val="000000"/>
          <w:lang w:val="en-US"/>
        </w:rPr>
        <w:t xml:space="preserve">Protect Ontario Act </w:t>
      </w:r>
      <w:r>
        <w:rPr>
          <w:color w:val="000000"/>
          <w:lang w:val="en-US"/>
        </w:rPr>
        <w:t xml:space="preserve">narrows the statutory scope of protected habitat, the amended legislation should still be interpreted as remedial and must be given a broad and liberal interpretation. It should be given purposive construction to ensure the attainment of its objectives, including “the protection and conservation of species.” </w:t>
      </w:r>
    </w:p>
    <w:p w14:paraId="0D80B07C" w14:textId="20E7BA86" w:rsidR="005D2B61" w:rsidRPr="006166FE" w:rsidRDefault="4909DF12" w:rsidP="00D43786">
      <w:pPr>
        <w:pStyle w:val="WSParaNum"/>
        <w:numPr>
          <w:ilvl w:val="0"/>
          <w:numId w:val="0"/>
        </w:numPr>
        <w:ind w:firstLine="720"/>
        <w:jc w:val="both"/>
        <w:rPr>
          <w:sz w:val="20"/>
          <w:szCs w:val="20"/>
        </w:rPr>
      </w:pPr>
      <w:r w:rsidRPr="006166FE">
        <w:rPr>
          <w:i/>
          <w:sz w:val="20"/>
          <w:szCs w:val="20"/>
        </w:rPr>
        <w:t>Protect Ontario Act</w:t>
      </w:r>
      <w:r w:rsidRPr="006166FE">
        <w:rPr>
          <w:sz w:val="20"/>
          <w:szCs w:val="20"/>
        </w:rPr>
        <w:t xml:space="preserve">, </w:t>
      </w:r>
      <w:r w:rsidRPr="006166FE">
        <w:rPr>
          <w:i/>
          <w:sz w:val="20"/>
          <w:szCs w:val="20"/>
        </w:rPr>
        <w:t>supra</w:t>
      </w:r>
      <w:r w:rsidRPr="006166FE">
        <w:rPr>
          <w:sz w:val="20"/>
          <w:szCs w:val="20"/>
        </w:rPr>
        <w:t xml:space="preserve"> para </w:t>
      </w:r>
      <w:r w:rsidR="006166FE" w:rsidRPr="006166FE">
        <w:rPr>
          <w:sz w:val="20"/>
          <w:szCs w:val="20"/>
        </w:rPr>
        <w:t>77</w:t>
      </w:r>
      <w:r w:rsidRPr="006166FE">
        <w:rPr>
          <w:sz w:val="20"/>
          <w:szCs w:val="20"/>
        </w:rPr>
        <w:t>, s 2(3).</w:t>
      </w:r>
    </w:p>
    <w:p w14:paraId="46AA5144" w14:textId="1FA9ECFB" w:rsidR="4909DF12" w:rsidRPr="006166FE" w:rsidRDefault="123A9755" w:rsidP="00D43786">
      <w:pPr>
        <w:pStyle w:val="WSParaNum"/>
        <w:numPr>
          <w:ilvl w:val="0"/>
          <w:numId w:val="0"/>
        </w:numPr>
        <w:ind w:left="720"/>
        <w:jc w:val="both"/>
        <w:rPr>
          <w:sz w:val="20"/>
          <w:szCs w:val="20"/>
          <w:lang w:val="en-US"/>
        </w:rPr>
      </w:pPr>
      <w:r w:rsidRPr="006166FE">
        <w:rPr>
          <w:i/>
          <w:iCs/>
          <w:sz w:val="20"/>
          <w:szCs w:val="20"/>
        </w:rPr>
        <w:t>South Bruce</w:t>
      </w:r>
      <w:r w:rsidRPr="006166FE">
        <w:rPr>
          <w:sz w:val="20"/>
          <w:szCs w:val="20"/>
        </w:rPr>
        <w:t xml:space="preserve">, </w:t>
      </w:r>
      <w:r w:rsidRPr="006166FE">
        <w:rPr>
          <w:i/>
          <w:iCs/>
          <w:sz w:val="20"/>
          <w:szCs w:val="20"/>
        </w:rPr>
        <w:t xml:space="preserve">supra </w:t>
      </w:r>
      <w:r w:rsidRPr="006166FE">
        <w:rPr>
          <w:sz w:val="20"/>
          <w:szCs w:val="20"/>
        </w:rPr>
        <w:t xml:space="preserve">para </w:t>
      </w:r>
      <w:r w:rsidR="006166FE" w:rsidRPr="006166FE">
        <w:rPr>
          <w:sz w:val="20"/>
          <w:szCs w:val="20"/>
        </w:rPr>
        <w:t>35</w:t>
      </w:r>
      <w:r w:rsidRPr="006166FE">
        <w:rPr>
          <w:sz w:val="20"/>
          <w:szCs w:val="20"/>
        </w:rPr>
        <w:t xml:space="preserve"> </w:t>
      </w:r>
      <w:r w:rsidRPr="006166FE">
        <w:rPr>
          <w:sz w:val="20"/>
          <w:szCs w:val="20"/>
          <w:lang w:val="en-US"/>
        </w:rPr>
        <w:t>at paras 25–30.</w:t>
      </w:r>
    </w:p>
    <w:p w14:paraId="290DF45E" w14:textId="59CF8740" w:rsidR="006655B5" w:rsidRDefault="123A9755" w:rsidP="006655B5">
      <w:pPr>
        <w:pStyle w:val="WSParaNum"/>
        <w:numPr>
          <w:ilvl w:val="0"/>
          <w:numId w:val="0"/>
        </w:numPr>
        <w:ind w:firstLine="720"/>
        <w:rPr>
          <w:sz w:val="20"/>
          <w:szCs w:val="20"/>
        </w:rPr>
      </w:pPr>
      <w:r w:rsidRPr="123A9755">
        <w:rPr>
          <w:i/>
          <w:iCs/>
          <w:sz w:val="20"/>
          <w:szCs w:val="20"/>
        </w:rPr>
        <w:t xml:space="preserve">Legislation Act, supra </w:t>
      </w:r>
      <w:r w:rsidRPr="123A9755">
        <w:rPr>
          <w:sz w:val="20"/>
          <w:szCs w:val="20"/>
        </w:rPr>
        <w:t xml:space="preserve">para </w:t>
      </w:r>
      <w:r w:rsidR="006166FE">
        <w:rPr>
          <w:sz w:val="20"/>
          <w:szCs w:val="20"/>
        </w:rPr>
        <w:t>78,</w:t>
      </w:r>
      <w:r w:rsidRPr="123A9755">
        <w:rPr>
          <w:sz w:val="20"/>
          <w:szCs w:val="20"/>
        </w:rPr>
        <w:t xml:space="preserve"> s 64(1).</w:t>
      </w:r>
    </w:p>
    <w:p w14:paraId="0D8B2B29" w14:textId="104B64C2" w:rsidR="6C47791C" w:rsidRDefault="4D2A7F8C" w:rsidP="44256C28">
      <w:pPr>
        <w:pStyle w:val="WSParaNum"/>
        <w:spacing w:before="0" w:after="0"/>
        <w:jc w:val="both"/>
        <w:rPr>
          <w:color w:val="000000"/>
        </w:rPr>
      </w:pPr>
      <w:r w:rsidRPr="4D2A7F8C">
        <w:t xml:space="preserve">Although the GHD was prepared with reference to the original </w:t>
      </w:r>
      <w:r w:rsidRPr="4D2A7F8C">
        <w:rPr>
          <w:i/>
          <w:iCs/>
        </w:rPr>
        <w:t xml:space="preserve">ESA </w:t>
      </w:r>
      <w:r w:rsidRPr="4D2A7F8C">
        <w:t>definition, it remains probative evidence relevant for determining the characteristics of a Blanding’s turtle dwelling-place and the immediately surrounding area.</w:t>
      </w:r>
      <w:r>
        <w:rPr>
          <w:color w:val="000000"/>
        </w:rPr>
        <w:t xml:space="preserve"> For example, the GHD provides that the area 30 metres around suitable wetlands, waterbodies, and documented species sightings is Category 2 habitat. MNRF officials recorded sightings of Blanding’s turtles proximate to the Site and subsequently marked a Circle Lake wetland boundary reflecting Category 2 habitat under the GHD. The Site was located near a suitable wetland and, given a liberal interpretation, still meets the criteria for an area immediately surrounding a dwelling-place.</w:t>
      </w:r>
    </w:p>
    <w:p w14:paraId="19B86543" w14:textId="1263EA3A" w:rsidR="4909DF12" w:rsidRPr="006166FE" w:rsidRDefault="4D2A7F8C" w:rsidP="4D2A7F8C">
      <w:pPr>
        <w:pStyle w:val="WSParaNum"/>
        <w:numPr>
          <w:ilvl w:val="0"/>
          <w:numId w:val="0"/>
        </w:numPr>
        <w:ind w:firstLine="720"/>
        <w:jc w:val="both"/>
        <w:rPr>
          <w:rFonts w:eastAsia="Arial"/>
          <w:color w:val="000000"/>
          <w:sz w:val="20"/>
          <w:szCs w:val="20"/>
        </w:rPr>
      </w:pPr>
      <w:r w:rsidRPr="006166FE">
        <w:rPr>
          <w:rFonts w:eastAsia="Arial"/>
          <w:color w:val="000000"/>
          <w:sz w:val="20"/>
          <w:szCs w:val="20"/>
        </w:rPr>
        <w:t xml:space="preserve">GHD, </w:t>
      </w:r>
      <w:r w:rsidRPr="006166FE">
        <w:rPr>
          <w:rFonts w:eastAsia="Arial"/>
          <w:i/>
          <w:color w:val="000000"/>
          <w:sz w:val="20"/>
          <w:szCs w:val="20"/>
        </w:rPr>
        <w:t>supra</w:t>
      </w:r>
      <w:r w:rsidRPr="006166FE">
        <w:rPr>
          <w:rFonts w:eastAsia="Arial"/>
          <w:color w:val="000000"/>
          <w:sz w:val="20"/>
          <w:szCs w:val="20"/>
        </w:rPr>
        <w:t xml:space="preserve"> para</w:t>
      </w:r>
      <w:r w:rsidR="000A11B8" w:rsidRPr="006166FE">
        <w:rPr>
          <w:rFonts w:eastAsia="Arial"/>
          <w:color w:val="000000"/>
          <w:sz w:val="20"/>
          <w:szCs w:val="20"/>
        </w:rPr>
        <w:t xml:space="preserve"> </w:t>
      </w:r>
      <w:r w:rsidR="006166FE" w:rsidRPr="006166FE">
        <w:rPr>
          <w:rFonts w:eastAsia="Arial"/>
          <w:color w:val="000000"/>
          <w:sz w:val="20"/>
          <w:szCs w:val="20"/>
        </w:rPr>
        <w:t>11</w:t>
      </w:r>
      <w:r w:rsidRPr="006166FE">
        <w:rPr>
          <w:rFonts w:eastAsia="Arial"/>
          <w:color w:val="000000"/>
          <w:sz w:val="20"/>
          <w:szCs w:val="20"/>
        </w:rPr>
        <w:t xml:space="preserve"> at 2.</w:t>
      </w:r>
    </w:p>
    <w:p w14:paraId="1B1F139F" w14:textId="2A9D852B" w:rsidR="4909DF12" w:rsidRPr="006166FE" w:rsidRDefault="123A9755" w:rsidP="4D2A7F8C">
      <w:pPr>
        <w:pStyle w:val="WSParaNum"/>
        <w:numPr>
          <w:ilvl w:val="0"/>
          <w:numId w:val="0"/>
        </w:numPr>
        <w:ind w:firstLine="720"/>
        <w:rPr>
          <w:sz w:val="20"/>
          <w:szCs w:val="20"/>
          <w:lang w:val="en-US"/>
        </w:rPr>
      </w:pPr>
      <w:r w:rsidRPr="006166FE">
        <w:rPr>
          <w:i/>
          <w:iCs/>
          <w:sz w:val="20"/>
          <w:szCs w:val="20"/>
        </w:rPr>
        <w:t>South Bruce</w:t>
      </w:r>
      <w:r w:rsidRPr="006166FE">
        <w:rPr>
          <w:sz w:val="20"/>
          <w:szCs w:val="20"/>
        </w:rPr>
        <w:t xml:space="preserve">, </w:t>
      </w:r>
      <w:r w:rsidRPr="006166FE">
        <w:rPr>
          <w:i/>
          <w:iCs/>
          <w:sz w:val="20"/>
          <w:szCs w:val="20"/>
        </w:rPr>
        <w:t xml:space="preserve">supra </w:t>
      </w:r>
      <w:r w:rsidRPr="006166FE">
        <w:rPr>
          <w:sz w:val="20"/>
          <w:szCs w:val="20"/>
        </w:rPr>
        <w:t xml:space="preserve">para </w:t>
      </w:r>
      <w:r w:rsidR="006166FE" w:rsidRPr="006166FE">
        <w:rPr>
          <w:sz w:val="20"/>
          <w:szCs w:val="20"/>
        </w:rPr>
        <w:t>35</w:t>
      </w:r>
      <w:r w:rsidRPr="006166FE">
        <w:rPr>
          <w:sz w:val="20"/>
          <w:szCs w:val="20"/>
        </w:rPr>
        <w:t xml:space="preserve"> at para 36.</w:t>
      </w:r>
    </w:p>
    <w:p w14:paraId="4A73FE5A" w14:textId="193D75B8" w:rsidR="26A3C038" w:rsidRDefault="4D2A7F8C" w:rsidP="4D2A7F8C">
      <w:pPr>
        <w:pStyle w:val="WSParaNum"/>
        <w:spacing w:before="0" w:after="0"/>
        <w:jc w:val="both"/>
        <w:rPr>
          <w:color w:val="000000"/>
        </w:rPr>
      </w:pPr>
      <w:r>
        <w:rPr>
          <w:color w:val="000000"/>
        </w:rPr>
        <w:t xml:space="preserve">Expert evidence further confirms that the area immediately surrounding the Site was likely used for nesting. Mr. Snell testified that CHL’s grubbing occurred during the active </w:t>
      </w:r>
      <w:r>
        <w:rPr>
          <w:color w:val="000000"/>
        </w:rPr>
        <w:lastRenderedPageBreak/>
        <w:t>nesting season for Blanding’s turtles and that the Site would be used for nesting. A reasonable inference that a nest was present near the Site would have been available to the Trial Justice on the evidence. As such, the grubbing likely resulted in damage or destruction of Blanding’s turtle habitat pursuant to the new definition.</w:t>
      </w:r>
    </w:p>
    <w:p w14:paraId="41BB8D2A" w14:textId="426FFF9D" w:rsidR="6DCFAA61" w:rsidRPr="001A23C6" w:rsidRDefault="00F56FFD" w:rsidP="00331EEE">
      <w:pPr>
        <w:pStyle w:val="WSParaNum"/>
        <w:numPr>
          <w:ilvl w:val="0"/>
          <w:numId w:val="0"/>
        </w:numPr>
        <w:ind w:firstLine="720"/>
        <w:jc w:val="both"/>
        <w:rPr>
          <w:rFonts w:eastAsia="Arial"/>
          <w:sz w:val="20"/>
          <w:szCs w:val="20"/>
        </w:rPr>
      </w:pPr>
      <w:r w:rsidRPr="001A23C6">
        <w:rPr>
          <w:rFonts w:eastAsia="Arial"/>
          <w:sz w:val="20"/>
          <w:szCs w:val="20"/>
        </w:rPr>
        <w:t xml:space="preserve">Trial Decision, </w:t>
      </w:r>
      <w:r w:rsidRPr="001A23C6">
        <w:rPr>
          <w:rFonts w:eastAsia="Arial"/>
          <w:i/>
          <w:iCs/>
          <w:sz w:val="20"/>
          <w:szCs w:val="20"/>
        </w:rPr>
        <w:t>supra</w:t>
      </w:r>
      <w:r w:rsidRPr="001A23C6">
        <w:rPr>
          <w:rFonts w:eastAsia="Arial"/>
          <w:sz w:val="20"/>
          <w:szCs w:val="20"/>
        </w:rPr>
        <w:t xml:space="preserve"> para 9</w:t>
      </w:r>
      <w:r w:rsidR="4909DF12" w:rsidRPr="001A23C6">
        <w:rPr>
          <w:rFonts w:eastAsia="Arial"/>
          <w:sz w:val="20"/>
          <w:szCs w:val="20"/>
        </w:rPr>
        <w:t xml:space="preserve"> at 7.</w:t>
      </w:r>
    </w:p>
    <w:p w14:paraId="7B2BE197" w14:textId="728F384C" w:rsidR="26FC1AEB" w:rsidRPr="001A23C6" w:rsidRDefault="26FC1AEB" w:rsidP="00331EEE">
      <w:pPr>
        <w:pStyle w:val="WSParaNum"/>
        <w:numPr>
          <w:ilvl w:val="0"/>
          <w:numId w:val="0"/>
        </w:numPr>
        <w:ind w:left="720"/>
        <w:jc w:val="both"/>
        <w:rPr>
          <w:sz w:val="20"/>
          <w:szCs w:val="20"/>
        </w:rPr>
      </w:pPr>
      <w:r w:rsidRPr="001A23C6">
        <w:rPr>
          <w:i/>
          <w:iCs/>
          <w:sz w:val="20"/>
          <w:szCs w:val="20"/>
        </w:rPr>
        <w:t>Soltys</w:t>
      </w:r>
      <w:r w:rsidRPr="001A23C6">
        <w:rPr>
          <w:sz w:val="20"/>
          <w:szCs w:val="20"/>
        </w:rPr>
        <w:t xml:space="preserve">, </w:t>
      </w:r>
      <w:r w:rsidRPr="001A23C6">
        <w:rPr>
          <w:i/>
          <w:iCs/>
          <w:sz w:val="20"/>
          <w:szCs w:val="20"/>
        </w:rPr>
        <w:t xml:space="preserve">supra </w:t>
      </w:r>
      <w:r w:rsidRPr="001A23C6">
        <w:rPr>
          <w:sz w:val="20"/>
          <w:szCs w:val="20"/>
        </w:rPr>
        <w:t xml:space="preserve">para </w:t>
      </w:r>
      <w:r w:rsidR="001A23C6" w:rsidRPr="001A23C6">
        <w:rPr>
          <w:sz w:val="20"/>
          <w:szCs w:val="20"/>
        </w:rPr>
        <w:t>67</w:t>
      </w:r>
      <w:r w:rsidR="00331EEE" w:rsidRPr="001A23C6">
        <w:rPr>
          <w:sz w:val="20"/>
          <w:szCs w:val="20"/>
        </w:rPr>
        <w:t xml:space="preserve"> at para </w:t>
      </w:r>
      <w:r w:rsidRPr="001A23C6">
        <w:rPr>
          <w:sz w:val="20"/>
          <w:szCs w:val="20"/>
        </w:rPr>
        <w:t>72.</w:t>
      </w:r>
    </w:p>
    <w:p w14:paraId="2E4EC082" w14:textId="43195B3B" w:rsidR="476E82B5" w:rsidRDefault="4D2A7F8C" w:rsidP="008136FB">
      <w:pPr>
        <w:pStyle w:val="WSParaNum"/>
        <w:jc w:val="both"/>
        <w:rPr>
          <w:color w:val="000000"/>
        </w:rPr>
      </w:pPr>
      <w:r>
        <w:rPr>
          <w:color w:val="000000"/>
        </w:rPr>
        <w:t xml:space="preserve">Accordingly, the Appellant submits that, even under the new </w:t>
      </w:r>
      <w:r>
        <w:rPr>
          <w:i/>
          <w:color w:val="000000"/>
        </w:rPr>
        <w:t>Protect Ontario Act</w:t>
      </w:r>
      <w:r>
        <w:rPr>
          <w:color w:val="000000"/>
        </w:rPr>
        <w:t xml:space="preserve"> definition, the evidence still supports a reasonable inference that the Site constituted an area immediately around a dwelling-place. Since the evidence satisfies a more stringent standard in the new definition, the Site necessarily qualifies as habitat within the original definition set out in the </w:t>
      </w:r>
      <w:r>
        <w:rPr>
          <w:i/>
          <w:color w:val="000000"/>
        </w:rPr>
        <w:t>ESA</w:t>
      </w:r>
      <w:r>
        <w:rPr>
          <w:color w:val="000000"/>
        </w:rPr>
        <w:t>, which governs this appeal.</w:t>
      </w:r>
    </w:p>
    <w:p w14:paraId="727A2C13" w14:textId="77777777" w:rsidR="00DD6E8C" w:rsidRPr="00D678D8" w:rsidRDefault="782D6623" w:rsidP="008136FB">
      <w:pPr>
        <w:pStyle w:val="Heading1"/>
        <w:tabs>
          <w:tab w:val="num" w:pos="720"/>
        </w:tabs>
        <w:spacing w:before="120" w:after="120" w:line="360" w:lineRule="auto"/>
        <w:ind w:left="720" w:hanging="720"/>
        <w:jc w:val="both"/>
        <w:rPr>
          <w:rFonts w:ascii="Times New Roman" w:hAnsi="Times New Roman"/>
          <w:sz w:val="24"/>
          <w:szCs w:val="24"/>
        </w:rPr>
      </w:pPr>
      <w:bookmarkStart w:id="63" w:name="_Toc271703735"/>
      <w:bookmarkStart w:id="64" w:name="_Toc218630727"/>
      <w:bookmarkStart w:id="65" w:name="_Toc218783945"/>
      <w:bookmarkStart w:id="66" w:name="_Toc218846586"/>
      <w:bookmarkStart w:id="67" w:name="_Toc218858288"/>
      <w:r w:rsidRPr="782D6623">
        <w:rPr>
          <w:rFonts w:ascii="Times New Roman" w:hAnsi="Times New Roman"/>
          <w:sz w:val="24"/>
          <w:szCs w:val="24"/>
        </w:rPr>
        <w:t>SUBMISSIONS IN SUPPORT OF COSTS</w:t>
      </w:r>
      <w:bookmarkEnd w:id="63"/>
      <w:bookmarkEnd w:id="64"/>
      <w:bookmarkEnd w:id="65"/>
      <w:bookmarkEnd w:id="66"/>
      <w:bookmarkEnd w:id="67"/>
    </w:p>
    <w:p w14:paraId="25D0114D" w14:textId="352046EE" w:rsidR="00DD6E8C" w:rsidRPr="00D678D8" w:rsidRDefault="782D6623" w:rsidP="008136FB">
      <w:pPr>
        <w:pStyle w:val="WSParaNum"/>
        <w:jc w:val="both"/>
      </w:pPr>
      <w:r w:rsidRPr="782D6623">
        <w:t xml:space="preserve">The Appellant requests costs to be awarded against the Respondents in accordance with the SEMCC’s </w:t>
      </w:r>
      <w:r w:rsidR="492ABF5C" w:rsidRPr="492ABF5C">
        <w:t xml:space="preserve">Official </w:t>
      </w:r>
      <w:r w:rsidRPr="782D6623">
        <w:t>Rules.</w:t>
      </w:r>
    </w:p>
    <w:p w14:paraId="3A348593" w14:textId="77777777" w:rsidR="00DD6E8C" w:rsidRPr="00D678D8" w:rsidRDefault="782D6623" w:rsidP="008136FB">
      <w:pPr>
        <w:pStyle w:val="Heading1"/>
        <w:tabs>
          <w:tab w:val="num" w:pos="720"/>
        </w:tabs>
        <w:spacing w:before="120" w:after="120" w:line="360" w:lineRule="auto"/>
        <w:ind w:left="720" w:hanging="720"/>
        <w:jc w:val="both"/>
        <w:rPr>
          <w:rFonts w:ascii="Times New Roman" w:hAnsi="Times New Roman"/>
          <w:sz w:val="24"/>
          <w:szCs w:val="24"/>
        </w:rPr>
      </w:pPr>
      <w:bookmarkStart w:id="68" w:name="_Toc271703736"/>
      <w:bookmarkStart w:id="69" w:name="_Toc218630728"/>
      <w:bookmarkStart w:id="70" w:name="_Toc218783946"/>
      <w:bookmarkStart w:id="71" w:name="_Toc218846587"/>
      <w:bookmarkStart w:id="72" w:name="_Toc218858289"/>
      <w:r w:rsidRPr="782D6623">
        <w:rPr>
          <w:rFonts w:ascii="Times New Roman" w:hAnsi="Times New Roman"/>
          <w:sz w:val="24"/>
          <w:szCs w:val="24"/>
        </w:rPr>
        <w:t>ORDER SOUGHT</w:t>
      </w:r>
      <w:bookmarkEnd w:id="68"/>
      <w:bookmarkEnd w:id="69"/>
      <w:bookmarkEnd w:id="70"/>
      <w:bookmarkEnd w:id="71"/>
      <w:bookmarkEnd w:id="72"/>
    </w:p>
    <w:p w14:paraId="0A8DD1E7" w14:textId="325F17EE" w:rsidR="00D251A7" w:rsidRDefault="782D6623" w:rsidP="3BABE792">
      <w:pPr>
        <w:pStyle w:val="WSParaNum"/>
        <w:spacing w:before="0" w:after="0"/>
        <w:jc w:val="both"/>
      </w:pPr>
      <w:r>
        <w:t>The Appellant seeks an order that the appeal be allowed with costs.</w:t>
      </w:r>
    </w:p>
    <w:p w14:paraId="5C8574FF" w14:textId="77777777" w:rsidR="00D251A7" w:rsidRDefault="00D251A7" w:rsidP="54ED07DF">
      <w:pPr>
        <w:pStyle w:val="WSParaNum"/>
        <w:numPr>
          <w:ilvl w:val="0"/>
          <w:numId w:val="0"/>
        </w:numPr>
        <w:spacing w:before="0" w:after="0"/>
        <w:jc w:val="both"/>
      </w:pPr>
    </w:p>
    <w:p w14:paraId="6B440729" w14:textId="0EA23AEB" w:rsidR="00DD6E8C" w:rsidRPr="00D678D8" w:rsidRDefault="00DD6E8C" w:rsidP="2AAD9F02">
      <w:pPr>
        <w:spacing w:line="360" w:lineRule="auto"/>
        <w:jc w:val="both"/>
      </w:pPr>
      <w:r w:rsidRPr="00D678D8">
        <w:t>ALL OF WHICH IS</w:t>
      </w:r>
      <w:r w:rsidR="002149CF">
        <w:t xml:space="preserve"> RESPECTFULLY SUBMITTED this </w:t>
      </w:r>
      <w:r w:rsidR="00403F88">
        <w:t>9</w:t>
      </w:r>
      <w:r w:rsidRPr="00D678D8">
        <w:t xml:space="preserve"> day of</w:t>
      </w:r>
      <w:r w:rsidR="002149CF">
        <w:t xml:space="preserve"> </w:t>
      </w:r>
      <w:r w:rsidR="000C2782">
        <w:t>January</w:t>
      </w:r>
      <w:r w:rsidR="00616806">
        <w:t xml:space="preserve">, </w:t>
      </w:r>
      <w:r w:rsidR="003526C9">
        <w:t>20</w:t>
      </w:r>
      <w:r w:rsidR="00C71774">
        <w:t>2</w:t>
      </w:r>
      <w:r w:rsidR="00CC6007">
        <w:t>6</w:t>
      </w:r>
      <w:r w:rsidRPr="00D678D8">
        <w:t>.</w:t>
      </w:r>
    </w:p>
    <w:p w14:paraId="2BD3919A" w14:textId="77777777" w:rsidR="00334F22" w:rsidRPr="00D678D8" w:rsidRDefault="00334F22" w:rsidP="00DD6E8C">
      <w:pPr>
        <w:spacing w:line="360" w:lineRule="auto"/>
      </w:pPr>
    </w:p>
    <w:p w14:paraId="6E859563" w14:textId="77777777" w:rsidR="00334F22" w:rsidRPr="00DD6E8C" w:rsidRDefault="00334F22" w:rsidP="003822BD">
      <w:pPr>
        <w:jc w:val="right"/>
      </w:pPr>
      <w:r>
        <w:t>_______________________________</w:t>
      </w:r>
    </w:p>
    <w:p w14:paraId="15C0EC01" w14:textId="2785BE0A" w:rsidR="00A85602" w:rsidRPr="00DD6E8C" w:rsidRDefault="00835090" w:rsidP="003822BD">
      <w:pPr>
        <w:jc w:val="right"/>
      </w:pPr>
      <w:r>
        <w:t>Connor Bradley</w:t>
      </w:r>
    </w:p>
    <w:p w14:paraId="252AB1B7" w14:textId="77777777" w:rsidR="00A85602" w:rsidRDefault="00A85602" w:rsidP="003822BD"/>
    <w:p w14:paraId="71F07AAA" w14:textId="77777777" w:rsidR="00334F22" w:rsidRDefault="00334F22" w:rsidP="003822BD"/>
    <w:p w14:paraId="319ECD03" w14:textId="77777777" w:rsidR="00334F22" w:rsidRPr="00DD6E8C" w:rsidRDefault="00334F22" w:rsidP="003822BD">
      <w:pPr>
        <w:jc w:val="right"/>
      </w:pPr>
      <w:r>
        <w:t>_______________________________</w:t>
      </w:r>
    </w:p>
    <w:p w14:paraId="342BAC4E" w14:textId="30468A9F" w:rsidR="00334F22" w:rsidRPr="00DD6E8C" w:rsidRDefault="00835090" w:rsidP="003822BD">
      <w:pPr>
        <w:jc w:val="right"/>
      </w:pPr>
      <w:r>
        <w:t>Kaelan Leslie</w:t>
      </w:r>
    </w:p>
    <w:p w14:paraId="0A7DF95E" w14:textId="77777777" w:rsidR="00334F22" w:rsidRDefault="00334F22" w:rsidP="003822BD"/>
    <w:p w14:paraId="1DD43423" w14:textId="77777777" w:rsidR="00334F22" w:rsidRDefault="00334F22" w:rsidP="003822BD"/>
    <w:p w14:paraId="70E0E3E6" w14:textId="77777777" w:rsidR="00334F22" w:rsidRPr="00DD6E8C" w:rsidRDefault="00334F22" w:rsidP="003822BD">
      <w:pPr>
        <w:jc w:val="right"/>
      </w:pPr>
      <w:r>
        <w:t>_______________________________</w:t>
      </w:r>
    </w:p>
    <w:p w14:paraId="7E93EFCD" w14:textId="5C1F1184" w:rsidR="00334F22" w:rsidRDefault="00835090" w:rsidP="003822BD">
      <w:pPr>
        <w:jc w:val="right"/>
      </w:pPr>
      <w:r>
        <w:t>Michael Bergen</w:t>
      </w:r>
    </w:p>
    <w:p w14:paraId="0C63986B" w14:textId="77777777" w:rsidR="003822BD" w:rsidRDefault="003822BD" w:rsidP="003822BD">
      <w:pPr>
        <w:jc w:val="right"/>
      </w:pPr>
    </w:p>
    <w:p w14:paraId="63DAE79B" w14:textId="0372BAF5" w:rsidR="003822BD" w:rsidRDefault="003822BD" w:rsidP="003822BD">
      <w:pPr>
        <w:jc w:val="right"/>
      </w:pPr>
      <w:r>
        <w:t>Counsel for the Appellant</w:t>
      </w:r>
    </w:p>
    <w:p w14:paraId="0003EE8F" w14:textId="538085BC" w:rsidR="0001047F" w:rsidRDefault="4D2A7F8C" w:rsidP="003822BD">
      <w:pPr>
        <w:jc w:val="right"/>
      </w:pPr>
      <w:r>
        <w:t>His Majesty The King</w:t>
      </w:r>
    </w:p>
    <w:p w14:paraId="5C48AB5C" w14:textId="2B92BD1D" w:rsidR="4D2A7F8C" w:rsidRDefault="4D2A7F8C" w:rsidP="4D2A7F8C">
      <w:pPr>
        <w:jc w:val="right"/>
      </w:pPr>
    </w:p>
    <w:p w14:paraId="26794E0D" w14:textId="5F23E15C" w:rsidR="2564AB76" w:rsidRDefault="2564AB76" w:rsidP="00D50007"/>
    <w:p w14:paraId="33C8CA57" w14:textId="68661270" w:rsidR="0044118E" w:rsidRPr="0044118E" w:rsidRDefault="0044118E" w:rsidP="00D921E9">
      <w:pPr>
        <w:pStyle w:val="Heading1"/>
        <w:tabs>
          <w:tab w:val="num" w:pos="720"/>
        </w:tabs>
        <w:spacing w:before="0" w:after="0" w:line="360" w:lineRule="auto"/>
        <w:ind w:left="720" w:hanging="720"/>
        <w:rPr>
          <w:rFonts w:ascii="Times New Roman" w:hAnsi="Times New Roman"/>
          <w:sz w:val="24"/>
          <w:szCs w:val="24"/>
        </w:rPr>
      </w:pPr>
      <w:bookmarkStart w:id="73" w:name="_Toc218630729"/>
      <w:bookmarkStart w:id="74" w:name="_Toc218783947"/>
      <w:bookmarkStart w:id="75" w:name="_Toc218846588"/>
      <w:bookmarkStart w:id="76" w:name="_Toc218858290"/>
      <w:r>
        <w:rPr>
          <w:rFonts w:ascii="Times New Roman" w:hAnsi="Times New Roman"/>
          <w:sz w:val="24"/>
          <w:szCs w:val="24"/>
        </w:rPr>
        <w:lastRenderedPageBreak/>
        <w:t>TABLE OF AUTHORITIES</w:t>
      </w:r>
      <w:bookmarkEnd w:id="73"/>
      <w:bookmarkEnd w:id="74"/>
      <w:bookmarkEnd w:id="75"/>
      <w:bookmarkEnd w:id="76"/>
    </w:p>
    <w:p w14:paraId="7C9D0CAB" w14:textId="77777777" w:rsidR="00AC2412" w:rsidRDefault="00AC2412" w:rsidP="008D22C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4B4FE0" w14:paraId="1EF960F6" w14:textId="77777777" w:rsidTr="4909DF12">
        <w:tc>
          <w:tcPr>
            <w:tcW w:w="4788" w:type="dxa"/>
          </w:tcPr>
          <w:p w14:paraId="41B70E5D" w14:textId="77777777" w:rsidR="00AC2412" w:rsidRPr="00AC2412" w:rsidRDefault="00AC2412" w:rsidP="00A751FD">
            <w:pPr>
              <w:pStyle w:val="WSParaNum"/>
              <w:numPr>
                <w:ilvl w:val="0"/>
                <w:numId w:val="0"/>
              </w:numPr>
              <w:spacing w:before="0" w:after="0"/>
              <w:rPr>
                <w:b/>
                <w:bCs/>
              </w:rPr>
            </w:pPr>
            <w:r>
              <w:rPr>
                <w:b/>
                <w:bCs/>
              </w:rPr>
              <w:t>Legislation</w:t>
            </w:r>
          </w:p>
        </w:tc>
        <w:tc>
          <w:tcPr>
            <w:tcW w:w="4788" w:type="dxa"/>
          </w:tcPr>
          <w:p w14:paraId="26AEE7A5" w14:textId="77777777" w:rsidR="00AC2412" w:rsidRPr="00AC2412" w:rsidRDefault="00AC2412" w:rsidP="00A751FD">
            <w:pPr>
              <w:pStyle w:val="WSParaNum"/>
              <w:numPr>
                <w:ilvl w:val="0"/>
                <w:numId w:val="0"/>
              </w:numPr>
              <w:spacing w:before="0" w:after="0"/>
            </w:pPr>
            <w:r>
              <w:rPr>
                <w:b/>
                <w:bCs/>
              </w:rPr>
              <w:t>Paragraph No.</w:t>
            </w:r>
          </w:p>
        </w:tc>
      </w:tr>
      <w:tr w:rsidR="004B4FE0" w14:paraId="1EA1799E" w14:textId="77777777" w:rsidTr="4909DF12">
        <w:tc>
          <w:tcPr>
            <w:tcW w:w="4788" w:type="dxa"/>
          </w:tcPr>
          <w:p w14:paraId="3FD95323" w14:textId="5FF42F54" w:rsidR="0019085B" w:rsidRPr="00651427" w:rsidRDefault="00732D8E" w:rsidP="00651427">
            <w:pPr>
              <w:pStyle w:val="WSParaNum"/>
              <w:numPr>
                <w:ilvl w:val="0"/>
                <w:numId w:val="0"/>
              </w:numPr>
              <w:spacing w:before="0" w:after="0" w:line="276" w:lineRule="auto"/>
              <w:jc w:val="both"/>
            </w:pPr>
            <w:r w:rsidRPr="00651427">
              <w:rPr>
                <w:i/>
                <w:iCs/>
              </w:rPr>
              <w:t xml:space="preserve">Criminal Code, </w:t>
            </w:r>
            <w:r w:rsidRPr="00651427">
              <w:t>RSC 1985, c. C-46, s 686(1)(a).</w:t>
            </w:r>
          </w:p>
        </w:tc>
        <w:tc>
          <w:tcPr>
            <w:tcW w:w="4788" w:type="dxa"/>
          </w:tcPr>
          <w:p w14:paraId="0F572E8C" w14:textId="254BE93F" w:rsidR="0019085B" w:rsidRPr="00651427" w:rsidRDefault="00F56FFD" w:rsidP="00651427">
            <w:pPr>
              <w:pStyle w:val="WSParaNum"/>
              <w:numPr>
                <w:ilvl w:val="0"/>
                <w:numId w:val="0"/>
              </w:numPr>
              <w:spacing w:before="0" w:after="0" w:line="240" w:lineRule="auto"/>
            </w:pPr>
            <w:r>
              <w:t>22</w:t>
            </w:r>
            <w:r w:rsidR="00A72133">
              <w:t>.</w:t>
            </w:r>
          </w:p>
        </w:tc>
      </w:tr>
      <w:tr w:rsidR="004B4FE0" w14:paraId="1A4C44CF" w14:textId="77777777" w:rsidTr="4909DF12">
        <w:tc>
          <w:tcPr>
            <w:tcW w:w="4788" w:type="dxa"/>
          </w:tcPr>
          <w:p w14:paraId="0879D9DE" w14:textId="16C1320B" w:rsidR="0019085B" w:rsidRPr="00651427" w:rsidRDefault="4909DF12" w:rsidP="00651427">
            <w:pPr>
              <w:pStyle w:val="WSParaNum"/>
              <w:numPr>
                <w:ilvl w:val="0"/>
                <w:numId w:val="0"/>
              </w:numPr>
              <w:spacing w:before="0" w:after="0" w:line="276" w:lineRule="auto"/>
              <w:rPr>
                <w:rFonts w:eastAsia="Arial"/>
                <w:color w:val="000000"/>
              </w:rPr>
            </w:pPr>
            <w:r w:rsidRPr="00651427">
              <w:rPr>
                <w:rFonts w:eastAsia="Arial"/>
                <w:i/>
                <w:color w:val="000000"/>
              </w:rPr>
              <w:t>Endangered Species Act</w:t>
            </w:r>
            <w:r w:rsidRPr="00651427">
              <w:rPr>
                <w:rFonts w:eastAsia="Arial"/>
                <w:color w:val="000000"/>
              </w:rPr>
              <w:t xml:space="preserve">, </w:t>
            </w:r>
            <w:r w:rsidRPr="00651427">
              <w:rPr>
                <w:rFonts w:eastAsia="Arial"/>
                <w:i/>
                <w:color w:val="000000"/>
              </w:rPr>
              <w:t>2007</w:t>
            </w:r>
            <w:r w:rsidRPr="00651427">
              <w:rPr>
                <w:rFonts w:eastAsia="Arial"/>
                <w:color w:val="000000"/>
              </w:rPr>
              <w:t>, SO 2007, c. 6.</w:t>
            </w:r>
          </w:p>
          <w:p w14:paraId="600983CC" w14:textId="77777777" w:rsidR="00AC2412" w:rsidRPr="00651427" w:rsidRDefault="00AC2412" w:rsidP="00651427">
            <w:pPr>
              <w:pStyle w:val="WSParaNum"/>
              <w:numPr>
                <w:ilvl w:val="0"/>
                <w:numId w:val="0"/>
              </w:numPr>
              <w:spacing w:before="0" w:after="0" w:line="276" w:lineRule="auto"/>
            </w:pPr>
          </w:p>
        </w:tc>
        <w:tc>
          <w:tcPr>
            <w:tcW w:w="4788" w:type="dxa"/>
          </w:tcPr>
          <w:p w14:paraId="68121F6B" w14:textId="6C3FE4DC" w:rsidR="00AC2412" w:rsidRPr="00651427" w:rsidRDefault="4909DF12" w:rsidP="00651427">
            <w:pPr>
              <w:pStyle w:val="WSParaNum"/>
              <w:numPr>
                <w:ilvl w:val="0"/>
                <w:numId w:val="0"/>
              </w:numPr>
              <w:spacing w:before="0" w:after="0" w:line="240" w:lineRule="auto"/>
            </w:pPr>
            <w:r w:rsidRPr="00651427">
              <w:t>2, 7</w:t>
            </w:r>
            <w:r w:rsidR="001474BD">
              <w:t>, 14</w:t>
            </w:r>
            <w:r w:rsidR="00457F7D">
              <w:t>, 49, 51</w:t>
            </w:r>
            <w:r w:rsidR="00A72133">
              <w:t>–</w:t>
            </w:r>
            <w:r w:rsidR="00E958AE">
              <w:t>54</w:t>
            </w:r>
            <w:r w:rsidR="00873FBC">
              <w:t>, 57, 62</w:t>
            </w:r>
            <w:r w:rsidR="00A72133">
              <w:t>.</w:t>
            </w:r>
          </w:p>
        </w:tc>
      </w:tr>
      <w:tr w:rsidR="004B4FE0" w14:paraId="4CD82C4D" w14:textId="77777777" w:rsidTr="4909DF12">
        <w:tc>
          <w:tcPr>
            <w:tcW w:w="4788" w:type="dxa"/>
          </w:tcPr>
          <w:p w14:paraId="0068DA71" w14:textId="5263EEC0" w:rsidR="00BF1BCA" w:rsidRPr="00651427" w:rsidRDefault="00BF1BCA" w:rsidP="00651427">
            <w:pPr>
              <w:pStyle w:val="WSParaNum"/>
              <w:numPr>
                <w:ilvl w:val="0"/>
                <w:numId w:val="0"/>
              </w:numPr>
              <w:spacing w:before="0" w:after="0" w:line="276" w:lineRule="auto"/>
              <w:jc w:val="both"/>
              <w:rPr>
                <w:lang w:val="en-US"/>
              </w:rPr>
            </w:pPr>
            <w:r w:rsidRPr="00651427">
              <w:rPr>
                <w:i/>
                <w:iCs/>
                <w:lang w:val="en-US"/>
              </w:rPr>
              <w:t>Fisheries Act</w:t>
            </w:r>
            <w:r w:rsidRPr="00651427">
              <w:rPr>
                <w:lang w:val="en-US"/>
              </w:rPr>
              <w:t>, RSC 1985, c F-14.</w:t>
            </w:r>
          </w:p>
          <w:p w14:paraId="7AF8731E" w14:textId="77777777" w:rsidR="00AC2412" w:rsidRPr="00651427" w:rsidRDefault="00AC2412" w:rsidP="00651427">
            <w:pPr>
              <w:pStyle w:val="WSParaNum"/>
              <w:numPr>
                <w:ilvl w:val="0"/>
                <w:numId w:val="0"/>
              </w:numPr>
              <w:spacing w:before="0" w:after="0" w:line="276" w:lineRule="auto"/>
            </w:pPr>
          </w:p>
        </w:tc>
        <w:tc>
          <w:tcPr>
            <w:tcW w:w="4788" w:type="dxa"/>
          </w:tcPr>
          <w:p w14:paraId="28652F66" w14:textId="6A3BB6FE" w:rsidR="00AC2412" w:rsidRPr="00651427" w:rsidRDefault="009E1CFE" w:rsidP="00651427">
            <w:pPr>
              <w:pStyle w:val="WSParaNum"/>
              <w:numPr>
                <w:ilvl w:val="0"/>
                <w:numId w:val="0"/>
              </w:numPr>
              <w:spacing w:before="0" w:after="0" w:line="240" w:lineRule="auto"/>
            </w:pPr>
            <w:r>
              <w:t>57</w:t>
            </w:r>
            <w:r w:rsidR="00A72133">
              <w:t>.</w:t>
            </w:r>
          </w:p>
        </w:tc>
      </w:tr>
      <w:tr w:rsidR="004B4FE0" w14:paraId="0DC54F0F" w14:textId="77777777" w:rsidTr="4909DF12">
        <w:tc>
          <w:tcPr>
            <w:tcW w:w="4788" w:type="dxa"/>
          </w:tcPr>
          <w:p w14:paraId="47089ED2" w14:textId="0FB699D5" w:rsidR="0019085B" w:rsidRPr="00651427" w:rsidRDefault="4909DF12" w:rsidP="00651427">
            <w:pPr>
              <w:pStyle w:val="WSParaNum"/>
              <w:numPr>
                <w:ilvl w:val="0"/>
                <w:numId w:val="0"/>
              </w:numPr>
              <w:spacing w:before="0" w:after="0" w:line="276" w:lineRule="auto"/>
            </w:pPr>
            <w:r w:rsidRPr="00651427">
              <w:rPr>
                <w:i/>
                <w:iCs/>
              </w:rPr>
              <w:t xml:space="preserve">Legislation Act, </w:t>
            </w:r>
            <w:r w:rsidRPr="00651427">
              <w:t>SO 2006, c 21, Sch</w:t>
            </w:r>
            <w:r w:rsidR="00E71FFA" w:rsidRPr="00651427">
              <w:t>.</w:t>
            </w:r>
            <w:r w:rsidRPr="00651427">
              <w:t xml:space="preserve"> F</w:t>
            </w:r>
            <w:r w:rsidR="00BA2116" w:rsidRPr="00651427">
              <w:t>.</w:t>
            </w:r>
          </w:p>
          <w:p w14:paraId="7A331380" w14:textId="77777777" w:rsidR="0019085B" w:rsidRPr="00651427" w:rsidRDefault="0019085B" w:rsidP="00651427">
            <w:pPr>
              <w:pStyle w:val="WSParaNum"/>
              <w:numPr>
                <w:ilvl w:val="0"/>
                <w:numId w:val="0"/>
              </w:numPr>
              <w:spacing w:before="0" w:after="0" w:line="276" w:lineRule="auto"/>
            </w:pPr>
          </w:p>
        </w:tc>
        <w:tc>
          <w:tcPr>
            <w:tcW w:w="4788" w:type="dxa"/>
          </w:tcPr>
          <w:p w14:paraId="1480017A" w14:textId="0FE81DD8" w:rsidR="0019085B" w:rsidRPr="00651427" w:rsidRDefault="006166FE" w:rsidP="00651427">
            <w:pPr>
              <w:pStyle w:val="WSParaNum"/>
              <w:numPr>
                <w:ilvl w:val="0"/>
                <w:numId w:val="0"/>
              </w:numPr>
              <w:spacing w:before="0" w:after="0" w:line="240" w:lineRule="auto"/>
            </w:pPr>
            <w:r>
              <w:t>78</w:t>
            </w:r>
            <w:r w:rsidR="00A72133">
              <w:t>–</w:t>
            </w:r>
            <w:r w:rsidR="00C60CFB">
              <w:t>79</w:t>
            </w:r>
            <w:r w:rsidR="00A72133">
              <w:t>.</w:t>
            </w:r>
          </w:p>
        </w:tc>
      </w:tr>
      <w:tr w:rsidR="004B4FE0" w14:paraId="55919A36" w14:textId="77777777" w:rsidTr="4909DF12">
        <w:tc>
          <w:tcPr>
            <w:tcW w:w="4788" w:type="dxa"/>
          </w:tcPr>
          <w:p w14:paraId="7D9B0800" w14:textId="06428292" w:rsidR="0019085B" w:rsidRPr="00651427" w:rsidRDefault="4909DF12" w:rsidP="00651427">
            <w:pPr>
              <w:pStyle w:val="WSParaNum"/>
              <w:numPr>
                <w:ilvl w:val="0"/>
                <w:numId w:val="0"/>
              </w:numPr>
              <w:spacing w:before="0" w:after="0" w:line="276" w:lineRule="auto"/>
              <w:rPr>
                <w:rFonts w:eastAsia="Arial"/>
                <w:color w:val="000000"/>
              </w:rPr>
            </w:pPr>
            <w:r w:rsidRPr="00651427">
              <w:rPr>
                <w:rFonts w:eastAsia="Arial"/>
                <w:i/>
                <w:color w:val="000000"/>
              </w:rPr>
              <w:t>Provincial Offences Act</w:t>
            </w:r>
            <w:r w:rsidRPr="00651427">
              <w:rPr>
                <w:rFonts w:eastAsia="Arial"/>
                <w:color w:val="000000"/>
              </w:rPr>
              <w:t>, RSO 1990, c P.33</w:t>
            </w:r>
            <w:r w:rsidR="1B82AFAD" w:rsidRPr="00651427">
              <w:rPr>
                <w:rFonts w:eastAsia="Arial"/>
                <w:color w:val="000000"/>
              </w:rPr>
              <w:t>.</w:t>
            </w:r>
          </w:p>
          <w:p w14:paraId="6CFF0006" w14:textId="77777777" w:rsidR="0019085B" w:rsidRPr="00651427" w:rsidRDefault="0019085B" w:rsidP="00651427">
            <w:pPr>
              <w:pStyle w:val="WSParaNum"/>
              <w:numPr>
                <w:ilvl w:val="0"/>
                <w:numId w:val="0"/>
              </w:numPr>
              <w:spacing w:before="0" w:after="0" w:line="276" w:lineRule="auto"/>
            </w:pPr>
          </w:p>
        </w:tc>
        <w:tc>
          <w:tcPr>
            <w:tcW w:w="4788" w:type="dxa"/>
          </w:tcPr>
          <w:p w14:paraId="0DB0E017" w14:textId="56CDACB4" w:rsidR="0019085B" w:rsidRPr="00651427" w:rsidRDefault="4909DF12" w:rsidP="00651427">
            <w:pPr>
              <w:pStyle w:val="WSParaNum"/>
              <w:numPr>
                <w:ilvl w:val="0"/>
                <w:numId w:val="0"/>
              </w:numPr>
              <w:spacing w:before="0" w:after="0" w:line="240" w:lineRule="auto"/>
            </w:pPr>
            <w:r w:rsidRPr="00651427">
              <w:t xml:space="preserve">2, 18, </w:t>
            </w:r>
            <w:r w:rsidR="001474BD">
              <w:t>21</w:t>
            </w:r>
            <w:r w:rsidR="00A72133">
              <w:t>–</w:t>
            </w:r>
            <w:r w:rsidR="001474BD">
              <w:t>22, 25, 27, 29</w:t>
            </w:r>
            <w:r w:rsidR="00A72133">
              <w:t>.</w:t>
            </w:r>
          </w:p>
        </w:tc>
      </w:tr>
      <w:tr w:rsidR="004B4FE0" w14:paraId="7E3777E9" w14:textId="77777777" w:rsidTr="4909DF12">
        <w:tc>
          <w:tcPr>
            <w:tcW w:w="4788" w:type="dxa"/>
          </w:tcPr>
          <w:p w14:paraId="4DD5EAE0" w14:textId="7AFB2490" w:rsidR="0019085B" w:rsidRPr="00651427" w:rsidRDefault="00BF1BCA" w:rsidP="00651427">
            <w:pPr>
              <w:pStyle w:val="WSParaNum"/>
              <w:numPr>
                <w:ilvl w:val="0"/>
                <w:numId w:val="0"/>
              </w:numPr>
              <w:spacing w:before="0" w:after="0" w:line="276" w:lineRule="auto"/>
            </w:pPr>
            <w:r w:rsidRPr="00651427">
              <w:rPr>
                <w:i/>
                <w:iCs/>
              </w:rPr>
              <w:t>Protect Ontario by Unleashing our Economy Act</w:t>
            </w:r>
            <w:r w:rsidRPr="00651427">
              <w:t xml:space="preserve">, </w:t>
            </w:r>
            <w:r w:rsidRPr="00651427">
              <w:rPr>
                <w:i/>
                <w:iCs/>
              </w:rPr>
              <w:t>2025</w:t>
            </w:r>
            <w:r w:rsidRPr="00651427">
              <w:t>, Sch</w:t>
            </w:r>
            <w:r w:rsidR="00E71FFA" w:rsidRPr="00651427">
              <w:t>.</w:t>
            </w:r>
            <w:r w:rsidRPr="00651427">
              <w:t xml:space="preserve"> 2</w:t>
            </w:r>
            <w:r w:rsidR="00371ABC" w:rsidRPr="00651427">
              <w:t>.</w:t>
            </w:r>
          </w:p>
        </w:tc>
        <w:tc>
          <w:tcPr>
            <w:tcW w:w="4788" w:type="dxa"/>
          </w:tcPr>
          <w:p w14:paraId="22A06460" w14:textId="2B6748F0" w:rsidR="0019085B" w:rsidRPr="00651427" w:rsidRDefault="009A5A87" w:rsidP="00651427">
            <w:pPr>
              <w:pStyle w:val="WSParaNum"/>
              <w:numPr>
                <w:ilvl w:val="0"/>
                <w:numId w:val="0"/>
              </w:numPr>
              <w:spacing w:before="0" w:after="0" w:line="240" w:lineRule="auto"/>
            </w:pPr>
            <w:r>
              <w:t>77</w:t>
            </w:r>
            <w:r w:rsidR="00C60CFB">
              <w:t>, 79</w:t>
            </w:r>
            <w:r w:rsidR="00A72133">
              <w:t>.</w:t>
            </w:r>
          </w:p>
        </w:tc>
      </w:tr>
      <w:tr w:rsidR="004B4FE0" w14:paraId="5A87BA48" w14:textId="77777777" w:rsidTr="4909DF12">
        <w:tc>
          <w:tcPr>
            <w:tcW w:w="4788" w:type="dxa"/>
          </w:tcPr>
          <w:p w14:paraId="289AB4B8" w14:textId="6C66D341" w:rsidR="00AC0298" w:rsidRPr="00651427" w:rsidRDefault="4909DF12" w:rsidP="00651427">
            <w:pPr>
              <w:pStyle w:val="WSParaNum"/>
              <w:numPr>
                <w:ilvl w:val="0"/>
                <w:numId w:val="0"/>
              </w:numPr>
              <w:spacing w:before="0" w:after="0" w:line="276" w:lineRule="auto"/>
              <w:rPr>
                <w:i/>
                <w:iCs/>
              </w:rPr>
            </w:pPr>
            <w:r w:rsidRPr="00651427">
              <w:rPr>
                <w:i/>
                <w:iCs/>
              </w:rPr>
              <w:t xml:space="preserve">Species at Risk in Ontario List, </w:t>
            </w:r>
            <w:r w:rsidRPr="00651427">
              <w:t>O Reg 230/08, Sch</w:t>
            </w:r>
            <w:r w:rsidR="00E71FFA" w:rsidRPr="00651427">
              <w:t>.</w:t>
            </w:r>
            <w:r w:rsidRPr="00651427">
              <w:t xml:space="preserve"> 3.</w:t>
            </w:r>
          </w:p>
        </w:tc>
        <w:tc>
          <w:tcPr>
            <w:tcW w:w="4788" w:type="dxa"/>
          </w:tcPr>
          <w:p w14:paraId="5213BEB3" w14:textId="3465E6F8" w:rsidR="00AC0298" w:rsidRPr="00651427" w:rsidRDefault="4909DF12" w:rsidP="00651427">
            <w:pPr>
              <w:pStyle w:val="WSParaNum"/>
              <w:numPr>
                <w:ilvl w:val="0"/>
                <w:numId w:val="0"/>
              </w:numPr>
              <w:spacing w:before="0" w:after="0" w:line="240" w:lineRule="auto"/>
            </w:pPr>
            <w:r w:rsidRPr="00651427">
              <w:t>7</w:t>
            </w:r>
            <w:r w:rsidR="00A72133">
              <w:t>.</w:t>
            </w:r>
          </w:p>
        </w:tc>
      </w:tr>
      <w:tr w:rsidR="004B4FE0" w14:paraId="4679DD03" w14:textId="77777777" w:rsidTr="4909DF12">
        <w:tc>
          <w:tcPr>
            <w:tcW w:w="4788" w:type="dxa"/>
          </w:tcPr>
          <w:p w14:paraId="01F4F671" w14:textId="749B7981" w:rsidR="00A751FD" w:rsidRPr="00651427" w:rsidRDefault="00371ABC" w:rsidP="00651427">
            <w:pPr>
              <w:pStyle w:val="WSParaNum"/>
              <w:numPr>
                <w:ilvl w:val="0"/>
                <w:numId w:val="0"/>
              </w:numPr>
              <w:spacing w:before="0" w:after="0" w:line="276" w:lineRule="auto"/>
              <w:jc w:val="both"/>
              <w:rPr>
                <w:i/>
                <w:iCs/>
              </w:rPr>
            </w:pPr>
            <w:r w:rsidRPr="00651427">
              <w:rPr>
                <w:i/>
                <w:iCs/>
              </w:rPr>
              <w:t xml:space="preserve">Species Conservation Act, 2025, </w:t>
            </w:r>
            <w:r w:rsidRPr="00651427">
              <w:t>SO 2025, c 4, Sch. 10.</w:t>
            </w:r>
          </w:p>
        </w:tc>
        <w:tc>
          <w:tcPr>
            <w:tcW w:w="4788" w:type="dxa"/>
          </w:tcPr>
          <w:p w14:paraId="2D9EF716" w14:textId="445A9262" w:rsidR="00A751FD" w:rsidRPr="00651427" w:rsidRDefault="009A5A87" w:rsidP="00651427">
            <w:pPr>
              <w:pStyle w:val="WSParaNum"/>
              <w:numPr>
                <w:ilvl w:val="0"/>
                <w:numId w:val="0"/>
              </w:numPr>
              <w:spacing w:before="0" w:after="0" w:line="240" w:lineRule="auto"/>
            </w:pPr>
            <w:r>
              <w:t>77</w:t>
            </w:r>
            <w:r w:rsidR="00A72133">
              <w:t>.</w:t>
            </w:r>
          </w:p>
        </w:tc>
      </w:tr>
    </w:tbl>
    <w:p w14:paraId="1C28746B" w14:textId="77777777" w:rsidR="00AC2412" w:rsidRDefault="00AC2412" w:rsidP="4909DF12">
      <w:pPr>
        <w:pStyle w:val="WSParaNum"/>
        <w:numPr>
          <w:ilvl w:val="0"/>
          <w:numId w:val="0"/>
        </w:numPr>
        <w:spacing w:before="0"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4B4FE0" w14:paraId="313BC26D" w14:textId="77777777" w:rsidTr="4D2A7F8C">
        <w:tc>
          <w:tcPr>
            <w:tcW w:w="4788" w:type="dxa"/>
          </w:tcPr>
          <w:p w14:paraId="5706FCAB" w14:textId="77777777" w:rsidR="00AC2412" w:rsidRPr="00AC2412" w:rsidRDefault="4909DF12" w:rsidP="4909DF12">
            <w:pPr>
              <w:pStyle w:val="WSParaNum"/>
              <w:numPr>
                <w:ilvl w:val="0"/>
                <w:numId w:val="0"/>
              </w:numPr>
              <w:spacing w:before="0" w:after="0" w:line="240" w:lineRule="auto"/>
              <w:rPr>
                <w:b/>
                <w:bCs/>
              </w:rPr>
            </w:pPr>
            <w:r w:rsidRPr="4909DF12">
              <w:rPr>
                <w:b/>
                <w:bCs/>
              </w:rPr>
              <w:t>Case Law</w:t>
            </w:r>
          </w:p>
        </w:tc>
        <w:tc>
          <w:tcPr>
            <w:tcW w:w="4788" w:type="dxa"/>
          </w:tcPr>
          <w:p w14:paraId="4218171E" w14:textId="77777777" w:rsidR="00AC2412" w:rsidRPr="00AC2412" w:rsidRDefault="4909DF12" w:rsidP="4909DF12">
            <w:pPr>
              <w:pStyle w:val="WSParaNum"/>
              <w:numPr>
                <w:ilvl w:val="0"/>
                <w:numId w:val="0"/>
              </w:numPr>
              <w:spacing w:before="0" w:after="0" w:line="240" w:lineRule="auto"/>
              <w:rPr>
                <w:b/>
                <w:bCs/>
              </w:rPr>
            </w:pPr>
            <w:r w:rsidRPr="4909DF12">
              <w:rPr>
                <w:b/>
                <w:bCs/>
              </w:rPr>
              <w:t>Paragraph No.</w:t>
            </w:r>
          </w:p>
        </w:tc>
      </w:tr>
      <w:tr w:rsidR="004B4FE0" w14:paraId="77F7CE08" w14:textId="77777777" w:rsidTr="4D2A7F8C">
        <w:tc>
          <w:tcPr>
            <w:tcW w:w="4788" w:type="dxa"/>
          </w:tcPr>
          <w:p w14:paraId="5C9E91FC" w14:textId="2273ED3A" w:rsidR="00AC2412" w:rsidRPr="00450DBE" w:rsidRDefault="00BF1BCA" w:rsidP="00651427">
            <w:pPr>
              <w:pStyle w:val="WSParaNum"/>
              <w:numPr>
                <w:ilvl w:val="0"/>
                <w:numId w:val="0"/>
              </w:numPr>
              <w:spacing w:before="0" w:after="0" w:line="276" w:lineRule="auto"/>
              <w:rPr>
                <w:color w:val="000000"/>
              </w:rPr>
            </w:pPr>
            <w:r w:rsidRPr="00450DBE">
              <w:rPr>
                <w:i/>
                <w:iCs/>
                <w:color w:val="000000"/>
              </w:rPr>
              <w:t xml:space="preserve">Ainsley Financial Corporation v Ontario Securities Commission (1994), </w:t>
            </w:r>
            <w:r w:rsidRPr="00450DBE">
              <w:rPr>
                <w:color w:val="000000"/>
              </w:rPr>
              <w:t>21 OR (3d) 10</w:t>
            </w:r>
            <w:r w:rsidR="00215824">
              <w:rPr>
                <w:color w:val="000000"/>
              </w:rPr>
              <w:t>4</w:t>
            </w:r>
            <w:r w:rsidR="00EB4B75">
              <w:rPr>
                <w:color w:val="000000"/>
              </w:rPr>
              <w:t>.</w:t>
            </w:r>
          </w:p>
        </w:tc>
        <w:tc>
          <w:tcPr>
            <w:tcW w:w="4788" w:type="dxa"/>
          </w:tcPr>
          <w:p w14:paraId="4A5347D7" w14:textId="61AE8EB8" w:rsidR="00AC2412" w:rsidRPr="00450DBE" w:rsidRDefault="4909DF12" w:rsidP="4909DF12">
            <w:pPr>
              <w:pStyle w:val="WSParaNum"/>
              <w:numPr>
                <w:ilvl w:val="0"/>
                <w:numId w:val="0"/>
              </w:numPr>
              <w:spacing w:before="0" w:after="0" w:line="240" w:lineRule="auto"/>
            </w:pPr>
            <w:r w:rsidRPr="00450DBE">
              <w:t>4</w:t>
            </w:r>
            <w:r w:rsidR="009E1CFE">
              <w:t>3</w:t>
            </w:r>
            <w:r w:rsidR="00215824">
              <w:t>, 45</w:t>
            </w:r>
            <w:r w:rsidR="00A72133">
              <w:t>.</w:t>
            </w:r>
          </w:p>
        </w:tc>
      </w:tr>
      <w:tr w:rsidR="004B4FE0" w14:paraId="16E11983" w14:textId="77777777" w:rsidTr="4D2A7F8C">
        <w:tc>
          <w:tcPr>
            <w:tcW w:w="4788" w:type="dxa"/>
          </w:tcPr>
          <w:p w14:paraId="52DC2424" w14:textId="546083D7" w:rsidR="0019085B" w:rsidRPr="00450DBE" w:rsidRDefault="00BF1BCA" w:rsidP="00651427">
            <w:pPr>
              <w:pStyle w:val="WSParaNum"/>
              <w:numPr>
                <w:ilvl w:val="0"/>
                <w:numId w:val="0"/>
              </w:numPr>
              <w:spacing w:before="0" w:after="0" w:line="276" w:lineRule="auto"/>
            </w:pPr>
            <w:r w:rsidRPr="00450DBE">
              <w:rPr>
                <w:i/>
                <w:iCs/>
              </w:rPr>
              <w:t>Castonguay Blasting Ltd. v Ontario (Environment),</w:t>
            </w:r>
            <w:r w:rsidRPr="00450DBE">
              <w:t xml:space="preserve"> 2013 SCC 52</w:t>
            </w:r>
            <w:r w:rsidR="00EB4B75">
              <w:t>.</w:t>
            </w:r>
          </w:p>
        </w:tc>
        <w:tc>
          <w:tcPr>
            <w:tcW w:w="4788" w:type="dxa"/>
          </w:tcPr>
          <w:p w14:paraId="62634F2B" w14:textId="00A60FE0" w:rsidR="0019085B" w:rsidRPr="00450DBE" w:rsidRDefault="009E1CFE" w:rsidP="4909DF12">
            <w:pPr>
              <w:pStyle w:val="WSParaNum"/>
              <w:numPr>
                <w:ilvl w:val="0"/>
                <w:numId w:val="0"/>
              </w:numPr>
              <w:spacing w:before="0" w:after="0" w:line="240" w:lineRule="auto"/>
            </w:pPr>
            <w:r>
              <w:t>51</w:t>
            </w:r>
            <w:r w:rsidR="00A72133">
              <w:t>.</w:t>
            </w:r>
          </w:p>
        </w:tc>
      </w:tr>
      <w:tr w:rsidR="00BF1BCA" w14:paraId="2C78E74C" w14:textId="77777777" w:rsidTr="4D2A7F8C">
        <w:tc>
          <w:tcPr>
            <w:tcW w:w="4788" w:type="dxa"/>
          </w:tcPr>
          <w:p w14:paraId="080231AD" w14:textId="4E03D579" w:rsidR="00BF1BCA" w:rsidRPr="00450DBE" w:rsidRDefault="00BF1BCA" w:rsidP="00651427">
            <w:pPr>
              <w:pStyle w:val="WSParaNum"/>
              <w:numPr>
                <w:ilvl w:val="0"/>
                <w:numId w:val="0"/>
              </w:numPr>
              <w:spacing w:before="0" w:after="0" w:line="276" w:lineRule="auto"/>
              <w:rPr>
                <w:i/>
                <w:iCs/>
              </w:rPr>
            </w:pPr>
            <w:r w:rsidRPr="00450DBE">
              <w:rPr>
                <w:i/>
                <w:iCs/>
              </w:rPr>
              <w:t>Guelph (City) v Soltys</w:t>
            </w:r>
            <w:r w:rsidRPr="00450DBE">
              <w:t>, 2009 CanLII 42449 (ON SC)</w:t>
            </w:r>
            <w:r w:rsidR="00EB4B75">
              <w:t>.</w:t>
            </w:r>
          </w:p>
        </w:tc>
        <w:tc>
          <w:tcPr>
            <w:tcW w:w="4788" w:type="dxa"/>
          </w:tcPr>
          <w:p w14:paraId="573878A3" w14:textId="7DBBAE7B" w:rsidR="00BF1BCA" w:rsidRPr="00450DBE" w:rsidRDefault="001D0D73" w:rsidP="4909DF12">
            <w:pPr>
              <w:pStyle w:val="WSParaNum"/>
              <w:numPr>
                <w:ilvl w:val="0"/>
                <w:numId w:val="0"/>
              </w:numPr>
              <w:spacing w:before="0" w:after="0" w:line="240" w:lineRule="auto"/>
            </w:pPr>
            <w:r>
              <w:t>67</w:t>
            </w:r>
            <w:r w:rsidR="00F33D14">
              <w:t>, 70</w:t>
            </w:r>
            <w:r w:rsidR="0073777B">
              <w:t>, 81</w:t>
            </w:r>
            <w:r w:rsidR="00A72133">
              <w:t>.</w:t>
            </w:r>
          </w:p>
        </w:tc>
      </w:tr>
      <w:tr w:rsidR="004B4FE0" w14:paraId="756BB447" w14:textId="77777777" w:rsidTr="4D2A7F8C">
        <w:tc>
          <w:tcPr>
            <w:tcW w:w="4788" w:type="dxa"/>
          </w:tcPr>
          <w:p w14:paraId="25B8F23F" w14:textId="04215083" w:rsidR="0019085B" w:rsidRPr="00450DBE" w:rsidRDefault="00732D8E" w:rsidP="00651427">
            <w:pPr>
              <w:pStyle w:val="WSParaNum"/>
              <w:numPr>
                <w:ilvl w:val="0"/>
                <w:numId w:val="0"/>
              </w:numPr>
              <w:spacing w:before="0" w:after="0" w:line="276" w:lineRule="auto"/>
            </w:pPr>
            <w:r w:rsidRPr="00450DBE">
              <w:rPr>
                <w:i/>
                <w:iCs/>
              </w:rPr>
              <w:t>Housen v Nikolaisen,</w:t>
            </w:r>
            <w:r w:rsidRPr="00450DBE">
              <w:t xml:space="preserve"> 2002 SCC 33</w:t>
            </w:r>
            <w:r w:rsidR="00EB4B75">
              <w:t>.</w:t>
            </w:r>
          </w:p>
        </w:tc>
        <w:tc>
          <w:tcPr>
            <w:tcW w:w="4788" w:type="dxa"/>
          </w:tcPr>
          <w:p w14:paraId="433222BE" w14:textId="2421A809" w:rsidR="0019085B" w:rsidRPr="00450DBE" w:rsidRDefault="00F56FFD" w:rsidP="4909DF12">
            <w:pPr>
              <w:pStyle w:val="WSParaNum"/>
              <w:numPr>
                <w:ilvl w:val="0"/>
                <w:numId w:val="0"/>
              </w:numPr>
              <w:spacing w:before="0" w:after="0" w:line="240" w:lineRule="auto"/>
            </w:pPr>
            <w:r>
              <w:t>21</w:t>
            </w:r>
            <w:r w:rsidR="001474BD">
              <w:t>, 27</w:t>
            </w:r>
            <w:r w:rsidR="00A72133">
              <w:t>–</w:t>
            </w:r>
            <w:r w:rsidR="001474BD">
              <w:t>29</w:t>
            </w:r>
            <w:r w:rsidR="000176F3">
              <w:t>, 31, 33</w:t>
            </w:r>
            <w:r w:rsidR="00CC0B19">
              <w:t>, 39</w:t>
            </w:r>
            <w:r w:rsidR="00215824">
              <w:t>, 44</w:t>
            </w:r>
            <w:r w:rsidR="00A72133">
              <w:t>–</w:t>
            </w:r>
            <w:r w:rsidR="00215824">
              <w:t>45, 47</w:t>
            </w:r>
            <w:r w:rsidR="00A72133">
              <w:t>.</w:t>
            </w:r>
          </w:p>
        </w:tc>
      </w:tr>
      <w:tr w:rsidR="004B4FE0" w14:paraId="27CC08D5" w14:textId="77777777" w:rsidTr="4D2A7F8C">
        <w:tc>
          <w:tcPr>
            <w:tcW w:w="4788" w:type="dxa"/>
          </w:tcPr>
          <w:p w14:paraId="1730460C" w14:textId="0D1A64FE" w:rsidR="0019085B" w:rsidRPr="00450DBE" w:rsidRDefault="00BF1BCA" w:rsidP="00651427">
            <w:pPr>
              <w:pStyle w:val="WSParaNum"/>
              <w:numPr>
                <w:ilvl w:val="0"/>
                <w:numId w:val="0"/>
              </w:numPr>
              <w:spacing w:before="0" w:after="0" w:line="276" w:lineRule="auto"/>
            </w:pPr>
            <w:r w:rsidRPr="00450DBE">
              <w:rPr>
                <w:i/>
                <w:iCs/>
                <w:lang w:val="en-US"/>
              </w:rPr>
              <w:t>Ontario (Natural Resources and Forestry) v South Bruce Peninsula (Town)</w:t>
            </w:r>
            <w:r w:rsidRPr="00450DBE">
              <w:rPr>
                <w:lang w:val="en-US"/>
              </w:rPr>
              <w:t>, 2022 ONCA 315</w:t>
            </w:r>
            <w:r w:rsidR="00EB4B75">
              <w:rPr>
                <w:lang w:val="en-US"/>
              </w:rPr>
              <w:t>.</w:t>
            </w:r>
          </w:p>
        </w:tc>
        <w:tc>
          <w:tcPr>
            <w:tcW w:w="4788" w:type="dxa"/>
          </w:tcPr>
          <w:p w14:paraId="31FBE6A5" w14:textId="3A383052" w:rsidR="0019085B" w:rsidRPr="00450DBE" w:rsidRDefault="009E1CFE" w:rsidP="4909DF12">
            <w:pPr>
              <w:pStyle w:val="WSParaNum"/>
              <w:numPr>
                <w:ilvl w:val="0"/>
                <w:numId w:val="0"/>
              </w:numPr>
              <w:spacing w:before="0" w:after="0" w:line="240" w:lineRule="auto"/>
            </w:pPr>
            <w:r>
              <w:t>35</w:t>
            </w:r>
            <w:r w:rsidR="00E958AE">
              <w:t>, 51, 54, 55, 57</w:t>
            </w:r>
            <w:r w:rsidR="00873FBC">
              <w:t>, 69</w:t>
            </w:r>
            <w:r w:rsidR="00F33D14">
              <w:t>, 73</w:t>
            </w:r>
            <w:r w:rsidR="00C60CFB">
              <w:t>, 79, 80</w:t>
            </w:r>
            <w:r w:rsidR="00A72133">
              <w:t>.</w:t>
            </w:r>
          </w:p>
        </w:tc>
      </w:tr>
      <w:tr w:rsidR="004B4FE0" w14:paraId="7DDBB52D" w14:textId="77777777" w:rsidTr="4D2A7F8C">
        <w:tc>
          <w:tcPr>
            <w:tcW w:w="4788" w:type="dxa"/>
          </w:tcPr>
          <w:p w14:paraId="5374F0D2" w14:textId="48A12EFA" w:rsidR="00DD3DD7" w:rsidRPr="00450DBE" w:rsidRDefault="00BA2116" w:rsidP="00651427">
            <w:pPr>
              <w:pStyle w:val="WSParaNum"/>
              <w:numPr>
                <w:ilvl w:val="0"/>
                <w:numId w:val="0"/>
              </w:numPr>
              <w:spacing w:before="0" w:after="0" w:line="276" w:lineRule="auto"/>
              <w:rPr>
                <w:color w:val="000000"/>
              </w:rPr>
            </w:pPr>
            <w:r w:rsidRPr="00450DBE">
              <w:rPr>
                <w:i/>
                <w:iCs/>
              </w:rPr>
              <w:t>R v Albashir</w:t>
            </w:r>
            <w:r w:rsidRPr="00450DBE">
              <w:t>, 2021 SCC 48</w:t>
            </w:r>
            <w:r w:rsidR="00EB4B75">
              <w:t>.</w:t>
            </w:r>
          </w:p>
        </w:tc>
        <w:tc>
          <w:tcPr>
            <w:tcW w:w="4788" w:type="dxa"/>
          </w:tcPr>
          <w:p w14:paraId="48479995" w14:textId="18A28578" w:rsidR="00DD3DD7" w:rsidRPr="00450DBE" w:rsidRDefault="006166FE" w:rsidP="4909DF12">
            <w:pPr>
              <w:pStyle w:val="WSParaNum"/>
              <w:numPr>
                <w:ilvl w:val="0"/>
                <w:numId w:val="0"/>
              </w:numPr>
              <w:spacing w:before="0" w:after="0" w:line="240" w:lineRule="auto"/>
            </w:pPr>
            <w:r>
              <w:t>78</w:t>
            </w:r>
            <w:r w:rsidR="00A72133">
              <w:t>.</w:t>
            </w:r>
          </w:p>
        </w:tc>
      </w:tr>
      <w:tr w:rsidR="004B4FE0" w14:paraId="0C9F7AE3" w14:textId="77777777" w:rsidTr="4D2A7F8C">
        <w:tc>
          <w:tcPr>
            <w:tcW w:w="4788" w:type="dxa"/>
          </w:tcPr>
          <w:p w14:paraId="585D932F" w14:textId="6A940A54" w:rsidR="0019085B" w:rsidRPr="00450DBE" w:rsidRDefault="00732D8E" w:rsidP="00651427">
            <w:pPr>
              <w:pStyle w:val="WSParaNum"/>
              <w:numPr>
                <w:ilvl w:val="0"/>
                <w:numId w:val="0"/>
              </w:numPr>
              <w:spacing w:before="0" w:after="0" w:line="276" w:lineRule="auto"/>
            </w:pPr>
            <w:r w:rsidRPr="00450DBE">
              <w:rPr>
                <w:i/>
                <w:iCs/>
              </w:rPr>
              <w:t>R v Biniaris</w:t>
            </w:r>
            <w:r w:rsidRPr="00450DBE">
              <w:t>, 2000 SCC 15</w:t>
            </w:r>
            <w:r w:rsidR="00EB4B75">
              <w:t>.</w:t>
            </w:r>
          </w:p>
        </w:tc>
        <w:tc>
          <w:tcPr>
            <w:tcW w:w="4788" w:type="dxa"/>
          </w:tcPr>
          <w:p w14:paraId="18E46265" w14:textId="2DE7119B" w:rsidR="0019085B" w:rsidRPr="00450DBE" w:rsidRDefault="00F56FFD" w:rsidP="4909DF12">
            <w:pPr>
              <w:pStyle w:val="WSParaNum"/>
              <w:numPr>
                <w:ilvl w:val="0"/>
                <w:numId w:val="0"/>
              </w:numPr>
              <w:spacing w:before="0" w:after="0" w:line="240" w:lineRule="auto"/>
            </w:pPr>
            <w:r>
              <w:t>22</w:t>
            </w:r>
            <w:r w:rsidR="000176F3">
              <w:t>, 31</w:t>
            </w:r>
            <w:r w:rsidR="00F33D14">
              <w:t>, 75</w:t>
            </w:r>
            <w:r w:rsidR="00A72133">
              <w:t>.</w:t>
            </w:r>
          </w:p>
        </w:tc>
      </w:tr>
      <w:tr w:rsidR="004B4FE0" w14:paraId="3A34CB9A" w14:textId="77777777" w:rsidTr="4D2A7F8C">
        <w:tc>
          <w:tcPr>
            <w:tcW w:w="4788" w:type="dxa"/>
          </w:tcPr>
          <w:p w14:paraId="2E7B7262" w14:textId="4C5D2CBB" w:rsidR="0019085B" w:rsidRPr="00450DBE" w:rsidRDefault="001474BD" w:rsidP="00651427">
            <w:pPr>
              <w:pStyle w:val="WSParaNum"/>
              <w:numPr>
                <w:ilvl w:val="0"/>
                <w:numId w:val="0"/>
              </w:numPr>
              <w:spacing w:before="0" w:after="0" w:line="276" w:lineRule="auto"/>
            </w:pPr>
            <w:r>
              <w:rPr>
                <w:i/>
                <w:iCs/>
              </w:rPr>
              <w:t xml:space="preserve">ONCA </w:t>
            </w:r>
            <w:r w:rsidR="4909DF12" w:rsidRPr="00450DBE">
              <w:rPr>
                <w:i/>
                <w:iCs/>
              </w:rPr>
              <w:t>R v Consolidated Homes Ltd.</w:t>
            </w:r>
            <w:r w:rsidR="4909DF12" w:rsidRPr="00450DBE">
              <w:t>, 2025 ONCA 41</w:t>
            </w:r>
            <w:r w:rsidR="00EB4B75">
              <w:t>.</w:t>
            </w:r>
          </w:p>
        </w:tc>
        <w:tc>
          <w:tcPr>
            <w:tcW w:w="4788" w:type="dxa"/>
          </w:tcPr>
          <w:p w14:paraId="50DFF131" w14:textId="46ED4DD9" w:rsidR="0019085B" w:rsidRPr="00450DBE" w:rsidRDefault="4909DF12" w:rsidP="4909DF12">
            <w:pPr>
              <w:pStyle w:val="WSParaNum"/>
              <w:numPr>
                <w:ilvl w:val="0"/>
                <w:numId w:val="0"/>
              </w:numPr>
              <w:spacing w:before="0" w:after="0" w:line="240" w:lineRule="auto"/>
            </w:pPr>
            <w:r w:rsidRPr="00450DBE">
              <w:t xml:space="preserve">8, 17, </w:t>
            </w:r>
            <w:r w:rsidR="001474BD">
              <w:t>22, 27</w:t>
            </w:r>
            <w:r w:rsidR="000176F3">
              <w:t>, 30, 35</w:t>
            </w:r>
            <w:r w:rsidR="00CC0B19">
              <w:t>, 38</w:t>
            </w:r>
            <w:r w:rsidR="00262ACB">
              <w:t>–</w:t>
            </w:r>
            <w:r w:rsidR="00CC0B19">
              <w:t>39</w:t>
            </w:r>
            <w:r w:rsidR="00457F7D">
              <w:t>, 48</w:t>
            </w:r>
            <w:r w:rsidR="00262ACB">
              <w:t>–</w:t>
            </w:r>
            <w:r w:rsidR="00457F7D">
              <w:t>49</w:t>
            </w:r>
            <w:r w:rsidR="00873FBC">
              <w:t>, 65</w:t>
            </w:r>
            <w:r w:rsidR="00262ACB">
              <w:t>–</w:t>
            </w:r>
            <w:r w:rsidR="00873FBC">
              <w:t>66, 68</w:t>
            </w:r>
            <w:r w:rsidR="00262ACB">
              <w:t>–</w:t>
            </w:r>
            <w:r w:rsidR="00D22908">
              <w:t>69</w:t>
            </w:r>
            <w:r w:rsidR="00F33D14">
              <w:t>, 70, 74</w:t>
            </w:r>
            <w:r w:rsidR="00262ACB">
              <w:t>–</w:t>
            </w:r>
            <w:r w:rsidR="00F33D14">
              <w:t>75</w:t>
            </w:r>
            <w:r w:rsidR="00262ACB">
              <w:t>.</w:t>
            </w:r>
          </w:p>
        </w:tc>
      </w:tr>
      <w:tr w:rsidR="00732D8E" w14:paraId="36F86F9E" w14:textId="77777777" w:rsidTr="4D2A7F8C">
        <w:tc>
          <w:tcPr>
            <w:tcW w:w="4788" w:type="dxa"/>
          </w:tcPr>
          <w:p w14:paraId="261E9DBC" w14:textId="2D89D136" w:rsidR="00732D8E" w:rsidRPr="00450DBE" w:rsidRDefault="001474BD" w:rsidP="00651427">
            <w:pPr>
              <w:pStyle w:val="WSParaNum"/>
              <w:numPr>
                <w:ilvl w:val="0"/>
                <w:numId w:val="0"/>
              </w:numPr>
              <w:spacing w:before="0" w:after="0" w:line="276" w:lineRule="auto"/>
              <w:rPr>
                <w:i/>
                <w:iCs/>
              </w:rPr>
            </w:pPr>
            <w:r>
              <w:rPr>
                <w:rFonts w:eastAsia="Arial"/>
                <w:i/>
                <w:color w:val="000000"/>
              </w:rPr>
              <w:t xml:space="preserve">TRIAL </w:t>
            </w:r>
            <w:r w:rsidR="00732D8E" w:rsidRPr="00450DBE">
              <w:rPr>
                <w:rFonts w:eastAsia="Arial"/>
                <w:i/>
                <w:color w:val="000000"/>
              </w:rPr>
              <w:t xml:space="preserve">R v Consolidated Homes Ltd, </w:t>
            </w:r>
            <w:r w:rsidR="00732D8E" w:rsidRPr="00450DBE">
              <w:t>Proceedings at Court, Transcript for October 12, 2022</w:t>
            </w:r>
            <w:r w:rsidR="00EB4B75">
              <w:t>.</w:t>
            </w:r>
          </w:p>
        </w:tc>
        <w:tc>
          <w:tcPr>
            <w:tcW w:w="4788" w:type="dxa"/>
          </w:tcPr>
          <w:p w14:paraId="7F95F582" w14:textId="149B25F4" w:rsidR="00732D8E" w:rsidRPr="00450DBE" w:rsidRDefault="00732D8E" w:rsidP="4909DF12">
            <w:pPr>
              <w:pStyle w:val="WSParaNum"/>
              <w:numPr>
                <w:ilvl w:val="0"/>
                <w:numId w:val="0"/>
              </w:numPr>
              <w:spacing w:before="0" w:after="0" w:line="240" w:lineRule="auto"/>
            </w:pPr>
            <w:r w:rsidRPr="00450DBE">
              <w:t>9</w:t>
            </w:r>
            <w:r w:rsidR="00262ACB">
              <w:t>–</w:t>
            </w:r>
            <w:r w:rsidRPr="00450DBE">
              <w:t>13, 16,</w:t>
            </w:r>
            <w:r w:rsidR="000176F3">
              <w:t xml:space="preserve"> 32</w:t>
            </w:r>
            <w:r w:rsidR="00CC0B19">
              <w:t>, 36, 38</w:t>
            </w:r>
            <w:r w:rsidR="00215824">
              <w:t>, 44</w:t>
            </w:r>
            <w:r w:rsidR="00262ACB">
              <w:t>–</w:t>
            </w:r>
            <w:r w:rsidR="00215824">
              <w:t>45</w:t>
            </w:r>
            <w:r w:rsidR="00E958AE">
              <w:t>, 56</w:t>
            </w:r>
            <w:r w:rsidR="00873FBC">
              <w:t>, 60, 66, 68</w:t>
            </w:r>
            <w:r w:rsidR="00F33D14">
              <w:t>, 70, 74</w:t>
            </w:r>
            <w:r w:rsidR="0073777B">
              <w:t>, 81</w:t>
            </w:r>
            <w:r w:rsidR="00A72133">
              <w:t>.</w:t>
            </w:r>
          </w:p>
        </w:tc>
      </w:tr>
      <w:tr w:rsidR="00DF5D32" w14:paraId="1C9D3E56" w14:textId="77777777" w:rsidTr="4D2A7F8C">
        <w:tc>
          <w:tcPr>
            <w:tcW w:w="4788" w:type="dxa"/>
          </w:tcPr>
          <w:p w14:paraId="780068E5" w14:textId="1B2BBED7" w:rsidR="00DF5D32" w:rsidRPr="00450DBE" w:rsidRDefault="001474BD" w:rsidP="00651427">
            <w:pPr>
              <w:pStyle w:val="WSParaNum"/>
              <w:numPr>
                <w:ilvl w:val="0"/>
                <w:numId w:val="0"/>
              </w:numPr>
              <w:spacing w:before="0" w:after="0" w:line="276" w:lineRule="auto"/>
            </w:pPr>
            <w:r>
              <w:rPr>
                <w:rFonts w:eastAsia="Arial"/>
                <w:i/>
                <w:color w:val="000000"/>
              </w:rPr>
              <w:lastRenderedPageBreak/>
              <w:t xml:space="preserve">OCJ </w:t>
            </w:r>
            <w:r w:rsidR="00DF5D32" w:rsidRPr="00450DBE">
              <w:rPr>
                <w:rFonts w:eastAsia="Arial"/>
                <w:i/>
                <w:color w:val="000000"/>
              </w:rPr>
              <w:t>R v Consolidated Homes Ltd</w:t>
            </w:r>
            <w:r w:rsidR="00DF5D32" w:rsidRPr="00450DBE">
              <w:rPr>
                <w:rFonts w:eastAsia="Arial"/>
                <w:color w:val="000000"/>
              </w:rPr>
              <w:t>., Reasons for Judgment, Transcript for August 20, 2024</w:t>
            </w:r>
            <w:r w:rsidR="00EB4B75">
              <w:rPr>
                <w:rFonts w:eastAsia="Arial"/>
                <w:color w:val="000000"/>
              </w:rPr>
              <w:t>.</w:t>
            </w:r>
          </w:p>
        </w:tc>
        <w:tc>
          <w:tcPr>
            <w:tcW w:w="4788" w:type="dxa"/>
          </w:tcPr>
          <w:p w14:paraId="42C50D55" w14:textId="568908B1" w:rsidR="00DF5D32" w:rsidRPr="00450DBE" w:rsidRDefault="00DF5D32" w:rsidP="4909DF12">
            <w:pPr>
              <w:pStyle w:val="WSParaNum"/>
              <w:numPr>
                <w:ilvl w:val="0"/>
                <w:numId w:val="0"/>
              </w:numPr>
              <w:spacing w:before="0" w:after="0" w:line="240" w:lineRule="auto"/>
            </w:pPr>
            <w:r w:rsidRPr="00450DBE">
              <w:t>8, 10</w:t>
            </w:r>
            <w:r w:rsidR="008F362A">
              <w:t>–</w:t>
            </w:r>
            <w:r w:rsidRPr="00450DBE">
              <w:t>12</w:t>
            </w:r>
            <w:r w:rsidR="001474BD">
              <w:t>, 26</w:t>
            </w:r>
            <w:r w:rsidR="00CC0B19">
              <w:t>, 39</w:t>
            </w:r>
            <w:r w:rsidR="008F362A">
              <w:t>–</w:t>
            </w:r>
            <w:r w:rsidR="00CC0B19">
              <w:t>40, 42</w:t>
            </w:r>
            <w:r w:rsidR="00215824">
              <w:t>, 4</w:t>
            </w:r>
            <w:r w:rsidR="008F362A">
              <w:t>8–</w:t>
            </w:r>
            <w:r w:rsidR="00457F7D">
              <w:t>49</w:t>
            </w:r>
            <w:r w:rsidR="00873FBC">
              <w:t>, 61</w:t>
            </w:r>
            <w:r w:rsidR="00262ACB">
              <w:t>–</w:t>
            </w:r>
            <w:r w:rsidR="00873FBC">
              <w:t>62, 64</w:t>
            </w:r>
            <w:r w:rsidR="00262ACB">
              <w:t>–</w:t>
            </w:r>
            <w:r w:rsidR="00873FBC">
              <w:t>65</w:t>
            </w:r>
            <w:r w:rsidR="00D22908">
              <w:t>, 69</w:t>
            </w:r>
            <w:r w:rsidR="00262ACB">
              <w:t>–</w:t>
            </w:r>
            <w:r w:rsidR="00F33D14">
              <w:t>72, 75</w:t>
            </w:r>
            <w:r w:rsidR="00262ACB">
              <w:t>.</w:t>
            </w:r>
          </w:p>
        </w:tc>
      </w:tr>
      <w:tr w:rsidR="004B4FE0" w14:paraId="0E2438D9" w14:textId="77777777" w:rsidTr="4D2A7F8C">
        <w:tc>
          <w:tcPr>
            <w:tcW w:w="4788" w:type="dxa"/>
          </w:tcPr>
          <w:p w14:paraId="319988DD" w14:textId="7844F6C0" w:rsidR="0019085B" w:rsidRPr="00450DBE" w:rsidRDefault="00BF1BCA" w:rsidP="00651427">
            <w:pPr>
              <w:pStyle w:val="WSParaNum"/>
              <w:numPr>
                <w:ilvl w:val="0"/>
                <w:numId w:val="0"/>
              </w:numPr>
              <w:spacing w:before="0" w:after="0" w:line="276" w:lineRule="auto"/>
            </w:pPr>
            <w:r w:rsidRPr="00450DBE">
              <w:rPr>
                <w:i/>
                <w:iCs/>
                <w:lang w:val="en-US"/>
              </w:rPr>
              <w:t>R v Sutherland</w:t>
            </w:r>
            <w:r w:rsidRPr="00450DBE">
              <w:rPr>
                <w:lang w:val="en-US"/>
              </w:rPr>
              <w:t>, 2010 ONSC 2240</w:t>
            </w:r>
            <w:r w:rsidR="00EB4B75">
              <w:rPr>
                <w:lang w:val="en-US"/>
              </w:rPr>
              <w:t>.</w:t>
            </w:r>
          </w:p>
        </w:tc>
        <w:tc>
          <w:tcPr>
            <w:tcW w:w="4788" w:type="dxa"/>
          </w:tcPr>
          <w:p w14:paraId="6A24502A" w14:textId="1F0BAF6D" w:rsidR="0019085B" w:rsidRPr="00450DBE" w:rsidRDefault="009E1CFE" w:rsidP="4909DF12">
            <w:pPr>
              <w:pStyle w:val="WSParaNum"/>
              <w:numPr>
                <w:ilvl w:val="0"/>
                <w:numId w:val="0"/>
              </w:numPr>
              <w:spacing w:before="0" w:after="0" w:line="240" w:lineRule="auto"/>
            </w:pPr>
            <w:r>
              <w:t>58</w:t>
            </w:r>
            <w:r w:rsidR="00A72133">
              <w:t>.</w:t>
            </w:r>
          </w:p>
        </w:tc>
      </w:tr>
      <w:tr w:rsidR="004B4FE0" w14:paraId="27D97B44" w14:textId="77777777" w:rsidTr="4D2A7F8C">
        <w:tc>
          <w:tcPr>
            <w:tcW w:w="4788" w:type="dxa"/>
          </w:tcPr>
          <w:p w14:paraId="6D798B98" w14:textId="08BB09E2" w:rsidR="0019085B" w:rsidRPr="00450DBE" w:rsidRDefault="00A06930" w:rsidP="00651427">
            <w:pPr>
              <w:pStyle w:val="WSParaNum"/>
              <w:numPr>
                <w:ilvl w:val="0"/>
                <w:numId w:val="0"/>
              </w:numPr>
              <w:spacing w:before="0" w:after="0" w:line="276" w:lineRule="auto"/>
            </w:pPr>
            <w:r w:rsidRPr="00450DBE">
              <w:rPr>
                <w:i/>
                <w:iCs/>
              </w:rPr>
              <w:t>R v Villaroman</w:t>
            </w:r>
            <w:r w:rsidRPr="00450DBE">
              <w:t>, 2016 SCC 33</w:t>
            </w:r>
            <w:r w:rsidR="00EB4B75">
              <w:t>.</w:t>
            </w:r>
          </w:p>
        </w:tc>
        <w:tc>
          <w:tcPr>
            <w:tcW w:w="4788" w:type="dxa"/>
          </w:tcPr>
          <w:p w14:paraId="6AED2CB8" w14:textId="1E559B67" w:rsidR="0019085B" w:rsidRPr="00450DBE" w:rsidRDefault="009E1CFE" w:rsidP="4909DF12">
            <w:pPr>
              <w:pStyle w:val="WSParaNum"/>
              <w:numPr>
                <w:ilvl w:val="0"/>
                <w:numId w:val="0"/>
              </w:numPr>
              <w:spacing w:before="0" w:after="0" w:line="240" w:lineRule="auto"/>
            </w:pPr>
            <w:r>
              <w:t>30</w:t>
            </w:r>
            <w:r w:rsidR="000176F3">
              <w:t>, 35</w:t>
            </w:r>
            <w:r w:rsidR="00CC0B19">
              <w:t>, 39</w:t>
            </w:r>
            <w:r w:rsidR="00F33D14">
              <w:t>, 75</w:t>
            </w:r>
            <w:r w:rsidR="00A72133">
              <w:t>.</w:t>
            </w:r>
          </w:p>
        </w:tc>
      </w:tr>
      <w:tr w:rsidR="004B4FE0" w14:paraId="39E347E2" w14:textId="77777777" w:rsidTr="4D2A7F8C">
        <w:tc>
          <w:tcPr>
            <w:tcW w:w="4788" w:type="dxa"/>
          </w:tcPr>
          <w:p w14:paraId="1673B4E1" w14:textId="0A76C665" w:rsidR="0019085B" w:rsidRPr="00450DBE" w:rsidRDefault="00732D8E" w:rsidP="00651427">
            <w:pPr>
              <w:pStyle w:val="WSParaNum"/>
              <w:numPr>
                <w:ilvl w:val="0"/>
                <w:numId w:val="0"/>
              </w:numPr>
              <w:spacing w:before="0" w:after="0" w:line="276" w:lineRule="auto"/>
            </w:pPr>
            <w:r w:rsidRPr="00450DBE">
              <w:rPr>
                <w:i/>
                <w:iCs/>
                <w:lang w:val="en-US"/>
              </w:rPr>
              <w:t xml:space="preserve">R v Ward </w:t>
            </w:r>
            <w:r w:rsidRPr="00450DBE">
              <w:t>2015 ONCJ 369</w:t>
            </w:r>
            <w:r w:rsidR="00EB4B75">
              <w:t>.</w:t>
            </w:r>
          </w:p>
        </w:tc>
        <w:tc>
          <w:tcPr>
            <w:tcW w:w="4788" w:type="dxa"/>
          </w:tcPr>
          <w:p w14:paraId="6FEEDEB9" w14:textId="553777BD" w:rsidR="0019085B" w:rsidRPr="00450DBE" w:rsidRDefault="00F56FFD" w:rsidP="4909DF12">
            <w:pPr>
              <w:pStyle w:val="WSParaNum"/>
              <w:numPr>
                <w:ilvl w:val="0"/>
                <w:numId w:val="0"/>
              </w:numPr>
              <w:spacing w:before="0" w:after="0" w:line="240" w:lineRule="auto"/>
            </w:pPr>
            <w:r>
              <w:t>26</w:t>
            </w:r>
            <w:r w:rsidR="00A72133">
              <w:t>.</w:t>
            </w:r>
          </w:p>
        </w:tc>
      </w:tr>
      <w:tr w:rsidR="004B4FE0" w14:paraId="6AD472FE" w14:textId="77777777" w:rsidTr="4D2A7F8C">
        <w:tc>
          <w:tcPr>
            <w:tcW w:w="4788" w:type="dxa"/>
          </w:tcPr>
          <w:p w14:paraId="45B0ABAB" w14:textId="09A5D960" w:rsidR="0019085B" w:rsidRPr="00450DBE" w:rsidRDefault="00BF1BCA" w:rsidP="00651427">
            <w:pPr>
              <w:pStyle w:val="WSParaNum"/>
              <w:numPr>
                <w:ilvl w:val="0"/>
                <w:numId w:val="0"/>
              </w:numPr>
              <w:spacing w:before="0" w:after="0" w:line="276" w:lineRule="auto"/>
            </w:pPr>
            <w:r w:rsidRPr="00450DBE">
              <w:rPr>
                <w:i/>
                <w:iCs/>
                <w:lang w:val="en-US"/>
              </w:rPr>
              <w:t>R v Zuber</w:t>
            </w:r>
            <w:r w:rsidRPr="00450DBE">
              <w:rPr>
                <w:lang w:val="en-US"/>
              </w:rPr>
              <w:t>, 2004 CanLII 2549 (ON SC)</w:t>
            </w:r>
            <w:r w:rsidR="00EB4B75">
              <w:rPr>
                <w:lang w:val="en-US"/>
              </w:rPr>
              <w:t>.</w:t>
            </w:r>
          </w:p>
        </w:tc>
        <w:tc>
          <w:tcPr>
            <w:tcW w:w="4788" w:type="dxa"/>
          </w:tcPr>
          <w:p w14:paraId="25B6A493" w14:textId="4BF965C7" w:rsidR="0019085B" w:rsidRPr="00450DBE" w:rsidRDefault="009E1CFE" w:rsidP="4909DF12">
            <w:pPr>
              <w:pStyle w:val="WSParaNum"/>
              <w:numPr>
                <w:ilvl w:val="0"/>
                <w:numId w:val="0"/>
              </w:numPr>
              <w:spacing w:before="0" w:after="0" w:line="240" w:lineRule="auto"/>
            </w:pPr>
            <w:r>
              <w:t>59</w:t>
            </w:r>
            <w:r w:rsidR="00A72133">
              <w:t>.</w:t>
            </w:r>
          </w:p>
        </w:tc>
      </w:tr>
      <w:tr w:rsidR="004B4FE0" w14:paraId="68769BC1" w14:textId="77777777" w:rsidTr="4D2A7F8C">
        <w:tc>
          <w:tcPr>
            <w:tcW w:w="4788" w:type="dxa"/>
          </w:tcPr>
          <w:p w14:paraId="1BC5830A" w14:textId="3A90F2B2" w:rsidR="0019085B" w:rsidRPr="00450DBE" w:rsidRDefault="00BF1BCA" w:rsidP="00651427">
            <w:pPr>
              <w:pStyle w:val="WSParaNum"/>
              <w:numPr>
                <w:ilvl w:val="0"/>
                <w:numId w:val="0"/>
              </w:numPr>
              <w:spacing w:before="0" w:after="0" w:line="276" w:lineRule="auto"/>
            </w:pPr>
            <w:r w:rsidRPr="00450DBE">
              <w:rPr>
                <w:i/>
                <w:lang w:val="en-US"/>
              </w:rPr>
              <w:t>Rizzo &amp; Rizzo Shoes Ltd. (Re)</w:t>
            </w:r>
            <w:r w:rsidRPr="00450DBE">
              <w:rPr>
                <w:lang w:val="en-US"/>
              </w:rPr>
              <w:t>, 1998 CanLII 837 (SCC)</w:t>
            </w:r>
            <w:r w:rsidR="00EB4B75">
              <w:rPr>
                <w:lang w:val="en-US"/>
              </w:rPr>
              <w:t>.</w:t>
            </w:r>
          </w:p>
        </w:tc>
        <w:tc>
          <w:tcPr>
            <w:tcW w:w="4788" w:type="dxa"/>
          </w:tcPr>
          <w:p w14:paraId="0340CFF5" w14:textId="39C24E26" w:rsidR="0019085B" w:rsidRPr="00450DBE" w:rsidRDefault="009E1CFE" w:rsidP="4909DF12">
            <w:pPr>
              <w:pStyle w:val="WSParaNum"/>
              <w:numPr>
                <w:ilvl w:val="0"/>
                <w:numId w:val="0"/>
              </w:numPr>
              <w:spacing w:before="0" w:after="0" w:line="240" w:lineRule="auto"/>
            </w:pPr>
            <w:r>
              <w:t>51</w:t>
            </w:r>
            <w:r w:rsidR="00873FBC">
              <w:t>, 62</w:t>
            </w:r>
            <w:r w:rsidR="00A72133">
              <w:t>.</w:t>
            </w:r>
          </w:p>
        </w:tc>
      </w:tr>
      <w:tr w:rsidR="004B4FE0" w14:paraId="4A245A0C" w14:textId="77777777" w:rsidTr="4D2A7F8C">
        <w:tc>
          <w:tcPr>
            <w:tcW w:w="4788" w:type="dxa"/>
          </w:tcPr>
          <w:p w14:paraId="2A28EB0E" w14:textId="65BB60B1" w:rsidR="0019085B" w:rsidRPr="00450DBE" w:rsidRDefault="00732D8E" w:rsidP="00651427">
            <w:pPr>
              <w:pStyle w:val="WSParaNum"/>
              <w:numPr>
                <w:ilvl w:val="0"/>
                <w:numId w:val="0"/>
              </w:numPr>
              <w:spacing w:before="0" w:after="0" w:line="276" w:lineRule="auto"/>
            </w:pPr>
            <w:r w:rsidRPr="00450DBE">
              <w:rPr>
                <w:i/>
                <w:iCs/>
              </w:rPr>
              <w:t>Salomon v Matte-Thompson</w:t>
            </w:r>
            <w:r w:rsidRPr="00450DBE">
              <w:t>, 2019 SCC 14</w:t>
            </w:r>
            <w:r w:rsidR="00EB4B75">
              <w:t>.</w:t>
            </w:r>
          </w:p>
        </w:tc>
        <w:tc>
          <w:tcPr>
            <w:tcW w:w="4788" w:type="dxa"/>
          </w:tcPr>
          <w:p w14:paraId="7ECE446F" w14:textId="6E3CCCE3" w:rsidR="0019085B" w:rsidRPr="00450DBE" w:rsidRDefault="009E1CFE" w:rsidP="4909DF12">
            <w:pPr>
              <w:pStyle w:val="WSParaNum"/>
              <w:numPr>
                <w:ilvl w:val="0"/>
                <w:numId w:val="0"/>
              </w:numPr>
              <w:spacing w:before="0" w:after="0" w:line="240" w:lineRule="auto"/>
            </w:pPr>
            <w:r>
              <w:t>28</w:t>
            </w:r>
            <w:r w:rsidR="008F362A">
              <w:t>–</w:t>
            </w:r>
            <w:r w:rsidR="001474BD">
              <w:t>29</w:t>
            </w:r>
            <w:r w:rsidR="00A72133">
              <w:t>.</w:t>
            </w:r>
          </w:p>
        </w:tc>
      </w:tr>
      <w:tr w:rsidR="004B4FE0" w14:paraId="4993B760" w14:textId="77777777" w:rsidTr="4D2A7F8C">
        <w:tc>
          <w:tcPr>
            <w:tcW w:w="4788" w:type="dxa"/>
          </w:tcPr>
          <w:p w14:paraId="4FFA05AB" w14:textId="607951D2" w:rsidR="0019085B" w:rsidRPr="00450DBE" w:rsidRDefault="00BF1BCA" w:rsidP="00651427">
            <w:pPr>
              <w:pStyle w:val="WSParaNum"/>
              <w:numPr>
                <w:ilvl w:val="0"/>
                <w:numId w:val="0"/>
              </w:numPr>
              <w:spacing w:before="0" w:after="0" w:line="276" w:lineRule="auto"/>
              <w:rPr>
                <w:color w:val="000000"/>
              </w:rPr>
            </w:pPr>
            <w:r w:rsidRPr="00450DBE">
              <w:rPr>
                <w:i/>
                <w:iCs/>
                <w:color w:val="000000"/>
              </w:rPr>
              <w:t>Valley Rubber Resources Inc. v British Columbia</w:t>
            </w:r>
            <w:r w:rsidRPr="00450DBE">
              <w:rPr>
                <w:color w:val="000000"/>
              </w:rPr>
              <w:t xml:space="preserve"> </w:t>
            </w:r>
            <w:r w:rsidRPr="00450DBE">
              <w:rPr>
                <w:i/>
                <w:iCs/>
                <w:color w:val="000000"/>
              </w:rPr>
              <w:t>(Minister of Environment, Lands and Parks)</w:t>
            </w:r>
            <w:r w:rsidRPr="00450DBE">
              <w:rPr>
                <w:color w:val="000000"/>
              </w:rPr>
              <w:t>, 2002 BCCA 524</w:t>
            </w:r>
            <w:r w:rsidR="00EB4B75">
              <w:rPr>
                <w:color w:val="000000"/>
              </w:rPr>
              <w:t>.</w:t>
            </w:r>
          </w:p>
        </w:tc>
        <w:tc>
          <w:tcPr>
            <w:tcW w:w="4788" w:type="dxa"/>
          </w:tcPr>
          <w:p w14:paraId="45B8474A" w14:textId="4848E6A9" w:rsidR="0019085B" w:rsidRPr="00450DBE" w:rsidRDefault="4909DF12" w:rsidP="4909DF12">
            <w:pPr>
              <w:pStyle w:val="WSParaNum"/>
              <w:numPr>
                <w:ilvl w:val="0"/>
                <w:numId w:val="0"/>
              </w:numPr>
              <w:spacing w:before="0" w:after="0" w:line="240" w:lineRule="auto"/>
            </w:pPr>
            <w:r w:rsidRPr="00450DBE">
              <w:t>4</w:t>
            </w:r>
            <w:r w:rsidR="009E1CFE">
              <w:t>3</w:t>
            </w:r>
            <w:r w:rsidR="008F362A">
              <w:t>–</w:t>
            </w:r>
            <w:r w:rsidR="00215824">
              <w:t>44</w:t>
            </w:r>
            <w:r w:rsidR="008F362A">
              <w:t>.</w:t>
            </w:r>
          </w:p>
        </w:tc>
      </w:tr>
      <w:tr w:rsidR="00443E99" w14:paraId="720BB36B" w14:textId="77777777" w:rsidTr="4D2A7F8C">
        <w:tc>
          <w:tcPr>
            <w:tcW w:w="4788" w:type="dxa"/>
          </w:tcPr>
          <w:p w14:paraId="467D3BD5" w14:textId="2944D83B" w:rsidR="00443E99" w:rsidRPr="00450DBE" w:rsidRDefault="00443E99" w:rsidP="00651427">
            <w:pPr>
              <w:pStyle w:val="WSParaNum"/>
              <w:numPr>
                <w:ilvl w:val="0"/>
                <w:numId w:val="0"/>
              </w:numPr>
              <w:spacing w:before="0" w:after="0" w:line="276" w:lineRule="auto"/>
              <w:rPr>
                <w:color w:val="000000"/>
              </w:rPr>
            </w:pPr>
            <w:r w:rsidRPr="00450DBE">
              <w:rPr>
                <w:i/>
                <w:iCs/>
              </w:rPr>
              <w:t>Van de Perre v Edwards</w:t>
            </w:r>
            <w:r w:rsidRPr="00450DBE">
              <w:t>, 2001 SCC 60</w:t>
            </w:r>
            <w:r w:rsidR="00EB4B75">
              <w:t>.</w:t>
            </w:r>
          </w:p>
        </w:tc>
        <w:tc>
          <w:tcPr>
            <w:tcW w:w="4788" w:type="dxa"/>
          </w:tcPr>
          <w:p w14:paraId="4D6D380A" w14:textId="7E9AA24A" w:rsidR="00443E99" w:rsidRPr="00450DBE" w:rsidRDefault="009E1CFE" w:rsidP="4909DF12">
            <w:pPr>
              <w:pStyle w:val="WSParaNum"/>
              <w:numPr>
                <w:ilvl w:val="0"/>
                <w:numId w:val="0"/>
              </w:numPr>
              <w:spacing w:before="0" w:after="0" w:line="240" w:lineRule="auto"/>
            </w:pPr>
            <w:r>
              <w:t>29</w:t>
            </w:r>
            <w:r w:rsidR="00F554CA">
              <w:t>.</w:t>
            </w:r>
          </w:p>
        </w:tc>
      </w:tr>
    </w:tbl>
    <w:p w14:paraId="5A16ED99" w14:textId="77777777" w:rsidR="00AC2412" w:rsidRDefault="00AC2412" w:rsidP="4909DF12">
      <w:pPr>
        <w:pStyle w:val="WSParaNum"/>
        <w:numPr>
          <w:ilvl w:val="0"/>
          <w:numId w:val="0"/>
        </w:numPr>
        <w:spacing w:before="0"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4B4FE0" w:rsidRPr="00AC2412" w14:paraId="5F4BA9D5" w14:textId="77777777">
        <w:tc>
          <w:tcPr>
            <w:tcW w:w="4788" w:type="dxa"/>
          </w:tcPr>
          <w:p w14:paraId="3CA5F0C2" w14:textId="77777777" w:rsidR="00AC2412" w:rsidRPr="00AC2412" w:rsidRDefault="4909DF12" w:rsidP="4909DF12">
            <w:pPr>
              <w:pStyle w:val="WSParaNum"/>
              <w:numPr>
                <w:ilvl w:val="0"/>
                <w:numId w:val="0"/>
              </w:numPr>
              <w:spacing w:before="0" w:after="0" w:line="240" w:lineRule="auto"/>
              <w:rPr>
                <w:b/>
                <w:bCs/>
              </w:rPr>
            </w:pPr>
            <w:r w:rsidRPr="4909DF12">
              <w:rPr>
                <w:b/>
                <w:bCs/>
              </w:rPr>
              <w:t>Secondary Sources</w:t>
            </w:r>
          </w:p>
        </w:tc>
        <w:tc>
          <w:tcPr>
            <w:tcW w:w="4788" w:type="dxa"/>
          </w:tcPr>
          <w:p w14:paraId="451204B7" w14:textId="77777777" w:rsidR="00AC2412" w:rsidRPr="00AC2412" w:rsidRDefault="4909DF12" w:rsidP="4909DF12">
            <w:pPr>
              <w:pStyle w:val="WSParaNum"/>
              <w:numPr>
                <w:ilvl w:val="0"/>
                <w:numId w:val="0"/>
              </w:numPr>
              <w:spacing w:before="0" w:after="0" w:line="240" w:lineRule="auto"/>
              <w:rPr>
                <w:b/>
                <w:bCs/>
              </w:rPr>
            </w:pPr>
            <w:r w:rsidRPr="4909DF12">
              <w:rPr>
                <w:b/>
                <w:bCs/>
              </w:rPr>
              <w:t>Paragraph No.</w:t>
            </w:r>
          </w:p>
        </w:tc>
      </w:tr>
      <w:tr w:rsidR="004B4FE0" w14:paraId="703902AA" w14:textId="77777777">
        <w:tc>
          <w:tcPr>
            <w:tcW w:w="4788" w:type="dxa"/>
          </w:tcPr>
          <w:p w14:paraId="74BF49E9" w14:textId="51281B56" w:rsidR="00AC2412" w:rsidRPr="00651427" w:rsidRDefault="00732D8E" w:rsidP="4909DF12">
            <w:pPr>
              <w:pStyle w:val="WSParaNum"/>
              <w:numPr>
                <w:ilvl w:val="0"/>
                <w:numId w:val="0"/>
              </w:numPr>
              <w:spacing w:before="0" w:after="0" w:line="240" w:lineRule="auto"/>
            </w:pPr>
            <w:r w:rsidRPr="00651427">
              <w:rPr>
                <w:rFonts w:eastAsia="Arial"/>
                <w:color w:val="000000"/>
              </w:rPr>
              <w:t>Ontario Ministry of the Environment, Conservation and Parks, “General Habitat Description for the Blanding’s Turtle (Emydoidea blandingii)” (updated March 2021), online: &lt;ontario.ca&gt; [https://www.ontario.ca/page/blandings-turtle-general-habitat-description]</w:t>
            </w:r>
            <w:r w:rsidR="00EB4B75">
              <w:rPr>
                <w:rFonts w:eastAsia="Arial"/>
                <w:color w:val="000000"/>
              </w:rPr>
              <w:t>.</w:t>
            </w:r>
          </w:p>
        </w:tc>
        <w:tc>
          <w:tcPr>
            <w:tcW w:w="4788" w:type="dxa"/>
          </w:tcPr>
          <w:p w14:paraId="6983614F" w14:textId="0AAD8C29" w:rsidR="00AC2412" w:rsidRDefault="009E1CFE" w:rsidP="4909DF12">
            <w:pPr>
              <w:pStyle w:val="WSParaNum"/>
              <w:numPr>
                <w:ilvl w:val="0"/>
                <w:numId w:val="0"/>
              </w:numPr>
              <w:spacing w:before="0" w:after="0" w:line="240" w:lineRule="auto"/>
            </w:pPr>
            <w:r>
              <w:t>11</w:t>
            </w:r>
            <w:r w:rsidR="00215824">
              <w:t>, 45</w:t>
            </w:r>
            <w:r w:rsidR="00C60CFB">
              <w:t>, 80</w:t>
            </w:r>
            <w:r w:rsidR="00EB4B75">
              <w:t>.</w:t>
            </w:r>
          </w:p>
        </w:tc>
      </w:tr>
    </w:tbl>
    <w:p w14:paraId="53830055" w14:textId="77777777" w:rsidR="00651427" w:rsidRDefault="00651427"/>
    <w:p w14:paraId="28B93EB0" w14:textId="2A34DE72" w:rsidR="00651427" w:rsidRDefault="00651427"/>
    <w:p w14:paraId="280DE3C3" w14:textId="43B7D0C7" w:rsidR="00FE07FF" w:rsidRDefault="00471DA0" w:rsidP="002A658D">
      <w:pPr>
        <w:pStyle w:val="Heading1"/>
        <w:tabs>
          <w:tab w:val="num" w:pos="720"/>
        </w:tabs>
        <w:spacing w:before="0" w:after="0" w:line="360" w:lineRule="auto"/>
        <w:ind w:left="720" w:hanging="720"/>
        <w:rPr>
          <w:rFonts w:ascii="Times New Roman" w:hAnsi="Times New Roman"/>
          <w:sz w:val="24"/>
          <w:szCs w:val="24"/>
        </w:rPr>
      </w:pPr>
      <w:bookmarkStart w:id="77" w:name="_Toc218858291"/>
      <w:bookmarkStart w:id="78" w:name="_Toc218630730"/>
      <w:bookmarkStart w:id="79" w:name="_Toc218783948"/>
      <w:bookmarkStart w:id="80" w:name="_Toc218846589"/>
      <w:r>
        <w:rPr>
          <w:rFonts w:ascii="Times New Roman" w:hAnsi="Times New Roman"/>
          <w:sz w:val="24"/>
          <w:szCs w:val="24"/>
        </w:rPr>
        <w:t>LEGISLATION AT ISSUE</w:t>
      </w:r>
      <w:bookmarkEnd w:id="77"/>
      <w:r w:rsidR="0024187B">
        <w:rPr>
          <w:rFonts w:ascii="Times New Roman" w:hAnsi="Times New Roman"/>
          <w:sz w:val="24"/>
          <w:szCs w:val="24"/>
        </w:rPr>
        <w:t xml:space="preserve"> </w:t>
      </w:r>
      <w:bookmarkEnd w:id="78"/>
      <w:bookmarkEnd w:id="79"/>
      <w:bookmarkEnd w:id="80"/>
    </w:p>
    <w:p w14:paraId="5FC8CCD7" w14:textId="77777777" w:rsidR="002A658D" w:rsidRPr="002A658D" w:rsidRDefault="002A658D" w:rsidP="002A658D"/>
    <w:p w14:paraId="1E3EFE9D" w14:textId="38647B2F" w:rsidR="005A347E" w:rsidRPr="009C233C" w:rsidRDefault="00F202E1" w:rsidP="009C233C">
      <w:pPr>
        <w:pStyle w:val="WSParaNum"/>
        <w:numPr>
          <w:ilvl w:val="0"/>
          <w:numId w:val="0"/>
        </w:numPr>
        <w:spacing w:before="0" w:line="276" w:lineRule="auto"/>
        <w:jc w:val="both"/>
        <w:rPr>
          <w:rFonts w:eastAsia="Arial"/>
          <w:b/>
          <w:color w:val="000000"/>
        </w:rPr>
      </w:pPr>
      <w:r w:rsidRPr="00651427">
        <w:rPr>
          <w:rFonts w:eastAsia="Arial"/>
          <w:b/>
          <w:i/>
          <w:color w:val="000000"/>
        </w:rPr>
        <w:t>Endangered Species Act</w:t>
      </w:r>
      <w:r w:rsidRPr="00651427">
        <w:rPr>
          <w:rFonts w:eastAsia="Arial"/>
          <w:b/>
          <w:color w:val="000000"/>
        </w:rPr>
        <w:t xml:space="preserve">, </w:t>
      </w:r>
      <w:r w:rsidRPr="00651427">
        <w:rPr>
          <w:rFonts w:eastAsia="Arial"/>
          <w:b/>
          <w:i/>
          <w:color w:val="000000"/>
        </w:rPr>
        <w:t>2007</w:t>
      </w:r>
      <w:r w:rsidRPr="00651427">
        <w:rPr>
          <w:rFonts w:eastAsia="Arial"/>
          <w:b/>
          <w:color w:val="000000"/>
        </w:rPr>
        <w:t>, SO 2007</w:t>
      </w:r>
      <w:r w:rsidR="03E77794" w:rsidRPr="00651427">
        <w:rPr>
          <w:rFonts w:eastAsia="Arial"/>
          <w:b/>
          <w:color w:val="000000"/>
        </w:rPr>
        <w:t>, c. 6</w:t>
      </w:r>
      <w:r w:rsidR="6FCD644B" w:rsidRPr="00651427">
        <w:rPr>
          <w:rFonts w:eastAsia="Arial"/>
          <w:b/>
          <w:bCs/>
          <w:color w:val="000000"/>
        </w:rPr>
        <w:t>.</w:t>
      </w:r>
    </w:p>
    <w:p w14:paraId="2D55F8FF" w14:textId="5B2A27DD" w:rsidR="001756E2" w:rsidRPr="002A658D" w:rsidRDefault="00527718" w:rsidP="009C233C">
      <w:pPr>
        <w:pStyle w:val="WSParaNum"/>
        <w:numPr>
          <w:ilvl w:val="0"/>
          <w:numId w:val="0"/>
        </w:numPr>
        <w:spacing w:line="276" w:lineRule="auto"/>
        <w:jc w:val="center"/>
        <w:rPr>
          <w:rFonts w:eastAsia="Arial"/>
          <w:color w:val="000000"/>
          <w:lang w:val="en-US"/>
        </w:rPr>
      </w:pPr>
      <w:r w:rsidRPr="00574F56">
        <w:rPr>
          <w:rFonts w:eastAsia="Arial"/>
          <w:color w:val="000000"/>
          <w:lang w:val="en-US"/>
        </w:rPr>
        <w:t>Introduction</w:t>
      </w:r>
    </w:p>
    <w:p w14:paraId="6688A472" w14:textId="17ABF6D5" w:rsidR="00F202E1" w:rsidRDefault="00F202E1" w:rsidP="009C233C">
      <w:pPr>
        <w:pStyle w:val="WSParaNum"/>
        <w:numPr>
          <w:ilvl w:val="0"/>
          <w:numId w:val="0"/>
        </w:numPr>
        <w:spacing w:after="0" w:line="276" w:lineRule="auto"/>
        <w:jc w:val="both"/>
        <w:rPr>
          <w:rFonts w:eastAsia="Arial"/>
          <w:color w:val="000000"/>
        </w:rPr>
      </w:pPr>
      <w:r>
        <w:rPr>
          <w:rFonts w:eastAsia="Arial"/>
          <w:b/>
          <w:bCs/>
          <w:color w:val="000000"/>
        </w:rPr>
        <w:t>Definitions</w:t>
      </w:r>
      <w:r>
        <w:rPr>
          <w:rFonts w:eastAsia="Arial"/>
          <w:color w:val="000000"/>
        </w:rPr>
        <w:t xml:space="preserve"> </w:t>
      </w:r>
    </w:p>
    <w:p w14:paraId="1A1BC7E1" w14:textId="55929685" w:rsidR="00F202E1" w:rsidRDefault="006F3046" w:rsidP="004072AC">
      <w:pPr>
        <w:pStyle w:val="WSParaNum"/>
        <w:numPr>
          <w:ilvl w:val="0"/>
          <w:numId w:val="0"/>
        </w:numPr>
        <w:spacing w:before="0" w:after="0" w:line="276" w:lineRule="auto"/>
        <w:jc w:val="both"/>
        <w:rPr>
          <w:rFonts w:eastAsia="Arial"/>
          <w:color w:val="000000"/>
          <w:lang w:val="en-US"/>
        </w:rPr>
      </w:pPr>
      <w:r w:rsidRPr="006F3046">
        <w:rPr>
          <w:rFonts w:eastAsia="Arial"/>
          <w:b/>
          <w:bCs/>
          <w:color w:val="000000"/>
          <w:lang w:val="en-US"/>
        </w:rPr>
        <w:t>2 </w:t>
      </w:r>
      <w:r w:rsidRPr="006F3046">
        <w:rPr>
          <w:rFonts w:eastAsia="Arial"/>
          <w:color w:val="000000"/>
          <w:lang w:val="en-US"/>
        </w:rPr>
        <w:t>(1)</w:t>
      </w:r>
      <w:r w:rsidRPr="006F3046">
        <w:rPr>
          <w:rFonts w:eastAsia="Arial"/>
          <w:b/>
          <w:bCs/>
          <w:color w:val="000000"/>
          <w:lang w:val="en-US"/>
        </w:rPr>
        <w:t> </w:t>
      </w:r>
      <w:r w:rsidRPr="006F3046">
        <w:rPr>
          <w:rFonts w:eastAsia="Arial"/>
          <w:color w:val="000000"/>
          <w:lang w:val="en-US"/>
        </w:rPr>
        <w:t>In this Act,</w:t>
      </w:r>
    </w:p>
    <w:p w14:paraId="38455CF3" w14:textId="336F50E6" w:rsidR="00055C81" w:rsidRPr="006943D1" w:rsidRDefault="00A231B5" w:rsidP="004072AC">
      <w:pPr>
        <w:pStyle w:val="WSParaNum"/>
        <w:numPr>
          <w:ilvl w:val="0"/>
          <w:numId w:val="0"/>
        </w:numPr>
        <w:spacing w:before="0" w:after="0" w:line="276" w:lineRule="auto"/>
        <w:jc w:val="both"/>
        <w:rPr>
          <w:rFonts w:eastAsia="Arial"/>
          <w:b/>
          <w:bCs/>
          <w:color w:val="000000"/>
          <w:lang w:val="en-US"/>
        </w:rPr>
      </w:pPr>
      <w:r w:rsidRPr="006943D1">
        <w:rPr>
          <w:rFonts w:eastAsia="Arial"/>
          <w:b/>
          <w:bCs/>
          <w:color w:val="000000"/>
          <w:lang w:val="en-US"/>
        </w:rPr>
        <w:t>…</w:t>
      </w:r>
    </w:p>
    <w:p w14:paraId="429B24D0" w14:textId="77777777" w:rsidR="006E2B9A" w:rsidRPr="006E2B9A" w:rsidRDefault="006E2B9A" w:rsidP="004072AC">
      <w:pPr>
        <w:spacing w:after="120" w:line="276" w:lineRule="auto"/>
        <w:ind w:left="480" w:hanging="240"/>
        <w:jc w:val="both"/>
        <w:rPr>
          <w:color w:val="000000"/>
          <w:lang w:val="en-CA" w:eastAsia="en-CA"/>
        </w:rPr>
      </w:pPr>
      <w:r w:rsidRPr="006E2B9A">
        <w:rPr>
          <w:color w:val="000000"/>
          <w:lang w:val="en-CA" w:eastAsia="en-CA"/>
        </w:rPr>
        <w:t>“habitat” means,</w:t>
      </w:r>
    </w:p>
    <w:p w14:paraId="54E026E3" w14:textId="1C3997FE" w:rsidR="006E2B9A" w:rsidRPr="006E2B9A" w:rsidRDefault="006E2B9A" w:rsidP="004072AC">
      <w:pPr>
        <w:spacing w:after="120" w:line="276" w:lineRule="auto"/>
        <w:ind w:left="720" w:hanging="360"/>
        <w:jc w:val="both"/>
        <w:rPr>
          <w:color w:val="000000"/>
          <w:lang w:val="en-CA" w:eastAsia="en-CA"/>
        </w:rPr>
      </w:pPr>
      <w:r w:rsidRPr="006E2B9A">
        <w:rPr>
          <w:color w:val="000000"/>
          <w:lang w:val="en-CA" w:eastAsia="en-CA"/>
        </w:rPr>
        <w:t>(a) with respect to a species of animal, plant or other organism for which a regulation made unde</w:t>
      </w:r>
      <w:r w:rsidR="006943D1">
        <w:rPr>
          <w:color w:val="000000"/>
          <w:lang w:val="en-CA" w:eastAsia="en-CA"/>
        </w:rPr>
        <w:t xml:space="preserve">r </w:t>
      </w:r>
      <w:r w:rsidR="006943D1" w:rsidRPr="006943D1">
        <w:rPr>
          <w:color w:val="000000"/>
          <w:lang w:val="en-CA" w:eastAsia="en-CA"/>
        </w:rPr>
        <w:t xml:space="preserve">clause 55 (1) </w:t>
      </w:r>
      <w:r w:rsidR="006943D1">
        <w:rPr>
          <w:color w:val="000000"/>
          <w:lang w:val="en-CA" w:eastAsia="en-CA"/>
        </w:rPr>
        <w:t>(</w:t>
      </w:r>
      <w:r w:rsidRPr="006E2B9A">
        <w:rPr>
          <w:color w:val="000000"/>
          <w:lang w:val="en-CA" w:eastAsia="en-CA"/>
        </w:rPr>
        <w:t>a) is in force, the area prescribed by that regulation as the habitat of the species, or</w:t>
      </w:r>
    </w:p>
    <w:p w14:paraId="692CAFEE" w14:textId="77777777" w:rsidR="00616110" w:rsidRPr="006943D1" w:rsidRDefault="00616110" w:rsidP="004072AC">
      <w:pPr>
        <w:pStyle w:val="paragraph"/>
        <w:spacing w:before="0" w:beforeAutospacing="0" w:after="120" w:afterAutospacing="0" w:line="276" w:lineRule="auto"/>
        <w:ind w:left="720" w:hanging="360"/>
        <w:jc w:val="both"/>
        <w:rPr>
          <w:color w:val="000000"/>
        </w:rPr>
      </w:pPr>
      <w:r w:rsidRPr="006943D1">
        <w:rPr>
          <w:color w:val="000000"/>
        </w:rPr>
        <w:t>(b) with respect to any other species of animal, plant or other organism, an area on which the species depends, directly or indirectly, to carry on its life processes, including life processes such as reproduction, rearing, hibernation, migration or feeding,</w:t>
      </w:r>
    </w:p>
    <w:p w14:paraId="54D50016" w14:textId="1463DD3D" w:rsidR="00322A47" w:rsidRPr="003D6F4B" w:rsidRDefault="00616110" w:rsidP="004072AC">
      <w:pPr>
        <w:pStyle w:val="definition"/>
        <w:spacing w:before="0" w:beforeAutospacing="0" w:after="120" w:afterAutospacing="0" w:line="276" w:lineRule="auto"/>
        <w:ind w:left="480" w:hanging="240"/>
        <w:jc w:val="both"/>
        <w:rPr>
          <w:color w:val="000000"/>
        </w:rPr>
      </w:pPr>
      <w:r w:rsidRPr="006943D1">
        <w:rPr>
          <w:color w:val="000000"/>
        </w:rPr>
        <w:lastRenderedPageBreak/>
        <w:t>and includes places in the area described in clause (a) or (b), whichever is applicable, that are used by members of the species as dens, nests, hibernacula or other residences; (“habitat”)</w:t>
      </w:r>
    </w:p>
    <w:p w14:paraId="02CE9D8D" w14:textId="409C6D5B" w:rsidR="006943D1" w:rsidRPr="006943D1" w:rsidRDefault="006943D1" w:rsidP="004072AC">
      <w:pPr>
        <w:pStyle w:val="headnote"/>
        <w:spacing w:before="240" w:beforeAutospacing="0" w:after="0" w:afterAutospacing="0" w:line="276" w:lineRule="auto"/>
        <w:jc w:val="both"/>
        <w:rPr>
          <w:b/>
          <w:bCs/>
          <w:color w:val="000000"/>
        </w:rPr>
      </w:pPr>
      <w:r w:rsidRPr="006943D1">
        <w:rPr>
          <w:b/>
          <w:bCs/>
          <w:color w:val="000000"/>
        </w:rPr>
        <w:t>Definition of “habitat”, cl. (b)</w:t>
      </w:r>
    </w:p>
    <w:p w14:paraId="1F248F85" w14:textId="00620EF5" w:rsidR="00651427" w:rsidRDefault="006943D1" w:rsidP="00D50007">
      <w:pPr>
        <w:pStyle w:val="subsection"/>
        <w:spacing w:before="0" w:after="240" w:afterAutospacing="0" w:line="276" w:lineRule="auto"/>
        <w:jc w:val="both"/>
        <w:rPr>
          <w:rStyle w:val="canliisubsection"/>
          <w:color w:val="000000"/>
        </w:rPr>
      </w:pPr>
      <w:r w:rsidRPr="00651427">
        <w:rPr>
          <w:rStyle w:val="canliisubsection"/>
          <w:color w:val="000000"/>
        </w:rPr>
        <w:t>(2) For greater certainty, clause (b) of the definition of “habitat” in subsection (1) does not include an area where the species formerly occurred or has the potential to be reintroduced unless existing members of the species depend on that area to carry on their life processes.</w:t>
      </w:r>
    </w:p>
    <w:p w14:paraId="1EA8D440" w14:textId="77777777" w:rsidR="00D50007" w:rsidRPr="00651427" w:rsidRDefault="00D50007" w:rsidP="00D50007">
      <w:pPr>
        <w:pStyle w:val="subsection"/>
        <w:spacing w:before="0" w:after="0" w:afterAutospacing="0" w:line="276" w:lineRule="auto"/>
        <w:jc w:val="both"/>
        <w:rPr>
          <w:rStyle w:val="canliisubsection"/>
          <w:rFonts w:eastAsia="Arial"/>
          <w:color w:val="000000"/>
        </w:rPr>
      </w:pPr>
    </w:p>
    <w:p w14:paraId="02F86DEE" w14:textId="2E1B268A" w:rsidR="009C233C" w:rsidRDefault="00F202E1" w:rsidP="004072AC">
      <w:pPr>
        <w:pStyle w:val="WSParaNum"/>
        <w:numPr>
          <w:ilvl w:val="0"/>
          <w:numId w:val="0"/>
        </w:numPr>
        <w:spacing w:line="276" w:lineRule="auto"/>
        <w:jc w:val="both"/>
        <w:rPr>
          <w:rFonts w:eastAsia="Arial"/>
          <w:b/>
          <w:bCs/>
          <w:color w:val="000000"/>
        </w:rPr>
      </w:pPr>
      <w:r w:rsidRPr="00651427">
        <w:rPr>
          <w:rFonts w:eastAsia="Arial"/>
          <w:b/>
          <w:i/>
          <w:color w:val="000000"/>
        </w:rPr>
        <w:t>Provincial Offences Act</w:t>
      </w:r>
      <w:r w:rsidRPr="00651427">
        <w:rPr>
          <w:rFonts w:eastAsia="Arial"/>
          <w:b/>
          <w:color w:val="000000"/>
        </w:rPr>
        <w:t>, RSO 1990, c P.33</w:t>
      </w:r>
      <w:r w:rsidR="6FCD644B" w:rsidRPr="00651427">
        <w:rPr>
          <w:rFonts w:eastAsia="Arial"/>
          <w:b/>
          <w:bCs/>
          <w:color w:val="000000"/>
        </w:rPr>
        <w:t>.</w:t>
      </w:r>
    </w:p>
    <w:p w14:paraId="5833FADE" w14:textId="2837F978" w:rsidR="00C83443" w:rsidRPr="00C83443" w:rsidRDefault="00C83443" w:rsidP="004072AC">
      <w:pPr>
        <w:pStyle w:val="WSParaNum"/>
        <w:numPr>
          <w:ilvl w:val="0"/>
          <w:numId w:val="0"/>
        </w:numPr>
        <w:spacing w:line="276" w:lineRule="auto"/>
        <w:jc w:val="center"/>
        <w:rPr>
          <w:rFonts w:eastAsia="Arial"/>
          <w:color w:val="000000"/>
        </w:rPr>
      </w:pPr>
      <w:r w:rsidRPr="00C83443">
        <w:rPr>
          <w:rFonts w:eastAsia="Arial"/>
          <w:color w:val="000000"/>
        </w:rPr>
        <w:t>Appeals under Part III</w:t>
      </w:r>
    </w:p>
    <w:p w14:paraId="3C7CC304" w14:textId="77777777" w:rsidR="004049AC" w:rsidRPr="004049AC" w:rsidRDefault="004049AC" w:rsidP="009C233C">
      <w:pPr>
        <w:pStyle w:val="headnote"/>
        <w:spacing w:before="240" w:beforeAutospacing="0" w:after="0" w:afterAutospacing="0" w:line="276" w:lineRule="auto"/>
        <w:jc w:val="both"/>
        <w:rPr>
          <w:b/>
          <w:bCs/>
          <w:color w:val="000000"/>
        </w:rPr>
      </w:pPr>
      <w:r w:rsidRPr="004049AC">
        <w:rPr>
          <w:b/>
          <w:bCs/>
          <w:color w:val="000000"/>
        </w:rPr>
        <w:t>Appeals, proceedings commenced by information</w:t>
      </w:r>
    </w:p>
    <w:p w14:paraId="1952420E" w14:textId="77777777" w:rsidR="004049AC" w:rsidRPr="004049AC" w:rsidRDefault="004049AC" w:rsidP="004072AC">
      <w:pPr>
        <w:pStyle w:val="section"/>
        <w:spacing w:before="0" w:after="0" w:afterAutospacing="0" w:line="276" w:lineRule="auto"/>
        <w:jc w:val="both"/>
        <w:rPr>
          <w:color w:val="000000"/>
        </w:rPr>
      </w:pPr>
      <w:bookmarkStart w:id="81" w:name="BK157"/>
      <w:bookmarkStart w:id="82" w:name="sec116subsec1"/>
      <w:bookmarkStart w:id="83" w:name="sec116"/>
      <w:bookmarkEnd w:id="81"/>
      <w:bookmarkEnd w:id="82"/>
      <w:bookmarkEnd w:id="83"/>
      <w:r w:rsidRPr="004049AC">
        <w:rPr>
          <w:b/>
          <w:bCs/>
          <w:color w:val="000000"/>
        </w:rPr>
        <w:t>116 </w:t>
      </w:r>
      <w:r w:rsidRPr="004049AC">
        <w:rPr>
          <w:rStyle w:val="canliisectionwithsubsection"/>
          <w:color w:val="000000"/>
        </w:rPr>
        <w:t>(1)</w:t>
      </w:r>
      <w:r w:rsidRPr="004049AC">
        <w:rPr>
          <w:color w:val="000000"/>
        </w:rPr>
        <w:t> Where a proceeding is commenced by information under Part III, the defendant or the prosecutor or the Attorney General by way of intervention may appeal from,</w:t>
      </w:r>
    </w:p>
    <w:p w14:paraId="03BCCA9D" w14:textId="77777777" w:rsidR="004049AC" w:rsidRPr="004049AC" w:rsidRDefault="004049AC" w:rsidP="004072AC">
      <w:pPr>
        <w:pStyle w:val="paragraph"/>
        <w:spacing w:before="0" w:beforeAutospacing="0" w:after="0" w:afterAutospacing="0" w:line="276" w:lineRule="auto"/>
        <w:ind w:left="720" w:hanging="360"/>
        <w:jc w:val="both"/>
        <w:rPr>
          <w:color w:val="000000"/>
        </w:rPr>
      </w:pPr>
      <w:r w:rsidRPr="004049AC">
        <w:rPr>
          <w:color w:val="000000"/>
        </w:rPr>
        <w:t>(a) a conviction;</w:t>
      </w:r>
    </w:p>
    <w:p w14:paraId="7CB58CFF" w14:textId="77777777" w:rsidR="004049AC" w:rsidRPr="004049AC" w:rsidRDefault="004049AC" w:rsidP="004072AC">
      <w:pPr>
        <w:pStyle w:val="paragraph"/>
        <w:spacing w:before="0" w:beforeAutospacing="0" w:after="0" w:afterAutospacing="0" w:line="276" w:lineRule="auto"/>
        <w:ind w:left="720" w:hanging="360"/>
        <w:jc w:val="both"/>
        <w:rPr>
          <w:color w:val="000000"/>
        </w:rPr>
      </w:pPr>
      <w:r w:rsidRPr="004049AC">
        <w:rPr>
          <w:color w:val="000000"/>
        </w:rPr>
        <w:t>(b) a dismissal;</w:t>
      </w:r>
    </w:p>
    <w:p w14:paraId="5BEF1A08" w14:textId="77777777" w:rsidR="004049AC" w:rsidRPr="004049AC" w:rsidRDefault="004049AC" w:rsidP="004072AC">
      <w:pPr>
        <w:pStyle w:val="paragraph"/>
        <w:spacing w:before="0" w:beforeAutospacing="0" w:after="0" w:afterAutospacing="0" w:line="276" w:lineRule="auto"/>
        <w:ind w:left="720" w:hanging="360"/>
        <w:jc w:val="both"/>
        <w:rPr>
          <w:color w:val="000000"/>
        </w:rPr>
      </w:pPr>
      <w:r w:rsidRPr="004049AC">
        <w:rPr>
          <w:color w:val="000000"/>
        </w:rPr>
        <w:t>(c) a finding as to ability, because of mental disorder, to conduct a defence;</w:t>
      </w:r>
    </w:p>
    <w:p w14:paraId="7EC6876F" w14:textId="77777777" w:rsidR="004049AC" w:rsidRPr="004049AC" w:rsidRDefault="004049AC" w:rsidP="004072AC">
      <w:pPr>
        <w:pStyle w:val="paragraph"/>
        <w:spacing w:before="0" w:beforeAutospacing="0" w:after="0" w:afterAutospacing="0" w:line="276" w:lineRule="auto"/>
        <w:ind w:left="720" w:hanging="360"/>
        <w:jc w:val="both"/>
        <w:rPr>
          <w:color w:val="000000"/>
        </w:rPr>
      </w:pPr>
      <w:r w:rsidRPr="004049AC">
        <w:rPr>
          <w:color w:val="000000"/>
        </w:rPr>
        <w:t>(d) a sentence; or</w:t>
      </w:r>
    </w:p>
    <w:p w14:paraId="7C82BBA8" w14:textId="7940CB4D" w:rsidR="004049AC" w:rsidRDefault="004049AC" w:rsidP="004072AC">
      <w:pPr>
        <w:pStyle w:val="paragraph"/>
        <w:spacing w:before="0" w:beforeAutospacing="0" w:after="0" w:afterAutospacing="0" w:line="276" w:lineRule="auto"/>
        <w:ind w:left="720" w:hanging="360"/>
        <w:jc w:val="both"/>
        <w:rPr>
          <w:color w:val="000000"/>
        </w:rPr>
      </w:pPr>
      <w:r w:rsidRPr="004049AC">
        <w:rPr>
          <w:color w:val="000000"/>
        </w:rPr>
        <w:t xml:space="preserve">(e) any other order as to costs.  </w:t>
      </w:r>
    </w:p>
    <w:p w14:paraId="0AABE08F" w14:textId="77777777" w:rsidR="00AE0F4F" w:rsidRPr="00AE0F4F" w:rsidRDefault="00AE0F4F" w:rsidP="004072AC">
      <w:pPr>
        <w:spacing w:before="240" w:after="240" w:line="276" w:lineRule="auto"/>
        <w:jc w:val="both"/>
        <w:rPr>
          <w:b/>
          <w:bCs/>
          <w:color w:val="000000"/>
          <w:lang w:val="en-CA" w:eastAsia="en-CA"/>
        </w:rPr>
      </w:pPr>
      <w:r w:rsidRPr="00AE0F4F">
        <w:rPr>
          <w:b/>
          <w:bCs/>
          <w:color w:val="000000"/>
          <w:lang w:val="en-CA" w:eastAsia="en-CA"/>
        </w:rPr>
        <w:t>Conduct of appeal</w:t>
      </w:r>
    </w:p>
    <w:p w14:paraId="7ED2961A" w14:textId="77777777" w:rsidR="00AE0F4F" w:rsidRPr="00AE0F4F" w:rsidRDefault="00AE0F4F" w:rsidP="004072AC">
      <w:pPr>
        <w:spacing w:beforeAutospacing="1" w:line="276" w:lineRule="auto"/>
        <w:jc w:val="both"/>
        <w:rPr>
          <w:color w:val="000000"/>
          <w:lang w:val="en-CA" w:eastAsia="en-CA"/>
        </w:rPr>
      </w:pPr>
      <w:bookmarkStart w:id="84" w:name="BK158"/>
      <w:bookmarkStart w:id="85" w:name="sec117subsec1"/>
      <w:bookmarkStart w:id="86" w:name="sec117"/>
      <w:bookmarkEnd w:id="84"/>
      <w:bookmarkEnd w:id="85"/>
      <w:bookmarkEnd w:id="86"/>
      <w:r w:rsidRPr="00AE0F4F">
        <w:rPr>
          <w:b/>
          <w:bCs/>
          <w:color w:val="000000"/>
          <w:lang w:val="en-CA" w:eastAsia="en-CA"/>
        </w:rPr>
        <w:t>117 </w:t>
      </w:r>
      <w:r w:rsidRPr="00AE0F4F">
        <w:rPr>
          <w:color w:val="000000"/>
          <w:lang w:val="en-CA" w:eastAsia="en-CA"/>
        </w:rPr>
        <w:t>(1) The court may, where it considers it to be in the interests of justice,</w:t>
      </w:r>
    </w:p>
    <w:p w14:paraId="6FD56093" w14:textId="77777777" w:rsidR="00AE0F4F" w:rsidRPr="00AE0F4F" w:rsidRDefault="00AE0F4F" w:rsidP="004072AC">
      <w:pPr>
        <w:spacing w:line="276" w:lineRule="auto"/>
        <w:ind w:left="720" w:hanging="360"/>
        <w:jc w:val="both"/>
        <w:rPr>
          <w:color w:val="000000"/>
          <w:lang w:val="en-CA" w:eastAsia="en-CA"/>
        </w:rPr>
      </w:pPr>
      <w:r w:rsidRPr="00AE0F4F">
        <w:rPr>
          <w:color w:val="000000"/>
          <w:lang w:val="en-CA" w:eastAsia="en-CA"/>
        </w:rPr>
        <w:t>(a) order the production of any writing, exhibit or other thing relevant to the appeal;</w:t>
      </w:r>
    </w:p>
    <w:p w14:paraId="67E6CE6D" w14:textId="216DBB3E" w:rsidR="00AE0F4F" w:rsidRPr="00AE0F4F" w:rsidRDefault="009B1773" w:rsidP="004072AC">
      <w:pPr>
        <w:spacing w:line="276" w:lineRule="auto"/>
        <w:ind w:left="720" w:hanging="360"/>
        <w:jc w:val="both"/>
        <w:rPr>
          <w:color w:val="000000"/>
          <w:lang w:val="en-CA" w:eastAsia="en-CA"/>
        </w:rPr>
      </w:pPr>
      <w:r>
        <w:rPr>
          <w:color w:val="000000"/>
          <w:lang w:val="en-CA" w:eastAsia="en-CA"/>
        </w:rPr>
        <w:t>(a.1</w:t>
      </w:r>
      <w:r w:rsidR="00AE0F4F" w:rsidRPr="00AE0F4F">
        <w:rPr>
          <w:color w:val="000000"/>
          <w:lang w:val="en-CA" w:eastAsia="en-CA"/>
        </w:rPr>
        <w:t>) amend the information, unless it is of the opinion that the defendant has been misled or prejudiced in his or her defence or appeal;</w:t>
      </w:r>
    </w:p>
    <w:p w14:paraId="1C8A2283" w14:textId="77777777" w:rsidR="00AE0F4F" w:rsidRPr="00AE0F4F" w:rsidRDefault="00AE0F4F" w:rsidP="004072AC">
      <w:pPr>
        <w:spacing w:line="276" w:lineRule="auto"/>
        <w:ind w:left="720" w:hanging="360"/>
        <w:jc w:val="both"/>
        <w:rPr>
          <w:color w:val="000000"/>
          <w:lang w:val="en-CA" w:eastAsia="en-CA"/>
        </w:rPr>
      </w:pPr>
      <w:r w:rsidRPr="00AE0F4F">
        <w:rPr>
          <w:color w:val="000000"/>
          <w:lang w:val="en-CA" w:eastAsia="en-CA"/>
        </w:rPr>
        <w:t>(b) order any witness who would have been a compellable witness at the trial, whether or not he or she was called at the trial,</w:t>
      </w:r>
    </w:p>
    <w:p w14:paraId="7A5AB92D" w14:textId="77777777" w:rsidR="00AE0F4F" w:rsidRPr="00AE0F4F" w:rsidRDefault="00AE0F4F" w:rsidP="004072AC">
      <w:pPr>
        <w:spacing w:line="276" w:lineRule="auto"/>
        <w:ind w:left="1440" w:hanging="360"/>
        <w:jc w:val="both"/>
        <w:rPr>
          <w:color w:val="000000"/>
          <w:lang w:val="en-CA" w:eastAsia="en-CA"/>
        </w:rPr>
      </w:pPr>
      <w:r w:rsidRPr="00AE0F4F">
        <w:rPr>
          <w:color w:val="000000"/>
          <w:lang w:val="en-CA" w:eastAsia="en-CA"/>
        </w:rPr>
        <w:t>(i) to attend and be examined before the court, or</w:t>
      </w:r>
    </w:p>
    <w:p w14:paraId="057EFF64" w14:textId="77777777" w:rsidR="00AE0F4F" w:rsidRPr="00AE0F4F" w:rsidRDefault="00AE0F4F" w:rsidP="004072AC">
      <w:pPr>
        <w:spacing w:line="276" w:lineRule="auto"/>
        <w:ind w:left="1440" w:hanging="360"/>
        <w:jc w:val="both"/>
        <w:rPr>
          <w:color w:val="000000"/>
          <w:lang w:val="en-CA" w:eastAsia="en-CA"/>
        </w:rPr>
      </w:pPr>
      <w:r w:rsidRPr="00AE0F4F">
        <w:rPr>
          <w:color w:val="000000"/>
          <w:lang w:val="en-CA" w:eastAsia="en-CA"/>
        </w:rPr>
        <w:t>(ii) to be examined in the manner provided by the rules of court before a judge of the court, or before any officer of the court or justice of the peace or other person appointed by the court for the purpose;</w:t>
      </w:r>
    </w:p>
    <w:p w14:paraId="74186588" w14:textId="77777777" w:rsidR="00AE0F4F" w:rsidRPr="00AE0F4F" w:rsidRDefault="00AE0F4F" w:rsidP="004072AC">
      <w:pPr>
        <w:spacing w:line="276" w:lineRule="auto"/>
        <w:ind w:left="720" w:hanging="360"/>
        <w:jc w:val="both"/>
        <w:rPr>
          <w:color w:val="000000"/>
          <w:lang w:val="en-CA" w:eastAsia="en-CA"/>
        </w:rPr>
      </w:pPr>
      <w:r w:rsidRPr="00AE0F4F">
        <w:rPr>
          <w:color w:val="000000"/>
          <w:lang w:val="en-CA" w:eastAsia="en-CA"/>
        </w:rPr>
        <w:t>(c) admit, as evidence, an examination that is taken under subclause (b) (ii);</w:t>
      </w:r>
    </w:p>
    <w:p w14:paraId="66FC1A2D" w14:textId="77777777" w:rsidR="00AE0F4F" w:rsidRPr="00AE0F4F" w:rsidRDefault="00AE0F4F" w:rsidP="004072AC">
      <w:pPr>
        <w:spacing w:line="276" w:lineRule="auto"/>
        <w:ind w:left="720" w:hanging="360"/>
        <w:jc w:val="both"/>
        <w:rPr>
          <w:color w:val="000000"/>
          <w:lang w:val="en-CA" w:eastAsia="en-CA"/>
        </w:rPr>
      </w:pPr>
      <w:r w:rsidRPr="00AE0F4F">
        <w:rPr>
          <w:color w:val="000000"/>
          <w:lang w:val="en-CA" w:eastAsia="en-CA"/>
        </w:rPr>
        <w:t>(d) receive the evidence, if tendered, of any witness;</w:t>
      </w:r>
    </w:p>
    <w:p w14:paraId="70850F47" w14:textId="77777777" w:rsidR="00AE0F4F" w:rsidRPr="00AE0F4F" w:rsidRDefault="00AE0F4F" w:rsidP="004072AC">
      <w:pPr>
        <w:spacing w:line="276" w:lineRule="auto"/>
        <w:ind w:left="720" w:hanging="360"/>
        <w:jc w:val="both"/>
        <w:rPr>
          <w:color w:val="000000"/>
          <w:lang w:val="en-CA" w:eastAsia="en-CA"/>
        </w:rPr>
      </w:pPr>
      <w:r w:rsidRPr="00AE0F4F">
        <w:rPr>
          <w:color w:val="000000"/>
          <w:lang w:val="en-CA" w:eastAsia="en-CA"/>
        </w:rPr>
        <w:t>(e) order that any question arising on the appeal that,</w:t>
      </w:r>
    </w:p>
    <w:p w14:paraId="3BA81C51" w14:textId="77777777" w:rsidR="00AE0F4F" w:rsidRPr="00AE0F4F" w:rsidRDefault="00AE0F4F" w:rsidP="004072AC">
      <w:pPr>
        <w:spacing w:line="276" w:lineRule="auto"/>
        <w:ind w:left="1440" w:hanging="360"/>
        <w:jc w:val="both"/>
        <w:rPr>
          <w:color w:val="000000"/>
          <w:lang w:val="en-CA" w:eastAsia="en-CA"/>
        </w:rPr>
      </w:pPr>
      <w:r w:rsidRPr="00AE0F4F">
        <w:rPr>
          <w:color w:val="000000"/>
          <w:lang w:val="en-CA" w:eastAsia="en-CA"/>
        </w:rPr>
        <w:t>(i) involves prolonged examination of writings or accounts, or scientific investigation, and</w:t>
      </w:r>
    </w:p>
    <w:p w14:paraId="3B531D47" w14:textId="77777777" w:rsidR="00AE0F4F" w:rsidRPr="00AE0F4F" w:rsidRDefault="00AE0F4F" w:rsidP="004072AC">
      <w:pPr>
        <w:spacing w:line="276" w:lineRule="auto"/>
        <w:ind w:left="1440" w:hanging="360"/>
        <w:jc w:val="both"/>
        <w:rPr>
          <w:color w:val="000000"/>
          <w:lang w:val="en-CA" w:eastAsia="en-CA"/>
        </w:rPr>
      </w:pPr>
      <w:r w:rsidRPr="00AE0F4F">
        <w:rPr>
          <w:color w:val="000000"/>
          <w:lang w:val="en-CA" w:eastAsia="en-CA"/>
        </w:rPr>
        <w:t>(ii) cannot in the opinion of the court conveniently be inquired into before the court,</w:t>
      </w:r>
    </w:p>
    <w:p w14:paraId="7E96FC10" w14:textId="77777777" w:rsidR="00AE0F4F" w:rsidRPr="00AE0F4F" w:rsidRDefault="00AE0F4F" w:rsidP="004072AC">
      <w:pPr>
        <w:spacing w:line="276" w:lineRule="auto"/>
        <w:ind w:left="2160" w:hanging="360"/>
        <w:jc w:val="both"/>
        <w:rPr>
          <w:color w:val="000000"/>
          <w:lang w:val="en-CA" w:eastAsia="en-CA"/>
        </w:rPr>
      </w:pPr>
      <w:r w:rsidRPr="00AE0F4F">
        <w:rPr>
          <w:color w:val="000000"/>
          <w:lang w:val="en-CA" w:eastAsia="en-CA"/>
        </w:rPr>
        <w:lastRenderedPageBreak/>
        <w:t>be referred for inquiry and report, in the manner provided by the rules of court, to a special commissioner appointed by the court; and</w:t>
      </w:r>
    </w:p>
    <w:p w14:paraId="7474C07B" w14:textId="5F125B48" w:rsidR="004049AC" w:rsidRPr="003D6F4B" w:rsidRDefault="00AE0F4F" w:rsidP="004072AC">
      <w:pPr>
        <w:spacing w:line="276" w:lineRule="auto"/>
        <w:ind w:left="720" w:hanging="360"/>
        <w:jc w:val="both"/>
        <w:rPr>
          <w:color w:val="000000"/>
          <w:lang w:val="en-CA" w:eastAsia="en-CA"/>
        </w:rPr>
      </w:pPr>
      <w:r w:rsidRPr="00AE0F4F">
        <w:rPr>
          <w:color w:val="000000"/>
          <w:lang w:val="en-CA" w:eastAsia="en-CA"/>
        </w:rPr>
        <w:t>(f) act upon the report of a commissioner who is appointed under clause (e) in so far as the court thinks fit to do so.</w:t>
      </w:r>
    </w:p>
    <w:p w14:paraId="11BE5D74" w14:textId="77777777" w:rsidR="006E26C9" w:rsidRPr="006E26C9" w:rsidRDefault="006E26C9" w:rsidP="004072AC">
      <w:pPr>
        <w:pStyle w:val="headnote"/>
        <w:spacing w:before="240" w:beforeAutospacing="0" w:after="0" w:afterAutospacing="0" w:line="276" w:lineRule="auto"/>
        <w:jc w:val="both"/>
        <w:rPr>
          <w:b/>
          <w:bCs/>
          <w:color w:val="000000"/>
        </w:rPr>
      </w:pPr>
      <w:r w:rsidRPr="006E26C9">
        <w:rPr>
          <w:b/>
          <w:bCs/>
          <w:color w:val="000000"/>
        </w:rPr>
        <w:t>Orders on appeal against conviction, etc.</w:t>
      </w:r>
    </w:p>
    <w:p w14:paraId="4F13F40C" w14:textId="77777777" w:rsidR="006E26C9" w:rsidRPr="006E26C9" w:rsidRDefault="006E26C9" w:rsidP="004072AC">
      <w:pPr>
        <w:pStyle w:val="section"/>
        <w:spacing w:before="0" w:after="0" w:afterAutospacing="0" w:line="276" w:lineRule="auto"/>
        <w:jc w:val="both"/>
        <w:rPr>
          <w:color w:val="000000"/>
        </w:rPr>
      </w:pPr>
      <w:bookmarkStart w:id="87" w:name="BK161"/>
      <w:bookmarkStart w:id="88" w:name="sec120subsec1"/>
      <w:bookmarkStart w:id="89" w:name="sec120"/>
      <w:bookmarkEnd w:id="87"/>
      <w:bookmarkEnd w:id="88"/>
      <w:bookmarkEnd w:id="89"/>
      <w:r w:rsidRPr="006E26C9">
        <w:rPr>
          <w:b/>
          <w:bCs/>
          <w:color w:val="000000"/>
        </w:rPr>
        <w:t>120 </w:t>
      </w:r>
      <w:r w:rsidRPr="006E26C9">
        <w:rPr>
          <w:rStyle w:val="canliisectionwithsubsection"/>
          <w:color w:val="000000"/>
        </w:rPr>
        <w:t>(1)</w:t>
      </w:r>
      <w:r w:rsidRPr="006E26C9">
        <w:rPr>
          <w:color w:val="000000"/>
        </w:rPr>
        <w:t> On the hearing of an appeal against a conviction or against a finding as to the ability, because of mental disorder, to conduct a defence, the court by order,</w:t>
      </w:r>
    </w:p>
    <w:p w14:paraId="4B864015" w14:textId="77777777" w:rsidR="006E26C9" w:rsidRPr="006E26C9" w:rsidRDefault="006E26C9" w:rsidP="004072AC">
      <w:pPr>
        <w:pStyle w:val="paragraph"/>
        <w:spacing w:before="0" w:beforeAutospacing="0" w:after="0" w:afterAutospacing="0" w:line="276" w:lineRule="auto"/>
        <w:ind w:left="720" w:hanging="360"/>
        <w:jc w:val="both"/>
        <w:rPr>
          <w:color w:val="000000"/>
        </w:rPr>
      </w:pPr>
      <w:r w:rsidRPr="006E26C9">
        <w:rPr>
          <w:color w:val="000000"/>
        </w:rPr>
        <w:t>(a) may allow the appeal where it is of the opinion that,</w:t>
      </w:r>
    </w:p>
    <w:p w14:paraId="785549A8" w14:textId="77777777" w:rsidR="006E26C9" w:rsidRPr="006E26C9" w:rsidRDefault="006E26C9" w:rsidP="004072AC">
      <w:pPr>
        <w:pStyle w:val="subpara"/>
        <w:spacing w:before="0" w:beforeAutospacing="0" w:after="0" w:afterAutospacing="0" w:line="276" w:lineRule="auto"/>
        <w:ind w:left="1440" w:hanging="360"/>
        <w:jc w:val="both"/>
        <w:rPr>
          <w:color w:val="000000"/>
        </w:rPr>
      </w:pPr>
      <w:r w:rsidRPr="006E26C9">
        <w:rPr>
          <w:color w:val="000000"/>
        </w:rPr>
        <w:t>(i) the finding should be set aside on the ground that it is unreasonable or cannot be supported by the evidence,</w:t>
      </w:r>
    </w:p>
    <w:p w14:paraId="7AF79EAD" w14:textId="77777777" w:rsidR="006E26C9" w:rsidRPr="006E26C9" w:rsidRDefault="006E26C9" w:rsidP="004072AC">
      <w:pPr>
        <w:pStyle w:val="subpara"/>
        <w:spacing w:before="0" w:beforeAutospacing="0" w:after="0" w:afterAutospacing="0" w:line="276" w:lineRule="auto"/>
        <w:ind w:left="1440" w:hanging="360"/>
        <w:jc w:val="both"/>
        <w:rPr>
          <w:color w:val="000000"/>
        </w:rPr>
      </w:pPr>
      <w:r w:rsidRPr="006E26C9">
        <w:rPr>
          <w:color w:val="000000"/>
        </w:rPr>
        <w:t>(ii) the judgment of the trial court should be set aside on the ground of a wrong decision on a question of law, or</w:t>
      </w:r>
    </w:p>
    <w:p w14:paraId="088F3B60" w14:textId="77777777" w:rsidR="006E26C9" w:rsidRPr="006E26C9" w:rsidRDefault="006E26C9" w:rsidP="004072AC">
      <w:pPr>
        <w:pStyle w:val="subpara"/>
        <w:spacing w:before="0" w:beforeAutospacing="0" w:after="0" w:afterAutospacing="0" w:line="276" w:lineRule="auto"/>
        <w:ind w:left="1440" w:hanging="360"/>
        <w:jc w:val="both"/>
        <w:rPr>
          <w:color w:val="000000"/>
        </w:rPr>
      </w:pPr>
      <w:r w:rsidRPr="006E26C9">
        <w:rPr>
          <w:color w:val="000000"/>
        </w:rPr>
        <w:t>(iii) on any ground, there was a miscarriage of justice; or</w:t>
      </w:r>
    </w:p>
    <w:p w14:paraId="79E59455" w14:textId="77777777" w:rsidR="006E26C9" w:rsidRPr="006E26C9" w:rsidRDefault="006E26C9" w:rsidP="004072AC">
      <w:pPr>
        <w:pStyle w:val="paragraph"/>
        <w:spacing w:before="0" w:beforeAutospacing="0" w:after="0" w:afterAutospacing="0" w:line="276" w:lineRule="auto"/>
        <w:ind w:left="720" w:hanging="360"/>
        <w:jc w:val="both"/>
        <w:rPr>
          <w:color w:val="000000"/>
        </w:rPr>
      </w:pPr>
      <w:r w:rsidRPr="006E26C9">
        <w:rPr>
          <w:color w:val="000000"/>
        </w:rPr>
        <w:t>(b) may dismiss the appeal where,</w:t>
      </w:r>
    </w:p>
    <w:p w14:paraId="77788580" w14:textId="77777777" w:rsidR="006E26C9" w:rsidRPr="006E26C9" w:rsidRDefault="006E26C9" w:rsidP="004072AC">
      <w:pPr>
        <w:pStyle w:val="subpara"/>
        <w:spacing w:before="0" w:beforeAutospacing="0" w:after="0" w:afterAutospacing="0" w:line="276" w:lineRule="auto"/>
        <w:ind w:left="1440" w:hanging="360"/>
        <w:jc w:val="both"/>
        <w:rPr>
          <w:color w:val="000000"/>
        </w:rPr>
      </w:pPr>
      <w:r w:rsidRPr="006E26C9">
        <w:rPr>
          <w:color w:val="000000"/>
        </w:rPr>
        <w:t>(i) the court is of the opinion that the appellant, although the appellant was not properly convicted on a count or part of an information, was properly convicted on another count or part of the information,</w:t>
      </w:r>
    </w:p>
    <w:p w14:paraId="65A66CD2" w14:textId="77777777" w:rsidR="006E26C9" w:rsidRPr="006E26C9" w:rsidRDefault="006E26C9" w:rsidP="004072AC">
      <w:pPr>
        <w:pStyle w:val="subpara"/>
        <w:spacing w:before="0" w:beforeAutospacing="0" w:after="0" w:afterAutospacing="0" w:line="276" w:lineRule="auto"/>
        <w:ind w:left="1440" w:hanging="360"/>
        <w:jc w:val="both"/>
        <w:rPr>
          <w:color w:val="000000"/>
        </w:rPr>
      </w:pPr>
      <w:r w:rsidRPr="006E26C9">
        <w:rPr>
          <w:color w:val="000000"/>
        </w:rPr>
        <w:t>(ii) the appeal is not decided in favour of the appellant on any ground mentioned in clause (a), or</w:t>
      </w:r>
    </w:p>
    <w:p w14:paraId="0E5A24B0" w14:textId="37AD6501" w:rsidR="00F202E1" w:rsidRDefault="006E26C9" w:rsidP="004072AC">
      <w:pPr>
        <w:pStyle w:val="subpara"/>
        <w:spacing w:before="0" w:beforeAutospacing="0" w:after="0" w:afterAutospacing="0" w:line="276" w:lineRule="auto"/>
        <w:ind w:left="1440" w:hanging="360"/>
        <w:jc w:val="both"/>
        <w:rPr>
          <w:color w:val="000000"/>
        </w:rPr>
      </w:pPr>
      <w:r w:rsidRPr="006E26C9">
        <w:rPr>
          <w:color w:val="000000"/>
        </w:rPr>
        <w:t>(iii) although the court is of the opinion that on any ground mentioned in subclause (a) (ii) the appeal might be decided in favour of the appellant, it is of the opinion that no substantial wrong or miscarriage of justice has occurred.</w:t>
      </w:r>
    </w:p>
    <w:p w14:paraId="5E230086" w14:textId="77777777" w:rsidR="00BA097D" w:rsidRDefault="00BA097D" w:rsidP="00BA097D">
      <w:pPr>
        <w:pStyle w:val="subpara"/>
        <w:spacing w:before="0" w:beforeAutospacing="0" w:after="0" w:afterAutospacing="0" w:line="276" w:lineRule="auto"/>
        <w:jc w:val="both"/>
        <w:rPr>
          <w:color w:val="000000"/>
        </w:rPr>
      </w:pPr>
    </w:p>
    <w:p w14:paraId="1756ADFA" w14:textId="0E97B135" w:rsidR="00F202E1" w:rsidRPr="00F202E1" w:rsidRDefault="00F202E1" w:rsidP="009C233C">
      <w:pPr>
        <w:pStyle w:val="WSParaNum"/>
        <w:numPr>
          <w:ilvl w:val="0"/>
          <w:numId w:val="0"/>
        </w:numPr>
        <w:spacing w:after="0" w:line="276" w:lineRule="auto"/>
        <w:jc w:val="both"/>
        <w:rPr>
          <w:b/>
          <w:bCs/>
        </w:rPr>
      </w:pPr>
      <w:r w:rsidRPr="00F202E1">
        <w:rPr>
          <w:b/>
          <w:bCs/>
          <w:i/>
          <w:iCs/>
        </w:rPr>
        <w:t>Protect Ontario by Unleashing our Economy Act</w:t>
      </w:r>
      <w:r w:rsidRPr="00F202E1">
        <w:rPr>
          <w:b/>
          <w:bCs/>
        </w:rPr>
        <w:t xml:space="preserve">, 2025, </w:t>
      </w:r>
      <w:r w:rsidR="1F12774E" w:rsidRPr="1F12774E">
        <w:rPr>
          <w:b/>
          <w:bCs/>
        </w:rPr>
        <w:t>Sch.</w:t>
      </w:r>
      <w:r w:rsidRPr="00F202E1">
        <w:rPr>
          <w:b/>
          <w:bCs/>
        </w:rPr>
        <w:t xml:space="preserve"> 2, s 2(3</w:t>
      </w:r>
      <w:r w:rsidR="6FCD644B" w:rsidRPr="6FCD644B">
        <w:rPr>
          <w:b/>
          <w:bCs/>
        </w:rPr>
        <w:t>).</w:t>
      </w:r>
    </w:p>
    <w:p w14:paraId="5102E7F8" w14:textId="1A0DBA1F" w:rsidR="00F202E1" w:rsidRPr="00127970" w:rsidRDefault="00277BD4" w:rsidP="004072AC">
      <w:pPr>
        <w:pStyle w:val="WSParaNum"/>
        <w:numPr>
          <w:ilvl w:val="0"/>
          <w:numId w:val="0"/>
        </w:numPr>
        <w:spacing w:line="276" w:lineRule="auto"/>
        <w:jc w:val="center"/>
        <w:rPr>
          <w:b/>
          <w:bCs/>
          <w:caps/>
          <w:color w:val="000000"/>
        </w:rPr>
      </w:pPr>
      <w:r w:rsidRPr="00127970">
        <w:rPr>
          <w:b/>
          <w:bCs/>
          <w:caps/>
          <w:color w:val="000000"/>
        </w:rPr>
        <w:t>SCHEDULE 2</w:t>
      </w:r>
      <w:r w:rsidRPr="00127970">
        <w:rPr>
          <w:b/>
          <w:bCs/>
          <w:caps/>
          <w:color w:val="000000"/>
        </w:rPr>
        <w:br/>
        <w:t>ENDANGERED SPECIES ACT, 2007</w:t>
      </w:r>
    </w:p>
    <w:p w14:paraId="2CE46D55" w14:textId="77777777" w:rsidR="00127970" w:rsidRPr="00127970" w:rsidRDefault="00127970" w:rsidP="004072AC">
      <w:pPr>
        <w:pStyle w:val="psubsection"/>
        <w:spacing w:beforeAutospacing="0" w:after="0" w:afterAutospacing="0" w:line="276" w:lineRule="auto"/>
        <w:jc w:val="both"/>
        <w:rPr>
          <w:b/>
          <w:bCs/>
          <w:color w:val="000000"/>
        </w:rPr>
      </w:pPr>
      <w:r w:rsidRPr="00127970">
        <w:rPr>
          <w:b/>
          <w:bCs/>
          <w:color w:val="000000"/>
        </w:rPr>
        <w:t>(3) The definition of “habitat” in subsection 2 (1) of the Act is repealed and the following substituted:</w:t>
      </w:r>
    </w:p>
    <w:p w14:paraId="52432155" w14:textId="77777777" w:rsidR="00127970" w:rsidRPr="00127970" w:rsidRDefault="00127970" w:rsidP="004072AC">
      <w:pPr>
        <w:pStyle w:val="definition"/>
        <w:spacing w:before="111" w:beforeAutospacing="0" w:after="0" w:afterAutospacing="0" w:line="276" w:lineRule="auto"/>
        <w:ind w:left="189"/>
        <w:jc w:val="both"/>
        <w:rPr>
          <w:color w:val="000000"/>
        </w:rPr>
      </w:pPr>
      <w:r w:rsidRPr="00127970">
        <w:rPr>
          <w:color w:val="000000"/>
        </w:rPr>
        <w:t>“habitat” means, subject to subsection (3),</w:t>
      </w:r>
    </w:p>
    <w:p w14:paraId="74629058" w14:textId="77777777" w:rsidR="00127970" w:rsidRPr="00127970" w:rsidRDefault="00127970" w:rsidP="004072AC">
      <w:pPr>
        <w:pStyle w:val="paragraph"/>
        <w:spacing w:before="111" w:beforeAutospacing="0" w:after="0" w:afterAutospacing="0" w:line="276" w:lineRule="auto"/>
        <w:ind w:left="538"/>
        <w:jc w:val="both"/>
        <w:rPr>
          <w:color w:val="000000"/>
        </w:rPr>
      </w:pPr>
      <w:r w:rsidRPr="00127970">
        <w:rPr>
          <w:color w:val="000000"/>
        </w:rPr>
        <w:t>(a)  in respect of an animal species,</w:t>
      </w:r>
    </w:p>
    <w:p w14:paraId="04487157" w14:textId="77777777" w:rsidR="00127970" w:rsidRPr="00127970" w:rsidRDefault="00127970" w:rsidP="004072AC">
      <w:pPr>
        <w:pStyle w:val="subpara"/>
        <w:spacing w:before="111" w:beforeAutospacing="0" w:after="0" w:afterAutospacing="0" w:line="276" w:lineRule="auto"/>
        <w:ind w:left="955"/>
        <w:jc w:val="both"/>
        <w:rPr>
          <w:color w:val="000000"/>
        </w:rPr>
      </w:pPr>
      <w:r w:rsidRPr="00127970">
        <w:rPr>
          <w:color w:val="000000"/>
        </w:rPr>
        <w:t>(i)  a dwelling-place, such as a den, nest or other similar place, that is occupied or habitually occupied by one or more members of a species for the purposes of breeding, rearing, staging, wintering or hibernating, and</w:t>
      </w:r>
    </w:p>
    <w:p w14:paraId="6A30C356" w14:textId="77777777" w:rsidR="00127970" w:rsidRPr="00127970" w:rsidRDefault="00127970" w:rsidP="004072AC">
      <w:pPr>
        <w:pStyle w:val="subpara"/>
        <w:spacing w:before="111" w:beforeAutospacing="0" w:after="0" w:afterAutospacing="0" w:line="276" w:lineRule="auto"/>
        <w:ind w:left="955"/>
        <w:jc w:val="both"/>
        <w:rPr>
          <w:color w:val="000000"/>
        </w:rPr>
      </w:pPr>
      <w:r w:rsidRPr="00127970">
        <w:rPr>
          <w:color w:val="000000"/>
        </w:rPr>
        <w:t>(ii)  the area immediately around a dwelling place described in subclause (i) that is essential for the purposes set out in that subclause.</w:t>
      </w:r>
    </w:p>
    <w:p w14:paraId="6BC2A4F0" w14:textId="77777777" w:rsidR="00127970" w:rsidRPr="00127970" w:rsidRDefault="00127970" w:rsidP="004072AC">
      <w:pPr>
        <w:pStyle w:val="paragraph"/>
        <w:spacing w:before="111" w:beforeAutospacing="0" w:after="0" w:afterAutospacing="0" w:line="276" w:lineRule="auto"/>
        <w:ind w:left="538"/>
        <w:jc w:val="both"/>
        <w:rPr>
          <w:color w:val="000000"/>
        </w:rPr>
      </w:pPr>
      <w:r w:rsidRPr="00127970">
        <w:rPr>
          <w:color w:val="000000"/>
        </w:rPr>
        <w:lastRenderedPageBreak/>
        <w:t>(b)  in respect of a vascular plant species, the critical root zone surrounding a member of the species, and</w:t>
      </w:r>
    </w:p>
    <w:p w14:paraId="253E7E34" w14:textId="77777777" w:rsidR="00127970" w:rsidRPr="00127970" w:rsidRDefault="00127970" w:rsidP="004072AC">
      <w:pPr>
        <w:pStyle w:val="paragraph"/>
        <w:spacing w:before="111" w:beforeAutospacing="0" w:after="0" w:afterAutospacing="0" w:line="276" w:lineRule="auto"/>
        <w:ind w:left="538"/>
        <w:jc w:val="both"/>
        <w:rPr>
          <w:color w:val="000000"/>
        </w:rPr>
      </w:pPr>
      <w:r w:rsidRPr="00127970">
        <w:rPr>
          <w:color w:val="000000"/>
        </w:rPr>
        <w:t>(c)  in respect of all other species, an area on which any member of a species directly depends in order to carry on its life processes; (“habitat”)</w:t>
      </w:r>
    </w:p>
    <w:p w14:paraId="340BBF1D" w14:textId="77777777" w:rsidR="00277BD4" w:rsidRPr="00F202E1" w:rsidRDefault="00277BD4" w:rsidP="00F202E1">
      <w:pPr>
        <w:pStyle w:val="WSParaNum"/>
        <w:numPr>
          <w:ilvl w:val="0"/>
          <w:numId w:val="0"/>
        </w:numPr>
        <w:rPr>
          <w:rFonts w:eastAsia="Arial"/>
          <w:b/>
          <w:bCs/>
          <w:color w:val="000000"/>
        </w:rPr>
      </w:pPr>
    </w:p>
    <w:p w14:paraId="0529EEEB" w14:textId="77777777" w:rsidR="003E346B" w:rsidRDefault="003E346B" w:rsidP="008D22C7">
      <w:pPr>
        <w:sectPr w:rsidR="003E346B" w:rsidSect="0007098C">
          <w:headerReference w:type="default" r:id="rId20"/>
          <w:headerReference w:type="first" r:id="rId21"/>
          <w:footerReference w:type="first" r:id="rId22"/>
          <w:pgSz w:w="12240" w:h="15840" w:code="1"/>
          <w:pgMar w:top="1440" w:right="1440" w:bottom="1440" w:left="1440" w:header="720" w:footer="720" w:gutter="0"/>
          <w:pgNumType w:start="1"/>
          <w:cols w:space="720"/>
          <w:titlePg/>
          <w:docGrid w:linePitch="360"/>
        </w:sectPr>
      </w:pPr>
    </w:p>
    <w:tbl>
      <w:tblPr>
        <w:tblW w:w="5000" w:type="pct"/>
        <w:tblLayout w:type="fixed"/>
        <w:tblCellMar>
          <w:left w:w="0" w:type="dxa"/>
          <w:right w:w="0" w:type="dxa"/>
        </w:tblCellMar>
        <w:tblLook w:val="0000" w:firstRow="0" w:lastRow="0" w:firstColumn="0" w:lastColumn="0" w:noHBand="0" w:noVBand="0"/>
      </w:tblPr>
      <w:tblGrid>
        <w:gridCol w:w="5941"/>
        <w:gridCol w:w="1105"/>
        <w:gridCol w:w="5914"/>
      </w:tblGrid>
      <w:tr w:rsidR="00663B7A" w14:paraId="01DEC91D" w14:textId="77777777" w:rsidTr="00663B7A">
        <w:tc>
          <w:tcPr>
            <w:tcW w:w="5941" w:type="dxa"/>
            <w:tcBorders>
              <w:top w:val="nil"/>
              <w:left w:val="nil"/>
              <w:bottom w:val="nil"/>
              <w:right w:val="nil"/>
            </w:tcBorders>
          </w:tcPr>
          <w:p w14:paraId="34BF730E" w14:textId="7AD00EA9" w:rsidR="008141CC" w:rsidRPr="003F436A" w:rsidRDefault="0001047F" w:rsidP="00C71774">
            <w:pPr>
              <w:spacing w:line="1" w:lineRule="atLeast"/>
              <w:rPr>
                <w:rStyle w:val="Bold"/>
              </w:rPr>
            </w:pPr>
            <w:r>
              <w:rPr>
                <w:rStyle w:val="Bold"/>
              </w:rPr>
              <w:lastRenderedPageBreak/>
              <w:t>HIS MAJESTY THE KING</w:t>
            </w:r>
          </w:p>
        </w:tc>
        <w:tc>
          <w:tcPr>
            <w:tcW w:w="1105" w:type="dxa"/>
            <w:tcBorders>
              <w:top w:val="nil"/>
              <w:left w:val="nil"/>
              <w:bottom w:val="nil"/>
              <w:right w:val="nil"/>
            </w:tcBorders>
          </w:tcPr>
          <w:p w14:paraId="2FADB714" w14:textId="77777777" w:rsidR="00663B7A" w:rsidRDefault="00663B7A" w:rsidP="00663B7A">
            <w:pPr>
              <w:spacing w:line="1" w:lineRule="atLeast"/>
              <w:ind w:left="-479"/>
              <w:jc w:val="center"/>
              <w:rPr>
                <w:b/>
                <w:color w:val="000000"/>
              </w:rPr>
            </w:pPr>
            <w:r>
              <w:rPr>
                <w:b/>
                <w:color w:val="000000"/>
              </w:rPr>
              <w:t>-and-</w:t>
            </w:r>
          </w:p>
        </w:tc>
        <w:tc>
          <w:tcPr>
            <w:tcW w:w="5914" w:type="dxa"/>
            <w:tcBorders>
              <w:top w:val="nil"/>
              <w:left w:val="nil"/>
              <w:bottom w:val="nil"/>
              <w:right w:val="nil"/>
            </w:tcBorders>
          </w:tcPr>
          <w:p w14:paraId="36554FAF" w14:textId="5EC8EF41" w:rsidR="00663B7A" w:rsidRDefault="0001047F" w:rsidP="00C06925">
            <w:pPr>
              <w:spacing w:line="1" w:lineRule="atLeast"/>
              <w:jc w:val="right"/>
              <w:rPr>
                <w:b/>
                <w:color w:val="000000"/>
              </w:rPr>
            </w:pPr>
            <w:r>
              <w:rPr>
                <w:b/>
                <w:color w:val="000000"/>
              </w:rPr>
              <w:t>CONSOLIDATED HOMES</w:t>
            </w:r>
            <w:r w:rsidR="00B30077" w:rsidRPr="00B30077">
              <w:rPr>
                <w:b/>
                <w:color w:val="000000"/>
              </w:rPr>
              <w:t xml:space="preserve"> LTD.</w:t>
            </w:r>
          </w:p>
        </w:tc>
      </w:tr>
      <w:tr w:rsidR="00663B7A" w14:paraId="2D59B2D2" w14:textId="77777777" w:rsidTr="00663B7A">
        <w:tc>
          <w:tcPr>
            <w:tcW w:w="5941" w:type="dxa"/>
            <w:tcBorders>
              <w:top w:val="nil"/>
              <w:left w:val="nil"/>
              <w:bottom w:val="nil"/>
              <w:right w:val="nil"/>
            </w:tcBorders>
          </w:tcPr>
          <w:p w14:paraId="5AD61D86" w14:textId="0497696C" w:rsidR="00663B7A" w:rsidRPr="00D7293C" w:rsidRDefault="00663B7A" w:rsidP="00EE2289">
            <w:pPr>
              <w:spacing w:line="1" w:lineRule="atLeast"/>
              <w:rPr>
                <w:color w:val="000000"/>
              </w:rPr>
            </w:pPr>
            <w:r w:rsidRPr="00D7293C">
              <w:rPr>
                <w:color w:val="000000"/>
              </w:rPr>
              <w:t>APPELLANT</w:t>
            </w:r>
            <w:r w:rsidR="00EE2289">
              <w:rPr>
                <w:color w:val="000000"/>
              </w:rPr>
              <w:br/>
            </w:r>
          </w:p>
        </w:tc>
        <w:tc>
          <w:tcPr>
            <w:tcW w:w="1105" w:type="dxa"/>
            <w:tcBorders>
              <w:top w:val="nil"/>
              <w:left w:val="nil"/>
              <w:bottom w:val="nil"/>
              <w:right w:val="nil"/>
            </w:tcBorders>
          </w:tcPr>
          <w:p w14:paraId="63377C2A" w14:textId="77777777" w:rsidR="00663B7A" w:rsidRPr="00D7293C" w:rsidRDefault="00663B7A" w:rsidP="00117E6A">
            <w:pPr>
              <w:spacing w:line="1" w:lineRule="atLeast"/>
              <w:jc w:val="center"/>
              <w:rPr>
                <w:color w:val="000000"/>
              </w:rPr>
            </w:pPr>
          </w:p>
        </w:tc>
        <w:tc>
          <w:tcPr>
            <w:tcW w:w="5914" w:type="dxa"/>
            <w:tcBorders>
              <w:top w:val="nil"/>
              <w:left w:val="nil"/>
              <w:bottom w:val="nil"/>
              <w:right w:val="nil"/>
            </w:tcBorders>
          </w:tcPr>
          <w:p w14:paraId="62A349F9" w14:textId="3E195B00" w:rsidR="00663B7A" w:rsidRDefault="00EE2289" w:rsidP="00EE2289">
            <w:pPr>
              <w:spacing w:line="1" w:lineRule="atLeast"/>
              <w:jc w:val="right"/>
              <w:rPr>
                <w:color w:val="000000"/>
              </w:rPr>
            </w:pPr>
            <w:r>
              <w:rPr>
                <w:color w:val="000000"/>
              </w:rPr>
              <w:t>RESPONDENT</w:t>
            </w:r>
            <w:r w:rsidR="00663B7A">
              <w:rPr>
                <w:color w:val="000000"/>
              </w:rPr>
              <w:t xml:space="preserve"> </w:t>
            </w:r>
          </w:p>
        </w:tc>
      </w:tr>
    </w:tbl>
    <w:p w14:paraId="652DE233" w14:textId="022530C1" w:rsidR="00663B7A" w:rsidRDefault="00616806" w:rsidP="00663B7A">
      <w:pPr>
        <w:spacing w:before="240"/>
        <w:jc w:val="right"/>
        <w:rPr>
          <w:noProof/>
        </w:rPr>
      </w:pPr>
      <w:r>
        <w:t>S.</w:t>
      </w:r>
      <w:r w:rsidR="00F9686D">
        <w:t>E.M.C.C. File Number: 0</w:t>
      </w:r>
      <w:r w:rsidR="007E4318">
        <w:t>2</w:t>
      </w:r>
      <w:r w:rsidR="00F9686D">
        <w:t>-</w:t>
      </w:r>
      <w:r w:rsidR="0001047F">
        <w:t>1</w:t>
      </w:r>
      <w:r w:rsidR="007E4318">
        <w:t>4</w:t>
      </w:r>
      <w:r w:rsidR="00F9686D">
        <w:t>-20</w:t>
      </w:r>
      <w:r w:rsidR="00C71774">
        <w:t>2</w:t>
      </w:r>
      <w:r w:rsidR="0001047F">
        <w:t>6</w:t>
      </w:r>
    </w:p>
    <w:tbl>
      <w:tblPr>
        <w:tblW w:w="13396" w:type="dxa"/>
        <w:tblInd w:w="-72" w:type="dxa"/>
        <w:tblLayout w:type="fixed"/>
        <w:tblLook w:val="0000" w:firstRow="0" w:lastRow="0" w:firstColumn="0" w:lastColumn="0" w:noHBand="0" w:noVBand="0"/>
      </w:tblPr>
      <w:tblGrid>
        <w:gridCol w:w="8838"/>
        <w:gridCol w:w="4558"/>
      </w:tblGrid>
      <w:tr w:rsidR="00663B7A" w14:paraId="3353EDAB" w14:textId="77777777" w:rsidTr="00C71774">
        <w:trPr>
          <w:cantSplit/>
          <w:trHeight w:val="1074"/>
        </w:trPr>
        <w:tc>
          <w:tcPr>
            <w:tcW w:w="8838" w:type="dxa"/>
            <w:vMerge w:val="restart"/>
            <w:tcBorders>
              <w:top w:val="single" w:sz="6" w:space="0" w:color="auto"/>
              <w:left w:val="nil"/>
              <w:bottom w:val="nil"/>
              <w:right w:val="nil"/>
            </w:tcBorders>
          </w:tcPr>
          <w:p w14:paraId="2C4BBC69" w14:textId="77777777" w:rsidR="00663B7A" w:rsidRDefault="00663B7A" w:rsidP="00117E6A">
            <w:pPr>
              <w:rPr>
                <w:noProof/>
              </w:rPr>
            </w:pPr>
          </w:p>
          <w:p w14:paraId="7087C19D" w14:textId="77777777" w:rsidR="00663B7A" w:rsidRDefault="00663B7A" w:rsidP="00117E6A">
            <w:pPr>
              <w:rPr>
                <w:noProof/>
              </w:rPr>
            </w:pPr>
          </w:p>
        </w:tc>
        <w:tc>
          <w:tcPr>
            <w:tcW w:w="4558" w:type="dxa"/>
            <w:tcBorders>
              <w:top w:val="single" w:sz="6" w:space="0" w:color="auto"/>
              <w:left w:val="single" w:sz="6" w:space="0" w:color="auto"/>
              <w:bottom w:val="double" w:sz="4" w:space="0" w:color="auto"/>
              <w:right w:val="nil"/>
            </w:tcBorders>
          </w:tcPr>
          <w:p w14:paraId="231B8A17" w14:textId="77777777" w:rsidR="00663B7A" w:rsidRPr="00664104" w:rsidRDefault="00663B7A" w:rsidP="00031F01">
            <w:pPr>
              <w:jc w:val="center"/>
              <w:rPr>
                <w:noProof/>
              </w:rPr>
            </w:pPr>
          </w:p>
          <w:p w14:paraId="728D571D" w14:textId="77777777" w:rsidR="00663B7A" w:rsidRPr="00664104" w:rsidRDefault="00663B7A" w:rsidP="00031F01">
            <w:pPr>
              <w:pStyle w:val="TitleBold"/>
              <w:rPr>
                <w:b w:val="0"/>
                <w:sz w:val="24"/>
              </w:rPr>
            </w:pPr>
            <w:r w:rsidRPr="00664104">
              <w:rPr>
                <w:b w:val="0"/>
                <w:sz w:val="24"/>
              </w:rPr>
              <w:t>SUPREME ENVIRONMENTAL MOOT COURT OF CANADA</w:t>
            </w:r>
          </w:p>
        </w:tc>
      </w:tr>
      <w:tr w:rsidR="00663B7A" w14:paraId="417C1F01" w14:textId="77777777" w:rsidTr="001D0B32">
        <w:trPr>
          <w:cantSplit/>
          <w:trHeight w:val="1581"/>
        </w:trPr>
        <w:tc>
          <w:tcPr>
            <w:tcW w:w="8838" w:type="dxa"/>
            <w:vMerge/>
            <w:tcBorders>
              <w:top w:val="nil"/>
              <w:left w:val="nil"/>
              <w:bottom w:val="nil"/>
              <w:right w:val="nil"/>
            </w:tcBorders>
          </w:tcPr>
          <w:p w14:paraId="35D195F5" w14:textId="77777777" w:rsidR="00663B7A" w:rsidRDefault="00663B7A" w:rsidP="00117E6A">
            <w:pPr>
              <w:rPr>
                <w:noProof/>
              </w:rPr>
            </w:pPr>
          </w:p>
        </w:tc>
        <w:tc>
          <w:tcPr>
            <w:tcW w:w="4558" w:type="dxa"/>
            <w:tcBorders>
              <w:top w:val="double" w:sz="4" w:space="0" w:color="auto"/>
              <w:left w:val="single" w:sz="6" w:space="0" w:color="auto"/>
              <w:bottom w:val="double" w:sz="4" w:space="0" w:color="auto"/>
              <w:right w:val="nil"/>
            </w:tcBorders>
          </w:tcPr>
          <w:p w14:paraId="4472B3DE" w14:textId="77777777" w:rsidR="00663B7A" w:rsidRPr="00664104" w:rsidRDefault="00663B7A" w:rsidP="00031F01">
            <w:pPr>
              <w:jc w:val="center"/>
              <w:rPr>
                <w:b/>
                <w:bCs/>
                <w:noProof/>
              </w:rPr>
            </w:pPr>
          </w:p>
          <w:p w14:paraId="7F6B19A5" w14:textId="2E1D234A" w:rsidR="00663B7A" w:rsidRPr="00664104" w:rsidRDefault="00663B7A" w:rsidP="00031F01">
            <w:pPr>
              <w:jc w:val="center"/>
              <w:rPr>
                <w:b/>
                <w:bCs/>
                <w:noProof/>
              </w:rPr>
            </w:pPr>
            <w:r w:rsidRPr="00664104">
              <w:rPr>
                <w:b/>
                <w:bCs/>
                <w:noProof/>
              </w:rPr>
              <w:t>FACTUM OF THE APPELLANT</w:t>
            </w:r>
          </w:p>
          <w:p w14:paraId="556FEA4B" w14:textId="0B93547E" w:rsidR="00663B7A" w:rsidRPr="00664104" w:rsidRDefault="0001047F" w:rsidP="00031F01">
            <w:pPr>
              <w:jc w:val="center"/>
              <w:rPr>
                <w:noProof/>
              </w:rPr>
            </w:pPr>
            <w:r>
              <w:rPr>
                <w:b/>
              </w:rPr>
              <w:t>HIS MAJESTY THE KING</w:t>
            </w:r>
          </w:p>
        </w:tc>
      </w:tr>
      <w:tr w:rsidR="00663B7A" w14:paraId="4BADDDCC" w14:textId="77777777" w:rsidTr="008141CC">
        <w:trPr>
          <w:trHeight w:val="4173"/>
        </w:trPr>
        <w:tc>
          <w:tcPr>
            <w:tcW w:w="8838" w:type="dxa"/>
            <w:vMerge/>
            <w:tcBorders>
              <w:top w:val="nil"/>
              <w:left w:val="nil"/>
              <w:bottom w:val="nil"/>
              <w:right w:val="nil"/>
            </w:tcBorders>
          </w:tcPr>
          <w:p w14:paraId="51BE4872" w14:textId="77777777" w:rsidR="00663B7A" w:rsidRDefault="00663B7A" w:rsidP="00117E6A">
            <w:pPr>
              <w:rPr>
                <w:noProof/>
              </w:rPr>
            </w:pPr>
          </w:p>
        </w:tc>
        <w:tc>
          <w:tcPr>
            <w:tcW w:w="4558" w:type="dxa"/>
            <w:tcBorders>
              <w:top w:val="double" w:sz="4" w:space="0" w:color="auto"/>
              <w:left w:val="single" w:sz="6" w:space="0" w:color="auto"/>
              <w:bottom w:val="nil"/>
              <w:right w:val="nil"/>
            </w:tcBorders>
          </w:tcPr>
          <w:p w14:paraId="0BEE2A83" w14:textId="77777777" w:rsidR="00663B7A" w:rsidRPr="00664104" w:rsidRDefault="00663B7A" w:rsidP="00031F01">
            <w:pPr>
              <w:pStyle w:val="BodyText"/>
              <w:jc w:val="center"/>
              <w:rPr>
                <w:noProof/>
              </w:rPr>
            </w:pPr>
          </w:p>
          <w:p w14:paraId="4AE1A90C" w14:textId="3D8D24D2" w:rsidR="00663B7A" w:rsidRPr="00664104" w:rsidRDefault="00663B7A" w:rsidP="00031F01">
            <w:pPr>
              <w:widowControl w:val="0"/>
              <w:ind w:left="96"/>
              <w:jc w:val="center"/>
              <w:rPr>
                <w:b/>
                <w:bCs/>
              </w:rPr>
            </w:pPr>
            <w:r w:rsidRPr="00664104">
              <w:rPr>
                <w:b/>
                <w:bCs/>
              </w:rPr>
              <w:t>TEAM #</w:t>
            </w:r>
            <w:r w:rsidR="009C2738">
              <w:rPr>
                <w:b/>
                <w:bCs/>
              </w:rPr>
              <w:t>2026-05</w:t>
            </w:r>
          </w:p>
          <w:p w14:paraId="4E1F19CF" w14:textId="77777777" w:rsidR="00C330C6" w:rsidRPr="00664104" w:rsidRDefault="00C330C6" w:rsidP="00031F01">
            <w:pPr>
              <w:widowControl w:val="0"/>
              <w:ind w:left="96"/>
              <w:jc w:val="center"/>
              <w:rPr>
                <w:b/>
                <w:bCs/>
              </w:rPr>
            </w:pPr>
          </w:p>
          <w:p w14:paraId="1A2DFBFC" w14:textId="7914FA1B" w:rsidR="00C330C6" w:rsidRPr="00664104" w:rsidRDefault="004363D0" w:rsidP="00C330C6">
            <w:pPr>
              <w:widowControl w:val="0"/>
              <w:ind w:left="96"/>
              <w:jc w:val="center"/>
              <w:rPr>
                <w:b/>
                <w:bCs/>
              </w:rPr>
            </w:pPr>
            <w:r>
              <w:rPr>
                <w:b/>
                <w:bCs/>
              </w:rPr>
              <w:t>Connor Bradley</w:t>
            </w:r>
          </w:p>
          <w:p w14:paraId="7128A798" w14:textId="6FDA8A5D" w:rsidR="00C330C6" w:rsidRPr="00664104" w:rsidRDefault="004363D0" w:rsidP="00C330C6">
            <w:pPr>
              <w:widowControl w:val="0"/>
              <w:ind w:left="96"/>
              <w:jc w:val="center"/>
              <w:rPr>
                <w:b/>
                <w:bCs/>
              </w:rPr>
            </w:pPr>
            <w:r>
              <w:rPr>
                <w:b/>
                <w:bCs/>
              </w:rPr>
              <w:t xml:space="preserve">Kaelan </w:t>
            </w:r>
            <w:r w:rsidR="00835090">
              <w:rPr>
                <w:b/>
                <w:bCs/>
              </w:rPr>
              <w:t>Leslie</w:t>
            </w:r>
          </w:p>
          <w:p w14:paraId="3FB26323" w14:textId="76BC87F7" w:rsidR="00C330C6" w:rsidRPr="00664104" w:rsidRDefault="00835090" w:rsidP="00C330C6">
            <w:pPr>
              <w:widowControl w:val="0"/>
              <w:ind w:left="96"/>
              <w:jc w:val="center"/>
              <w:rPr>
                <w:bCs/>
              </w:rPr>
            </w:pPr>
            <w:r>
              <w:rPr>
                <w:b/>
                <w:bCs/>
              </w:rPr>
              <w:t>Michael Bergen</w:t>
            </w:r>
          </w:p>
          <w:p w14:paraId="3992055D" w14:textId="77777777" w:rsidR="00C330C6" w:rsidRPr="00664104" w:rsidRDefault="00C330C6" w:rsidP="00C330C6">
            <w:pPr>
              <w:widowControl w:val="0"/>
              <w:ind w:left="96"/>
              <w:jc w:val="center"/>
              <w:rPr>
                <w:bCs/>
              </w:rPr>
            </w:pPr>
          </w:p>
          <w:p w14:paraId="31E49DD9" w14:textId="0916F61A" w:rsidR="00C330C6" w:rsidRPr="00664104" w:rsidRDefault="00334647" w:rsidP="00C330C6">
            <w:pPr>
              <w:widowControl w:val="0"/>
              <w:ind w:left="96"/>
              <w:jc w:val="center"/>
              <w:rPr>
                <w:bCs/>
              </w:rPr>
            </w:pPr>
            <w:r>
              <w:rPr>
                <w:bCs/>
              </w:rPr>
              <w:t>Counsel</w:t>
            </w:r>
            <w:r w:rsidR="00C330C6" w:rsidRPr="00664104">
              <w:rPr>
                <w:bCs/>
              </w:rPr>
              <w:t xml:space="preserve"> for the Appellant,</w:t>
            </w:r>
            <w:r w:rsidR="0001047F">
              <w:rPr>
                <w:bCs/>
              </w:rPr>
              <w:t xml:space="preserve"> </w:t>
            </w:r>
            <w:r w:rsidR="0062511A">
              <w:rPr>
                <w:bCs/>
              </w:rPr>
              <w:br/>
            </w:r>
            <w:r w:rsidR="0001047F">
              <w:rPr>
                <w:bCs/>
              </w:rPr>
              <w:t>His Majesty The King</w:t>
            </w:r>
          </w:p>
          <w:p w14:paraId="2A88583D" w14:textId="2EDFAC98" w:rsidR="00C330C6" w:rsidRPr="00664104" w:rsidRDefault="00C330C6" w:rsidP="00B30077">
            <w:pPr>
              <w:widowControl w:val="0"/>
              <w:ind w:left="96"/>
              <w:jc w:val="center"/>
              <w:rPr>
                <w:color w:val="000000"/>
              </w:rPr>
            </w:pPr>
          </w:p>
        </w:tc>
      </w:tr>
    </w:tbl>
    <w:p w14:paraId="1E4FD1C8" w14:textId="2E4203CD" w:rsidR="00C033FB" w:rsidRPr="007817CC" w:rsidRDefault="00E91D4B" w:rsidP="001D0B32">
      <w:pPr>
        <w:pStyle w:val="DocsID"/>
        <w:rPr>
          <w:rFonts w:ascii="Arial" w:hAnsi="Arial" w:cs="Arial"/>
          <w:lang w:val="en-US"/>
        </w:rPr>
      </w:pPr>
      <w:bookmarkStart w:id="90" w:name="docsstamplast"/>
      <w:r w:rsidRPr="007817CC">
        <w:rPr>
          <w:rFonts w:ascii="Arial" w:hAnsi="Arial" w:cs="Arial"/>
        </w:rPr>
        <w:t>Document #:</w:t>
      </w:r>
      <w:bookmarkEnd w:id="90"/>
      <w:r w:rsidR="00C033FB" w:rsidRPr="007817CC">
        <w:rPr>
          <w:rFonts w:ascii="Arial" w:hAnsi="Arial" w:cs="Arial"/>
        </w:rPr>
        <w:fldChar w:fldCharType="begin"/>
      </w:r>
      <w:r w:rsidR="00C033FB" w:rsidRPr="007817CC">
        <w:rPr>
          <w:rFonts w:ascii="Arial" w:hAnsi="Arial" w:cs="Arial"/>
        </w:rPr>
        <w:instrText xml:space="preserve"> DOCVARIABLE ndGeneratedStamp \* MERGEFORMAT </w:instrText>
      </w:r>
      <w:r w:rsidR="00C033FB" w:rsidRPr="007817CC">
        <w:rPr>
          <w:rFonts w:ascii="Arial" w:hAnsi="Arial" w:cs="Arial"/>
        </w:rPr>
        <w:fldChar w:fldCharType="separate"/>
      </w:r>
      <w:r w:rsidR="00122B70">
        <w:rPr>
          <w:rFonts w:ascii="Arial" w:hAnsi="Arial" w:cs="Arial"/>
        </w:rPr>
        <w:t>1415-6005-7883, v. 1</w:t>
      </w:r>
      <w:r w:rsidR="00C033FB" w:rsidRPr="007817CC">
        <w:rPr>
          <w:rFonts w:ascii="Arial" w:hAnsi="Arial" w:cs="Arial"/>
        </w:rPr>
        <w:fldChar w:fldCharType="end"/>
      </w:r>
    </w:p>
    <w:sectPr w:rsidR="00C033FB" w:rsidRPr="007817CC" w:rsidSect="008713A7">
      <w:headerReference w:type="default" r:id="rId23"/>
      <w:headerReference w:type="first" r:id="rId24"/>
      <w:footerReference w:type="first" r:id="rId25"/>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DFB68" w14:textId="77777777" w:rsidR="003E68D6" w:rsidRDefault="003E68D6" w:rsidP="00FC1F68">
      <w:r>
        <w:separator/>
      </w:r>
    </w:p>
  </w:endnote>
  <w:endnote w:type="continuationSeparator" w:id="0">
    <w:p w14:paraId="384062A4" w14:textId="77777777" w:rsidR="003E68D6" w:rsidRDefault="003E68D6" w:rsidP="00FC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B24B" w14:textId="2CA7E699" w:rsidR="00682134" w:rsidRDefault="00B92655" w:rsidP="00B92655">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4B4FE0" w14:paraId="7EABB670" w14:textId="77777777" w:rsidTr="601E3F20">
      <w:trPr>
        <w:trHeight w:val="300"/>
      </w:trPr>
      <w:tc>
        <w:tcPr>
          <w:tcW w:w="3120" w:type="dxa"/>
        </w:tcPr>
        <w:p w14:paraId="0D68D599" w14:textId="68364D38" w:rsidR="601E3F20" w:rsidRDefault="601E3F20" w:rsidP="601E3F20">
          <w:pPr>
            <w:pStyle w:val="Header"/>
            <w:ind w:left="-115"/>
          </w:pPr>
        </w:p>
      </w:tc>
      <w:tc>
        <w:tcPr>
          <w:tcW w:w="3120" w:type="dxa"/>
        </w:tcPr>
        <w:p w14:paraId="2EC0EB73" w14:textId="1EAE30A0" w:rsidR="601E3F20" w:rsidRDefault="601E3F20" w:rsidP="601E3F20">
          <w:pPr>
            <w:pStyle w:val="Header"/>
            <w:jc w:val="center"/>
          </w:pPr>
        </w:p>
      </w:tc>
      <w:tc>
        <w:tcPr>
          <w:tcW w:w="3120" w:type="dxa"/>
        </w:tcPr>
        <w:p w14:paraId="1FB1A215" w14:textId="715C77CB" w:rsidR="601E3F20" w:rsidRDefault="601E3F20" w:rsidP="601E3F20">
          <w:pPr>
            <w:pStyle w:val="Header"/>
            <w:ind w:right="-115"/>
            <w:jc w:val="right"/>
          </w:pPr>
        </w:p>
      </w:tc>
    </w:tr>
  </w:tbl>
  <w:p w14:paraId="17BB8FD4" w14:textId="6E5BECED" w:rsidR="601E3F20" w:rsidRDefault="601E3F20" w:rsidP="601E3F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4B4FE0" w14:paraId="1FE6928B" w14:textId="77777777" w:rsidTr="601E3F20">
      <w:trPr>
        <w:trHeight w:val="300"/>
      </w:trPr>
      <w:tc>
        <w:tcPr>
          <w:tcW w:w="3120" w:type="dxa"/>
        </w:tcPr>
        <w:p w14:paraId="3B7B0844" w14:textId="055F0244" w:rsidR="601E3F20" w:rsidRDefault="601E3F20" w:rsidP="601E3F20">
          <w:pPr>
            <w:pStyle w:val="Header"/>
            <w:ind w:left="-115"/>
          </w:pPr>
        </w:p>
      </w:tc>
      <w:tc>
        <w:tcPr>
          <w:tcW w:w="3120" w:type="dxa"/>
        </w:tcPr>
        <w:p w14:paraId="675D8522" w14:textId="66D0A8E5" w:rsidR="601E3F20" w:rsidRDefault="601E3F20" w:rsidP="601E3F20">
          <w:pPr>
            <w:pStyle w:val="Header"/>
            <w:jc w:val="center"/>
          </w:pPr>
        </w:p>
      </w:tc>
      <w:tc>
        <w:tcPr>
          <w:tcW w:w="3120" w:type="dxa"/>
        </w:tcPr>
        <w:p w14:paraId="4E4689FB" w14:textId="64D3B8FF" w:rsidR="601E3F20" w:rsidRDefault="601E3F20" w:rsidP="601E3F20">
          <w:pPr>
            <w:pStyle w:val="Header"/>
            <w:ind w:right="-115"/>
            <w:jc w:val="right"/>
          </w:pPr>
        </w:p>
      </w:tc>
    </w:tr>
  </w:tbl>
  <w:p w14:paraId="2CDB2F33" w14:textId="7E15BE07" w:rsidR="601E3F20" w:rsidRDefault="601E3F20" w:rsidP="601E3F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2E4CA6" w14:paraId="1CBE3093" w14:textId="77777777" w:rsidTr="601E3F20">
      <w:trPr>
        <w:trHeight w:val="300"/>
      </w:trPr>
      <w:tc>
        <w:tcPr>
          <w:tcW w:w="3120" w:type="dxa"/>
        </w:tcPr>
        <w:p w14:paraId="6F2EC5F8" w14:textId="2105E2A5" w:rsidR="601E3F20" w:rsidRDefault="601E3F20" w:rsidP="601E3F20">
          <w:pPr>
            <w:pStyle w:val="Header"/>
            <w:ind w:left="-115"/>
          </w:pPr>
        </w:p>
      </w:tc>
      <w:tc>
        <w:tcPr>
          <w:tcW w:w="3120" w:type="dxa"/>
        </w:tcPr>
        <w:p w14:paraId="0D532CC0" w14:textId="10E498DD" w:rsidR="601E3F20" w:rsidRDefault="601E3F20" w:rsidP="601E3F20">
          <w:pPr>
            <w:pStyle w:val="Header"/>
            <w:jc w:val="center"/>
          </w:pPr>
        </w:p>
      </w:tc>
      <w:tc>
        <w:tcPr>
          <w:tcW w:w="3120" w:type="dxa"/>
        </w:tcPr>
        <w:p w14:paraId="1E5E9EC6" w14:textId="1C1D71DD" w:rsidR="601E3F20" w:rsidRDefault="601E3F20" w:rsidP="601E3F20">
          <w:pPr>
            <w:pStyle w:val="Header"/>
            <w:ind w:right="-115"/>
            <w:jc w:val="right"/>
          </w:pPr>
        </w:p>
      </w:tc>
    </w:tr>
  </w:tbl>
  <w:p w14:paraId="69489F6C" w14:textId="5123F4F2" w:rsidR="601E3F20" w:rsidRDefault="601E3F20" w:rsidP="601E3F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4B4FE0" w14:paraId="3DE231C9" w14:textId="77777777" w:rsidTr="601E3F20">
      <w:trPr>
        <w:trHeight w:val="300"/>
      </w:trPr>
      <w:tc>
        <w:tcPr>
          <w:tcW w:w="3120" w:type="dxa"/>
        </w:tcPr>
        <w:p w14:paraId="775EE40A" w14:textId="31E680F7" w:rsidR="601E3F20" w:rsidRDefault="601E3F20" w:rsidP="601E3F20">
          <w:pPr>
            <w:pStyle w:val="Header"/>
            <w:ind w:left="-115"/>
          </w:pPr>
        </w:p>
      </w:tc>
      <w:tc>
        <w:tcPr>
          <w:tcW w:w="3120" w:type="dxa"/>
        </w:tcPr>
        <w:p w14:paraId="4B5CE28E" w14:textId="52B4D249" w:rsidR="601E3F20" w:rsidRDefault="601E3F20" w:rsidP="601E3F20">
          <w:pPr>
            <w:pStyle w:val="Header"/>
            <w:jc w:val="center"/>
          </w:pPr>
        </w:p>
      </w:tc>
      <w:tc>
        <w:tcPr>
          <w:tcW w:w="3120" w:type="dxa"/>
        </w:tcPr>
        <w:p w14:paraId="5DD24939" w14:textId="494E8F0E" w:rsidR="601E3F20" w:rsidRDefault="601E3F20" w:rsidP="601E3F20">
          <w:pPr>
            <w:pStyle w:val="Header"/>
            <w:ind w:right="-115"/>
            <w:jc w:val="right"/>
          </w:pPr>
        </w:p>
      </w:tc>
    </w:tr>
  </w:tbl>
  <w:p w14:paraId="2D2F417D" w14:textId="76096203" w:rsidR="601E3F20" w:rsidRDefault="601E3F20" w:rsidP="601E3F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20"/>
      <w:gridCol w:w="4320"/>
      <w:gridCol w:w="4320"/>
    </w:tblGrid>
    <w:tr w:rsidR="002E4CA6" w14:paraId="1054196C" w14:textId="77777777" w:rsidTr="601E3F20">
      <w:trPr>
        <w:trHeight w:val="300"/>
      </w:trPr>
      <w:tc>
        <w:tcPr>
          <w:tcW w:w="4320" w:type="dxa"/>
        </w:tcPr>
        <w:p w14:paraId="5CE32A31" w14:textId="02ECD29D" w:rsidR="601E3F20" w:rsidRDefault="601E3F20" w:rsidP="601E3F20">
          <w:pPr>
            <w:pStyle w:val="Header"/>
            <w:ind w:left="-115"/>
          </w:pPr>
        </w:p>
      </w:tc>
      <w:tc>
        <w:tcPr>
          <w:tcW w:w="4320" w:type="dxa"/>
        </w:tcPr>
        <w:p w14:paraId="4FB0F143" w14:textId="32AA13F6" w:rsidR="601E3F20" w:rsidRDefault="601E3F20" w:rsidP="601E3F20">
          <w:pPr>
            <w:pStyle w:val="Header"/>
            <w:jc w:val="center"/>
          </w:pPr>
        </w:p>
      </w:tc>
      <w:tc>
        <w:tcPr>
          <w:tcW w:w="4320" w:type="dxa"/>
        </w:tcPr>
        <w:p w14:paraId="01AAF208" w14:textId="2459AB2B" w:rsidR="601E3F20" w:rsidRDefault="601E3F20" w:rsidP="601E3F20">
          <w:pPr>
            <w:pStyle w:val="Header"/>
            <w:ind w:right="-115"/>
            <w:jc w:val="right"/>
          </w:pPr>
        </w:p>
      </w:tc>
    </w:tr>
  </w:tbl>
  <w:p w14:paraId="67608071" w14:textId="502F0998" w:rsidR="601E3F20" w:rsidRDefault="601E3F20" w:rsidP="601E3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E97F" w14:textId="77777777" w:rsidR="003E68D6" w:rsidRDefault="003E68D6" w:rsidP="00FC1F68">
      <w:r>
        <w:separator/>
      </w:r>
    </w:p>
  </w:footnote>
  <w:footnote w:type="continuationSeparator" w:id="0">
    <w:p w14:paraId="571CACDD" w14:textId="77777777" w:rsidR="003E68D6" w:rsidRDefault="003E68D6" w:rsidP="00FC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2E4CA6" w14:paraId="0EF73314" w14:textId="77777777" w:rsidTr="601E3F20">
      <w:trPr>
        <w:trHeight w:val="300"/>
      </w:trPr>
      <w:tc>
        <w:tcPr>
          <w:tcW w:w="3120" w:type="dxa"/>
        </w:tcPr>
        <w:p w14:paraId="1083E826" w14:textId="390C124F" w:rsidR="601E3F20" w:rsidRDefault="601E3F20" w:rsidP="601E3F20">
          <w:pPr>
            <w:pStyle w:val="Header"/>
            <w:ind w:left="-115"/>
          </w:pPr>
        </w:p>
      </w:tc>
      <w:tc>
        <w:tcPr>
          <w:tcW w:w="3120" w:type="dxa"/>
        </w:tcPr>
        <w:p w14:paraId="18832B34" w14:textId="13A76767" w:rsidR="601E3F20" w:rsidRDefault="601E3F20" w:rsidP="601E3F20">
          <w:pPr>
            <w:pStyle w:val="Header"/>
            <w:jc w:val="center"/>
          </w:pPr>
        </w:p>
      </w:tc>
      <w:tc>
        <w:tcPr>
          <w:tcW w:w="3120" w:type="dxa"/>
        </w:tcPr>
        <w:p w14:paraId="1219913C" w14:textId="32234279" w:rsidR="601E3F20" w:rsidRDefault="601E3F20" w:rsidP="601E3F20">
          <w:pPr>
            <w:pStyle w:val="Header"/>
            <w:ind w:right="-115"/>
            <w:jc w:val="right"/>
          </w:pPr>
        </w:p>
      </w:tc>
    </w:tr>
  </w:tbl>
  <w:p w14:paraId="69BCFB90" w14:textId="0C561AED" w:rsidR="601E3F20" w:rsidRDefault="601E3F20" w:rsidP="601E3F2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20"/>
      <w:gridCol w:w="4320"/>
      <w:gridCol w:w="4320"/>
    </w:tblGrid>
    <w:tr w:rsidR="002E4CA6" w14:paraId="39666F2A" w14:textId="77777777" w:rsidTr="601E3F20">
      <w:trPr>
        <w:trHeight w:val="300"/>
      </w:trPr>
      <w:tc>
        <w:tcPr>
          <w:tcW w:w="4320" w:type="dxa"/>
        </w:tcPr>
        <w:p w14:paraId="59D693AE" w14:textId="43FC1F47" w:rsidR="601E3F20" w:rsidRDefault="601E3F20" w:rsidP="601E3F20">
          <w:pPr>
            <w:pStyle w:val="Header"/>
            <w:ind w:left="-115"/>
          </w:pPr>
        </w:p>
      </w:tc>
      <w:tc>
        <w:tcPr>
          <w:tcW w:w="4320" w:type="dxa"/>
        </w:tcPr>
        <w:p w14:paraId="74CE0217" w14:textId="45CCB31C" w:rsidR="601E3F20" w:rsidRDefault="601E3F20" w:rsidP="601E3F20">
          <w:pPr>
            <w:pStyle w:val="Header"/>
            <w:jc w:val="center"/>
          </w:pPr>
        </w:p>
      </w:tc>
      <w:tc>
        <w:tcPr>
          <w:tcW w:w="4320" w:type="dxa"/>
        </w:tcPr>
        <w:p w14:paraId="6AA41304" w14:textId="0CB1B397" w:rsidR="601E3F20" w:rsidRDefault="601E3F20" w:rsidP="601E3F20">
          <w:pPr>
            <w:pStyle w:val="Header"/>
            <w:ind w:right="-115"/>
            <w:jc w:val="right"/>
          </w:pPr>
        </w:p>
      </w:tc>
    </w:tr>
  </w:tbl>
  <w:p w14:paraId="59D76E60" w14:textId="71229D9B" w:rsidR="601E3F20" w:rsidRDefault="601E3F20" w:rsidP="601E3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4B4FE0" w14:paraId="22400AA1" w14:textId="77777777" w:rsidTr="601E3F20">
      <w:trPr>
        <w:trHeight w:val="300"/>
      </w:trPr>
      <w:tc>
        <w:tcPr>
          <w:tcW w:w="3120" w:type="dxa"/>
        </w:tcPr>
        <w:p w14:paraId="4BF8182F" w14:textId="126CE0F8" w:rsidR="601E3F20" w:rsidRDefault="601E3F20" w:rsidP="601E3F20">
          <w:pPr>
            <w:pStyle w:val="Header"/>
            <w:ind w:left="-115"/>
          </w:pPr>
        </w:p>
      </w:tc>
      <w:tc>
        <w:tcPr>
          <w:tcW w:w="3120" w:type="dxa"/>
        </w:tcPr>
        <w:p w14:paraId="14ABB41B" w14:textId="3317F759" w:rsidR="601E3F20" w:rsidRDefault="601E3F20" w:rsidP="601E3F20">
          <w:pPr>
            <w:pStyle w:val="Header"/>
            <w:jc w:val="center"/>
          </w:pPr>
        </w:p>
      </w:tc>
      <w:tc>
        <w:tcPr>
          <w:tcW w:w="3120" w:type="dxa"/>
        </w:tcPr>
        <w:p w14:paraId="2497A3D7" w14:textId="0DA470AC" w:rsidR="601E3F20" w:rsidRDefault="601E3F20" w:rsidP="601E3F20">
          <w:pPr>
            <w:pStyle w:val="Header"/>
            <w:ind w:right="-115"/>
            <w:jc w:val="right"/>
          </w:pPr>
        </w:p>
      </w:tc>
    </w:tr>
  </w:tbl>
  <w:p w14:paraId="6B6D27B3" w14:textId="7952995A" w:rsidR="601E3F20" w:rsidRDefault="601E3F20" w:rsidP="601E3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2E4CA6" w14:paraId="5835BAE8" w14:textId="77777777" w:rsidTr="601E3F20">
      <w:trPr>
        <w:trHeight w:val="300"/>
      </w:trPr>
      <w:tc>
        <w:tcPr>
          <w:tcW w:w="3120" w:type="dxa"/>
        </w:tcPr>
        <w:p w14:paraId="4F6A00AB" w14:textId="15C1D906" w:rsidR="601E3F20" w:rsidRDefault="601E3F20" w:rsidP="601E3F20">
          <w:pPr>
            <w:pStyle w:val="Header"/>
            <w:ind w:left="-115"/>
          </w:pPr>
        </w:p>
      </w:tc>
      <w:tc>
        <w:tcPr>
          <w:tcW w:w="3120" w:type="dxa"/>
        </w:tcPr>
        <w:p w14:paraId="07225D50" w14:textId="22AB9422" w:rsidR="601E3F20" w:rsidRDefault="601E3F20" w:rsidP="601E3F20">
          <w:pPr>
            <w:pStyle w:val="Header"/>
            <w:jc w:val="center"/>
          </w:pPr>
        </w:p>
      </w:tc>
      <w:tc>
        <w:tcPr>
          <w:tcW w:w="3120" w:type="dxa"/>
        </w:tcPr>
        <w:p w14:paraId="3BC610A2" w14:textId="0307E8E2" w:rsidR="601E3F20" w:rsidRDefault="601E3F20" w:rsidP="601E3F20">
          <w:pPr>
            <w:pStyle w:val="Header"/>
            <w:ind w:right="-115"/>
            <w:jc w:val="right"/>
          </w:pPr>
        </w:p>
      </w:tc>
    </w:tr>
  </w:tbl>
  <w:p w14:paraId="6833DF29" w14:textId="131BE309" w:rsidR="601E3F20" w:rsidRDefault="601E3F20" w:rsidP="601E3F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4B4FE0" w14:paraId="62B1458D" w14:textId="77777777" w:rsidTr="601E3F20">
      <w:trPr>
        <w:trHeight w:val="300"/>
      </w:trPr>
      <w:tc>
        <w:tcPr>
          <w:tcW w:w="3120" w:type="dxa"/>
        </w:tcPr>
        <w:p w14:paraId="2C69EAF4" w14:textId="47C3C212" w:rsidR="601E3F20" w:rsidRDefault="601E3F20" w:rsidP="601E3F20">
          <w:pPr>
            <w:pStyle w:val="Header"/>
            <w:ind w:left="-115"/>
          </w:pPr>
        </w:p>
      </w:tc>
      <w:tc>
        <w:tcPr>
          <w:tcW w:w="3120" w:type="dxa"/>
        </w:tcPr>
        <w:p w14:paraId="22F43F0A" w14:textId="705AC65C" w:rsidR="601E3F20" w:rsidRDefault="601E3F20" w:rsidP="601E3F20">
          <w:pPr>
            <w:pStyle w:val="Header"/>
            <w:jc w:val="center"/>
          </w:pPr>
        </w:p>
      </w:tc>
      <w:tc>
        <w:tcPr>
          <w:tcW w:w="3120" w:type="dxa"/>
        </w:tcPr>
        <w:p w14:paraId="38B7EB83" w14:textId="3CFB701A" w:rsidR="601E3F20" w:rsidRDefault="601E3F20" w:rsidP="601E3F20">
          <w:pPr>
            <w:pStyle w:val="Header"/>
            <w:ind w:right="-115"/>
            <w:jc w:val="right"/>
          </w:pPr>
        </w:p>
      </w:tc>
    </w:tr>
  </w:tbl>
  <w:p w14:paraId="7E14C20E" w14:textId="5C3121CF" w:rsidR="601E3F20" w:rsidRDefault="601E3F20" w:rsidP="601E3F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4B4FE0" w14:paraId="1E59735F" w14:textId="77777777" w:rsidTr="601E3F20">
      <w:trPr>
        <w:trHeight w:val="300"/>
      </w:trPr>
      <w:tc>
        <w:tcPr>
          <w:tcW w:w="3120" w:type="dxa"/>
        </w:tcPr>
        <w:p w14:paraId="1748978C" w14:textId="71889CF1" w:rsidR="601E3F20" w:rsidRDefault="601E3F20" w:rsidP="601E3F20">
          <w:pPr>
            <w:pStyle w:val="Header"/>
            <w:ind w:left="-115"/>
          </w:pPr>
        </w:p>
      </w:tc>
      <w:tc>
        <w:tcPr>
          <w:tcW w:w="3120" w:type="dxa"/>
        </w:tcPr>
        <w:p w14:paraId="6DA6EFDE" w14:textId="4807A7AF" w:rsidR="601E3F20" w:rsidRDefault="601E3F20" w:rsidP="601E3F20">
          <w:pPr>
            <w:pStyle w:val="Header"/>
            <w:jc w:val="center"/>
          </w:pPr>
        </w:p>
      </w:tc>
      <w:tc>
        <w:tcPr>
          <w:tcW w:w="3120" w:type="dxa"/>
        </w:tcPr>
        <w:p w14:paraId="1C5D5F84" w14:textId="2B309343" w:rsidR="601E3F20" w:rsidRDefault="601E3F20" w:rsidP="601E3F20">
          <w:pPr>
            <w:pStyle w:val="Header"/>
            <w:ind w:right="-115"/>
            <w:jc w:val="right"/>
          </w:pPr>
        </w:p>
      </w:tc>
    </w:tr>
  </w:tbl>
  <w:p w14:paraId="34A83713" w14:textId="62BED682" w:rsidR="601E3F20" w:rsidRDefault="601E3F20" w:rsidP="601E3F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2E4CA6" w14:paraId="223DE54F" w14:textId="77777777" w:rsidTr="601E3F20">
      <w:trPr>
        <w:trHeight w:val="300"/>
      </w:trPr>
      <w:tc>
        <w:tcPr>
          <w:tcW w:w="3120" w:type="dxa"/>
        </w:tcPr>
        <w:p w14:paraId="5368D42D" w14:textId="1DF1E6DA" w:rsidR="601E3F20" w:rsidRDefault="601E3F20" w:rsidP="601E3F20">
          <w:pPr>
            <w:pStyle w:val="Header"/>
            <w:ind w:left="-115"/>
          </w:pPr>
        </w:p>
      </w:tc>
      <w:tc>
        <w:tcPr>
          <w:tcW w:w="3120" w:type="dxa"/>
        </w:tcPr>
        <w:p w14:paraId="78DD6224" w14:textId="6CA2E4C7" w:rsidR="601E3F20" w:rsidRDefault="601E3F20" w:rsidP="601E3F20">
          <w:pPr>
            <w:pStyle w:val="Header"/>
            <w:jc w:val="center"/>
          </w:pPr>
        </w:p>
      </w:tc>
      <w:tc>
        <w:tcPr>
          <w:tcW w:w="3120" w:type="dxa"/>
        </w:tcPr>
        <w:p w14:paraId="19ACEC85" w14:textId="4032DFDD" w:rsidR="601E3F20" w:rsidRDefault="601E3F20" w:rsidP="601E3F20">
          <w:pPr>
            <w:pStyle w:val="Header"/>
            <w:ind w:right="-115"/>
            <w:jc w:val="right"/>
          </w:pPr>
        </w:p>
      </w:tc>
    </w:tr>
  </w:tbl>
  <w:p w14:paraId="0CACBA49" w14:textId="5ABEFE7D" w:rsidR="601E3F20" w:rsidRDefault="601E3F20" w:rsidP="601E3F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4B4FE0" w14:paraId="10E701B9" w14:textId="77777777" w:rsidTr="601E3F20">
      <w:trPr>
        <w:trHeight w:val="300"/>
      </w:trPr>
      <w:tc>
        <w:tcPr>
          <w:tcW w:w="3120" w:type="dxa"/>
        </w:tcPr>
        <w:p w14:paraId="4FA86085" w14:textId="722D745A" w:rsidR="601E3F20" w:rsidRDefault="601E3F20" w:rsidP="601E3F20">
          <w:pPr>
            <w:pStyle w:val="Header"/>
            <w:ind w:left="-115"/>
          </w:pPr>
        </w:p>
      </w:tc>
      <w:tc>
        <w:tcPr>
          <w:tcW w:w="3120" w:type="dxa"/>
        </w:tcPr>
        <w:p w14:paraId="68BD6E03" w14:textId="51533B28" w:rsidR="601E3F20" w:rsidRDefault="601E3F20" w:rsidP="601E3F20">
          <w:pPr>
            <w:pStyle w:val="Header"/>
            <w:jc w:val="center"/>
          </w:pPr>
        </w:p>
      </w:tc>
      <w:tc>
        <w:tcPr>
          <w:tcW w:w="3120" w:type="dxa"/>
        </w:tcPr>
        <w:p w14:paraId="4A9A86DA" w14:textId="7F140A85" w:rsidR="601E3F20" w:rsidRDefault="601E3F20" w:rsidP="601E3F20">
          <w:pPr>
            <w:pStyle w:val="Header"/>
            <w:ind w:right="-115"/>
            <w:jc w:val="right"/>
          </w:pPr>
        </w:p>
      </w:tc>
    </w:tr>
  </w:tbl>
  <w:p w14:paraId="6B96BAD0" w14:textId="45EAFEA6" w:rsidR="601E3F20" w:rsidRDefault="601E3F20" w:rsidP="601E3F2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4B4FE0" w14:paraId="460AC01B" w14:textId="77777777" w:rsidTr="601E3F20">
      <w:trPr>
        <w:trHeight w:val="300"/>
      </w:trPr>
      <w:tc>
        <w:tcPr>
          <w:tcW w:w="3120" w:type="dxa"/>
        </w:tcPr>
        <w:p w14:paraId="1024B6B1" w14:textId="0D600CB7" w:rsidR="601E3F20" w:rsidRDefault="601E3F20" w:rsidP="601E3F20">
          <w:pPr>
            <w:pStyle w:val="Header"/>
            <w:ind w:left="-115"/>
          </w:pPr>
        </w:p>
      </w:tc>
      <w:tc>
        <w:tcPr>
          <w:tcW w:w="3120" w:type="dxa"/>
        </w:tcPr>
        <w:p w14:paraId="35F9E87C" w14:textId="3143E704" w:rsidR="601E3F20" w:rsidRDefault="601E3F20" w:rsidP="601E3F20">
          <w:pPr>
            <w:pStyle w:val="Header"/>
            <w:jc w:val="center"/>
          </w:pPr>
        </w:p>
      </w:tc>
      <w:tc>
        <w:tcPr>
          <w:tcW w:w="3120" w:type="dxa"/>
        </w:tcPr>
        <w:p w14:paraId="514539B2" w14:textId="5A0D1167" w:rsidR="601E3F20" w:rsidRDefault="601E3F20" w:rsidP="601E3F20">
          <w:pPr>
            <w:pStyle w:val="Header"/>
            <w:ind w:right="-115"/>
            <w:jc w:val="right"/>
          </w:pPr>
        </w:p>
      </w:tc>
    </w:tr>
  </w:tbl>
  <w:p w14:paraId="2C015ACE" w14:textId="16F53D55" w:rsidR="601E3F20" w:rsidRDefault="601E3F20" w:rsidP="601E3F2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92"/>
      <w:gridCol w:w="3192"/>
      <w:gridCol w:w="3192"/>
    </w:tblGrid>
    <w:tr w:rsidR="004B4FE0" w14:paraId="37C0A7A7" w14:textId="77777777" w:rsidTr="601E3F20">
      <w:trPr>
        <w:trHeight w:val="300"/>
      </w:trPr>
      <w:tc>
        <w:tcPr>
          <w:tcW w:w="4320" w:type="dxa"/>
        </w:tcPr>
        <w:p w14:paraId="1D05A372" w14:textId="71B4E8B7" w:rsidR="601E3F20" w:rsidRDefault="601E3F20" w:rsidP="601E3F20">
          <w:pPr>
            <w:pStyle w:val="Header"/>
            <w:ind w:left="-115"/>
          </w:pPr>
        </w:p>
      </w:tc>
      <w:tc>
        <w:tcPr>
          <w:tcW w:w="4320" w:type="dxa"/>
        </w:tcPr>
        <w:p w14:paraId="6294EC28" w14:textId="27280085" w:rsidR="601E3F20" w:rsidRDefault="601E3F20" w:rsidP="601E3F20">
          <w:pPr>
            <w:pStyle w:val="Header"/>
            <w:jc w:val="center"/>
          </w:pPr>
        </w:p>
      </w:tc>
      <w:tc>
        <w:tcPr>
          <w:tcW w:w="4320" w:type="dxa"/>
        </w:tcPr>
        <w:p w14:paraId="318432D4" w14:textId="245DA4D6" w:rsidR="601E3F20" w:rsidRDefault="601E3F20" w:rsidP="601E3F20">
          <w:pPr>
            <w:pStyle w:val="Header"/>
            <w:ind w:right="-115"/>
            <w:jc w:val="right"/>
          </w:pPr>
        </w:p>
      </w:tc>
    </w:tr>
  </w:tbl>
  <w:p w14:paraId="1A7030F7" w14:textId="1BE6B189" w:rsidR="601E3F20" w:rsidRDefault="601E3F20" w:rsidP="601E3F20">
    <w:pPr>
      <w:pStyle w:val="Header"/>
    </w:pPr>
  </w:p>
</w:hdr>
</file>

<file path=word/intelligence2.xml><?xml version="1.0" encoding="utf-8"?>
<int2:intelligence xmlns:int2="http://schemas.microsoft.com/office/intelligence/2020/intelligence" xmlns:oel="http://schemas.microsoft.com/office/2019/extlst">
  <int2:observations>
    <int2:textHash int2:hashCode="yNFEWfsP4DwEpA" int2:id="3x28lJF7">
      <int2:state int2:value="Rejected" int2:type="spell"/>
    </int2:textHash>
    <int2:textHash int2:hashCode="mh+IMfUYZUK4iD" int2:id="FD73lOZ0">
      <int2:state int2:value="Rejected" int2:type="spell"/>
    </int2:textHash>
    <int2:textHash int2:hashCode="Mi/tWV9Aj2XxFg" int2:id="Nxx4tnbN">
      <int2:state int2:value="Rejected" int2:type="spell"/>
    </int2:textHash>
    <int2:textHash int2:hashCode="Epcr3P41EmS3I1" int2:id="OWurkvh3">
      <int2:state int2:value="Rejected" int2:type="spell"/>
    </int2:textHash>
    <int2:textHash int2:hashCode="eTdhUn9AqENvb4" int2:id="QSRJo7aj">
      <int2:state int2:value="Rejected" int2:type="spell"/>
    </int2:textHash>
    <int2:textHash int2:hashCode="6wwZ/ERVfSDRjz" int2:id="UEx53fz6">
      <int2:state int2:value="Rejected" int2:type="spell"/>
    </int2:textHash>
    <int2:textHash int2:hashCode="yGiY6upu8dX0TA" int2:id="Ypyi66rA">
      <int2:state int2:value="Rejected" int2:type="spell"/>
    </int2:textHash>
    <int2:textHash int2:hashCode="UVtpXOsq/PoxyG" int2:id="hEjkE6w4">
      <int2:state int2:value="Rejected" int2:type="spell"/>
    </int2:textHash>
    <int2:textHash int2:hashCode="w44Ll0wu/S/qWd" int2:id="lCmr7IAG">
      <int2:state int2:value="Rejected" int2:type="spell"/>
    </int2:textHash>
    <int2:textHash int2:hashCode="bSHJw/TSenorU8" int2:id="mpX4ghS3">
      <int2:state int2:value="Rejected" int2:type="spell"/>
    </int2:textHash>
    <int2:bookmark int2:bookmarkName="_Int_u991cJc0" int2:invalidationBookmarkName="" int2:hashCode="rdE8zhk+dRBUGd" int2:id="siPktnn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9C1F"/>
    <w:multiLevelType w:val="hybridMultilevel"/>
    <w:tmpl w:val="FFFFFFFF"/>
    <w:lvl w:ilvl="0" w:tplc="6066A94E">
      <w:start w:val="1"/>
      <w:numFmt w:val="lowerLetter"/>
      <w:lvlText w:val="(%1)"/>
      <w:lvlJc w:val="left"/>
      <w:pPr>
        <w:ind w:left="720" w:hanging="360"/>
      </w:pPr>
    </w:lvl>
    <w:lvl w:ilvl="1" w:tplc="B46E85A2">
      <w:start w:val="1"/>
      <w:numFmt w:val="lowerLetter"/>
      <w:lvlText w:val="%2."/>
      <w:lvlJc w:val="left"/>
      <w:pPr>
        <w:ind w:left="1440" w:hanging="360"/>
      </w:pPr>
    </w:lvl>
    <w:lvl w:ilvl="2" w:tplc="2A28C164">
      <w:start w:val="1"/>
      <w:numFmt w:val="lowerRoman"/>
      <w:lvlText w:val="%3."/>
      <w:lvlJc w:val="right"/>
      <w:pPr>
        <w:ind w:left="2160" w:hanging="180"/>
      </w:pPr>
    </w:lvl>
    <w:lvl w:ilvl="3" w:tplc="AE1E6290">
      <w:start w:val="1"/>
      <w:numFmt w:val="decimal"/>
      <w:lvlText w:val="%4."/>
      <w:lvlJc w:val="left"/>
      <w:pPr>
        <w:ind w:left="2880" w:hanging="360"/>
      </w:pPr>
    </w:lvl>
    <w:lvl w:ilvl="4" w:tplc="B9904788">
      <w:start w:val="1"/>
      <w:numFmt w:val="lowerLetter"/>
      <w:lvlText w:val="%5."/>
      <w:lvlJc w:val="left"/>
      <w:pPr>
        <w:ind w:left="3600" w:hanging="360"/>
      </w:pPr>
    </w:lvl>
    <w:lvl w:ilvl="5" w:tplc="7EB43DAA">
      <w:start w:val="1"/>
      <w:numFmt w:val="lowerRoman"/>
      <w:lvlText w:val="%6."/>
      <w:lvlJc w:val="right"/>
      <w:pPr>
        <w:ind w:left="4320" w:hanging="180"/>
      </w:pPr>
    </w:lvl>
    <w:lvl w:ilvl="6" w:tplc="0898F24E">
      <w:start w:val="1"/>
      <w:numFmt w:val="decimal"/>
      <w:lvlText w:val="%7."/>
      <w:lvlJc w:val="left"/>
      <w:pPr>
        <w:ind w:left="5040" w:hanging="360"/>
      </w:pPr>
    </w:lvl>
    <w:lvl w:ilvl="7" w:tplc="1C56660A">
      <w:start w:val="1"/>
      <w:numFmt w:val="lowerLetter"/>
      <w:lvlText w:val="%8."/>
      <w:lvlJc w:val="left"/>
      <w:pPr>
        <w:ind w:left="5760" w:hanging="360"/>
      </w:pPr>
    </w:lvl>
    <w:lvl w:ilvl="8" w:tplc="16D408B4">
      <w:start w:val="1"/>
      <w:numFmt w:val="lowerRoman"/>
      <w:lvlText w:val="%9."/>
      <w:lvlJc w:val="right"/>
      <w:pPr>
        <w:ind w:left="6480" w:hanging="180"/>
      </w:pPr>
    </w:lvl>
  </w:abstractNum>
  <w:abstractNum w:abstractNumId="1" w15:restartNumberingAfterBreak="0">
    <w:nsid w:val="0746E014"/>
    <w:multiLevelType w:val="hybridMultilevel"/>
    <w:tmpl w:val="279AC568"/>
    <w:lvl w:ilvl="0" w:tplc="E2929262">
      <w:start w:val="1"/>
      <w:numFmt w:val="lowerLetter"/>
      <w:lvlText w:val="(%1)"/>
      <w:lvlJc w:val="left"/>
      <w:pPr>
        <w:ind w:left="720" w:hanging="360"/>
      </w:pPr>
    </w:lvl>
    <w:lvl w:ilvl="1" w:tplc="41ACB104">
      <w:start w:val="1"/>
      <w:numFmt w:val="lowerLetter"/>
      <w:lvlText w:val="%2."/>
      <w:lvlJc w:val="left"/>
      <w:pPr>
        <w:ind w:left="1440" w:hanging="360"/>
      </w:pPr>
    </w:lvl>
    <w:lvl w:ilvl="2" w:tplc="8B3E4B68">
      <w:start w:val="1"/>
      <w:numFmt w:val="lowerRoman"/>
      <w:lvlText w:val="%3."/>
      <w:lvlJc w:val="right"/>
      <w:pPr>
        <w:ind w:left="2160" w:hanging="180"/>
      </w:pPr>
    </w:lvl>
    <w:lvl w:ilvl="3" w:tplc="6B449F2E">
      <w:start w:val="1"/>
      <w:numFmt w:val="decimal"/>
      <w:lvlText w:val="%4."/>
      <w:lvlJc w:val="left"/>
      <w:pPr>
        <w:ind w:left="2880" w:hanging="360"/>
      </w:pPr>
    </w:lvl>
    <w:lvl w:ilvl="4" w:tplc="2A603198">
      <w:start w:val="1"/>
      <w:numFmt w:val="lowerLetter"/>
      <w:lvlText w:val="%5."/>
      <w:lvlJc w:val="left"/>
      <w:pPr>
        <w:ind w:left="3600" w:hanging="360"/>
      </w:pPr>
    </w:lvl>
    <w:lvl w:ilvl="5" w:tplc="FCF624D8">
      <w:start w:val="1"/>
      <w:numFmt w:val="lowerRoman"/>
      <w:lvlText w:val="%6."/>
      <w:lvlJc w:val="right"/>
      <w:pPr>
        <w:ind w:left="4320" w:hanging="180"/>
      </w:pPr>
    </w:lvl>
    <w:lvl w:ilvl="6" w:tplc="B8BEE1D6">
      <w:start w:val="1"/>
      <w:numFmt w:val="decimal"/>
      <w:lvlText w:val="%7."/>
      <w:lvlJc w:val="left"/>
      <w:pPr>
        <w:ind w:left="5040" w:hanging="360"/>
      </w:pPr>
    </w:lvl>
    <w:lvl w:ilvl="7" w:tplc="8C0291E4">
      <w:start w:val="1"/>
      <w:numFmt w:val="lowerLetter"/>
      <w:lvlText w:val="%8."/>
      <w:lvlJc w:val="left"/>
      <w:pPr>
        <w:ind w:left="5760" w:hanging="360"/>
      </w:pPr>
    </w:lvl>
    <w:lvl w:ilvl="8" w:tplc="48F65C6A">
      <w:start w:val="1"/>
      <w:numFmt w:val="lowerRoman"/>
      <w:lvlText w:val="%9."/>
      <w:lvlJc w:val="right"/>
      <w:pPr>
        <w:ind w:left="6480" w:hanging="180"/>
      </w:pPr>
    </w:lvl>
  </w:abstractNum>
  <w:abstractNum w:abstractNumId="2" w15:restartNumberingAfterBreak="0">
    <w:nsid w:val="0F234F82"/>
    <w:multiLevelType w:val="hybridMultilevel"/>
    <w:tmpl w:val="FFFFFFFF"/>
    <w:lvl w:ilvl="0" w:tplc="E1BEE608">
      <w:start w:val="1"/>
      <w:numFmt w:val="lowerLetter"/>
      <w:lvlText w:val="%1)"/>
      <w:lvlJc w:val="left"/>
      <w:pPr>
        <w:ind w:left="720" w:hanging="360"/>
      </w:pPr>
    </w:lvl>
    <w:lvl w:ilvl="1" w:tplc="674E96F0">
      <w:start w:val="1"/>
      <w:numFmt w:val="lowerLetter"/>
      <w:lvlText w:val="%2."/>
      <w:lvlJc w:val="left"/>
      <w:pPr>
        <w:ind w:left="1440" w:hanging="360"/>
      </w:pPr>
    </w:lvl>
    <w:lvl w:ilvl="2" w:tplc="125210DA">
      <w:start w:val="1"/>
      <w:numFmt w:val="lowerRoman"/>
      <w:lvlText w:val="%3."/>
      <w:lvlJc w:val="right"/>
      <w:pPr>
        <w:ind w:left="2160" w:hanging="180"/>
      </w:pPr>
    </w:lvl>
    <w:lvl w:ilvl="3" w:tplc="F6B8822E">
      <w:start w:val="1"/>
      <w:numFmt w:val="decimal"/>
      <w:lvlText w:val="%4."/>
      <w:lvlJc w:val="left"/>
      <w:pPr>
        <w:ind w:left="2880" w:hanging="360"/>
      </w:pPr>
    </w:lvl>
    <w:lvl w:ilvl="4" w:tplc="A0D6D958">
      <w:start w:val="1"/>
      <w:numFmt w:val="lowerLetter"/>
      <w:lvlText w:val="%5."/>
      <w:lvlJc w:val="left"/>
      <w:pPr>
        <w:ind w:left="3600" w:hanging="360"/>
      </w:pPr>
    </w:lvl>
    <w:lvl w:ilvl="5" w:tplc="B99402E4">
      <w:start w:val="1"/>
      <w:numFmt w:val="lowerRoman"/>
      <w:lvlText w:val="%6."/>
      <w:lvlJc w:val="right"/>
      <w:pPr>
        <w:ind w:left="4320" w:hanging="180"/>
      </w:pPr>
    </w:lvl>
    <w:lvl w:ilvl="6" w:tplc="2932B100">
      <w:start w:val="1"/>
      <w:numFmt w:val="decimal"/>
      <w:lvlText w:val="%7."/>
      <w:lvlJc w:val="left"/>
      <w:pPr>
        <w:ind w:left="5040" w:hanging="360"/>
      </w:pPr>
    </w:lvl>
    <w:lvl w:ilvl="7" w:tplc="F8F6AC8C">
      <w:start w:val="1"/>
      <w:numFmt w:val="lowerLetter"/>
      <w:lvlText w:val="%8."/>
      <w:lvlJc w:val="left"/>
      <w:pPr>
        <w:ind w:left="5760" w:hanging="360"/>
      </w:pPr>
    </w:lvl>
    <w:lvl w:ilvl="8" w:tplc="226CF524">
      <w:start w:val="1"/>
      <w:numFmt w:val="lowerRoman"/>
      <w:lvlText w:val="%9."/>
      <w:lvlJc w:val="right"/>
      <w:pPr>
        <w:ind w:left="6480" w:hanging="180"/>
      </w:pPr>
    </w:lvl>
  </w:abstractNum>
  <w:abstractNum w:abstractNumId="3" w15:restartNumberingAfterBreak="0">
    <w:nsid w:val="1147E918"/>
    <w:multiLevelType w:val="multilevel"/>
    <w:tmpl w:val="2C5C26D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174E03E"/>
    <w:multiLevelType w:val="hybridMultilevel"/>
    <w:tmpl w:val="E1D8A102"/>
    <w:lvl w:ilvl="0" w:tplc="4D7C0CB6">
      <w:start w:val="1"/>
      <w:numFmt w:val="decimal"/>
      <w:lvlText w:val="(%1)"/>
      <w:lvlJc w:val="left"/>
      <w:pPr>
        <w:ind w:left="720" w:hanging="360"/>
      </w:pPr>
    </w:lvl>
    <w:lvl w:ilvl="1" w:tplc="DEE47D50">
      <w:start w:val="1"/>
      <w:numFmt w:val="lowerLetter"/>
      <w:lvlText w:val="%2."/>
      <w:lvlJc w:val="left"/>
      <w:pPr>
        <w:ind w:left="1440" w:hanging="360"/>
      </w:pPr>
    </w:lvl>
    <w:lvl w:ilvl="2" w:tplc="F8323878">
      <w:start w:val="1"/>
      <w:numFmt w:val="lowerRoman"/>
      <w:lvlText w:val="%3."/>
      <w:lvlJc w:val="right"/>
      <w:pPr>
        <w:ind w:left="2160" w:hanging="180"/>
      </w:pPr>
    </w:lvl>
    <w:lvl w:ilvl="3" w:tplc="D2DE3C36">
      <w:start w:val="1"/>
      <w:numFmt w:val="decimal"/>
      <w:lvlText w:val="%4."/>
      <w:lvlJc w:val="left"/>
      <w:pPr>
        <w:ind w:left="2880" w:hanging="360"/>
      </w:pPr>
    </w:lvl>
    <w:lvl w:ilvl="4" w:tplc="538237B8">
      <w:start w:val="1"/>
      <w:numFmt w:val="lowerLetter"/>
      <w:lvlText w:val="%5."/>
      <w:lvlJc w:val="left"/>
      <w:pPr>
        <w:ind w:left="3600" w:hanging="360"/>
      </w:pPr>
    </w:lvl>
    <w:lvl w:ilvl="5" w:tplc="EC922CFC">
      <w:start w:val="1"/>
      <w:numFmt w:val="lowerRoman"/>
      <w:lvlText w:val="%6."/>
      <w:lvlJc w:val="right"/>
      <w:pPr>
        <w:ind w:left="4320" w:hanging="180"/>
      </w:pPr>
    </w:lvl>
    <w:lvl w:ilvl="6" w:tplc="1592E42E">
      <w:start w:val="1"/>
      <w:numFmt w:val="decimal"/>
      <w:lvlText w:val="%7."/>
      <w:lvlJc w:val="left"/>
      <w:pPr>
        <w:ind w:left="5040" w:hanging="360"/>
      </w:pPr>
    </w:lvl>
    <w:lvl w:ilvl="7" w:tplc="71A0A584">
      <w:start w:val="1"/>
      <w:numFmt w:val="lowerLetter"/>
      <w:lvlText w:val="%8."/>
      <w:lvlJc w:val="left"/>
      <w:pPr>
        <w:ind w:left="5760" w:hanging="360"/>
      </w:pPr>
    </w:lvl>
    <w:lvl w:ilvl="8" w:tplc="5E681BCE">
      <w:start w:val="1"/>
      <w:numFmt w:val="lowerRoman"/>
      <w:lvlText w:val="%9."/>
      <w:lvlJc w:val="right"/>
      <w:pPr>
        <w:ind w:left="6480" w:hanging="180"/>
      </w:pPr>
    </w:lvl>
  </w:abstractNum>
  <w:abstractNum w:abstractNumId="5" w15:restartNumberingAfterBreak="0">
    <w:nsid w:val="1643F965"/>
    <w:multiLevelType w:val="hybridMultilevel"/>
    <w:tmpl w:val="FFFFFFFF"/>
    <w:lvl w:ilvl="0" w:tplc="348C639A">
      <w:start w:val="1"/>
      <w:numFmt w:val="lowerLetter"/>
      <w:lvlText w:val="%1)"/>
      <w:lvlJc w:val="left"/>
      <w:pPr>
        <w:ind w:left="720" w:hanging="360"/>
      </w:pPr>
    </w:lvl>
    <w:lvl w:ilvl="1" w:tplc="7646EB68">
      <w:start w:val="1"/>
      <w:numFmt w:val="lowerLetter"/>
      <w:lvlText w:val="%2."/>
      <w:lvlJc w:val="left"/>
      <w:pPr>
        <w:ind w:left="1440" w:hanging="360"/>
      </w:pPr>
    </w:lvl>
    <w:lvl w:ilvl="2" w:tplc="81F2B178">
      <w:start w:val="1"/>
      <w:numFmt w:val="lowerRoman"/>
      <w:lvlText w:val="%3."/>
      <w:lvlJc w:val="right"/>
      <w:pPr>
        <w:ind w:left="2160" w:hanging="180"/>
      </w:pPr>
    </w:lvl>
    <w:lvl w:ilvl="3" w:tplc="F866FAFA">
      <w:start w:val="1"/>
      <w:numFmt w:val="decimal"/>
      <w:lvlText w:val="%4."/>
      <w:lvlJc w:val="left"/>
      <w:pPr>
        <w:ind w:left="2880" w:hanging="360"/>
      </w:pPr>
    </w:lvl>
    <w:lvl w:ilvl="4" w:tplc="ED2C744C">
      <w:start w:val="1"/>
      <w:numFmt w:val="lowerLetter"/>
      <w:lvlText w:val="%5."/>
      <w:lvlJc w:val="left"/>
      <w:pPr>
        <w:ind w:left="3600" w:hanging="360"/>
      </w:pPr>
    </w:lvl>
    <w:lvl w:ilvl="5" w:tplc="2C3A0A6E">
      <w:start w:val="1"/>
      <w:numFmt w:val="lowerRoman"/>
      <w:lvlText w:val="%6."/>
      <w:lvlJc w:val="right"/>
      <w:pPr>
        <w:ind w:left="4320" w:hanging="180"/>
      </w:pPr>
    </w:lvl>
    <w:lvl w:ilvl="6" w:tplc="57E45DC2">
      <w:start w:val="1"/>
      <w:numFmt w:val="decimal"/>
      <w:lvlText w:val="%7."/>
      <w:lvlJc w:val="left"/>
      <w:pPr>
        <w:ind w:left="5040" w:hanging="360"/>
      </w:pPr>
    </w:lvl>
    <w:lvl w:ilvl="7" w:tplc="45509D34">
      <w:start w:val="1"/>
      <w:numFmt w:val="lowerLetter"/>
      <w:lvlText w:val="%8."/>
      <w:lvlJc w:val="left"/>
      <w:pPr>
        <w:ind w:left="5760" w:hanging="360"/>
      </w:pPr>
    </w:lvl>
    <w:lvl w:ilvl="8" w:tplc="48D0A8D0">
      <w:start w:val="1"/>
      <w:numFmt w:val="lowerRoman"/>
      <w:lvlText w:val="%9."/>
      <w:lvlJc w:val="right"/>
      <w:pPr>
        <w:ind w:left="6480" w:hanging="180"/>
      </w:pPr>
    </w:lvl>
  </w:abstractNum>
  <w:abstractNum w:abstractNumId="6" w15:restartNumberingAfterBreak="0">
    <w:nsid w:val="1A29BC6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4C7E52"/>
    <w:multiLevelType w:val="hybridMultilevel"/>
    <w:tmpl w:val="FFFFFFFF"/>
    <w:lvl w:ilvl="0" w:tplc="6D221B80">
      <w:start w:val="1"/>
      <w:numFmt w:val="lowerLetter"/>
      <w:lvlText w:val="%1)"/>
      <w:lvlJc w:val="left"/>
      <w:pPr>
        <w:ind w:left="720" w:hanging="360"/>
      </w:pPr>
    </w:lvl>
    <w:lvl w:ilvl="1" w:tplc="86F00DB8">
      <w:start w:val="1"/>
      <w:numFmt w:val="lowerLetter"/>
      <w:lvlText w:val="%2."/>
      <w:lvlJc w:val="left"/>
      <w:pPr>
        <w:ind w:left="1440" w:hanging="360"/>
      </w:pPr>
    </w:lvl>
    <w:lvl w:ilvl="2" w:tplc="A180230E">
      <w:start w:val="1"/>
      <w:numFmt w:val="lowerRoman"/>
      <w:lvlText w:val="%3."/>
      <w:lvlJc w:val="right"/>
      <w:pPr>
        <w:ind w:left="2160" w:hanging="180"/>
      </w:pPr>
    </w:lvl>
    <w:lvl w:ilvl="3" w:tplc="3D72BFC4">
      <w:start w:val="1"/>
      <w:numFmt w:val="decimal"/>
      <w:lvlText w:val="%4."/>
      <w:lvlJc w:val="left"/>
      <w:pPr>
        <w:ind w:left="2880" w:hanging="360"/>
      </w:pPr>
    </w:lvl>
    <w:lvl w:ilvl="4" w:tplc="718698EA">
      <w:start w:val="1"/>
      <w:numFmt w:val="lowerLetter"/>
      <w:lvlText w:val="%5."/>
      <w:lvlJc w:val="left"/>
      <w:pPr>
        <w:ind w:left="3600" w:hanging="360"/>
      </w:pPr>
    </w:lvl>
    <w:lvl w:ilvl="5" w:tplc="CA3CD342">
      <w:start w:val="1"/>
      <w:numFmt w:val="lowerRoman"/>
      <w:lvlText w:val="%6."/>
      <w:lvlJc w:val="right"/>
      <w:pPr>
        <w:ind w:left="4320" w:hanging="180"/>
      </w:pPr>
    </w:lvl>
    <w:lvl w:ilvl="6" w:tplc="1C1A8898">
      <w:start w:val="1"/>
      <w:numFmt w:val="decimal"/>
      <w:lvlText w:val="%7."/>
      <w:lvlJc w:val="left"/>
      <w:pPr>
        <w:ind w:left="5040" w:hanging="360"/>
      </w:pPr>
    </w:lvl>
    <w:lvl w:ilvl="7" w:tplc="D4CAF01E">
      <w:start w:val="1"/>
      <w:numFmt w:val="lowerLetter"/>
      <w:lvlText w:val="%8."/>
      <w:lvlJc w:val="left"/>
      <w:pPr>
        <w:ind w:left="5760" w:hanging="360"/>
      </w:pPr>
    </w:lvl>
    <w:lvl w:ilvl="8" w:tplc="4148CC3C">
      <w:start w:val="1"/>
      <w:numFmt w:val="lowerRoman"/>
      <w:lvlText w:val="%9."/>
      <w:lvlJc w:val="right"/>
      <w:pPr>
        <w:ind w:left="6480" w:hanging="180"/>
      </w:pPr>
    </w:lvl>
  </w:abstractNum>
  <w:abstractNum w:abstractNumId="8" w15:restartNumberingAfterBreak="0">
    <w:nsid w:val="242479D8"/>
    <w:multiLevelType w:val="hybridMultilevel"/>
    <w:tmpl w:val="FFFFFFFF"/>
    <w:lvl w:ilvl="0" w:tplc="0C8A571C">
      <w:start w:val="1"/>
      <w:numFmt w:val="lowerLetter"/>
      <w:lvlText w:val="%1)"/>
      <w:lvlJc w:val="left"/>
      <w:pPr>
        <w:ind w:left="720" w:hanging="360"/>
      </w:pPr>
    </w:lvl>
    <w:lvl w:ilvl="1" w:tplc="61902FE0">
      <w:start w:val="1"/>
      <w:numFmt w:val="lowerLetter"/>
      <w:lvlText w:val="%2."/>
      <w:lvlJc w:val="left"/>
      <w:pPr>
        <w:ind w:left="1440" w:hanging="360"/>
      </w:pPr>
    </w:lvl>
    <w:lvl w:ilvl="2" w:tplc="2A46134C">
      <w:start w:val="1"/>
      <w:numFmt w:val="lowerRoman"/>
      <w:lvlText w:val="%3."/>
      <w:lvlJc w:val="right"/>
      <w:pPr>
        <w:ind w:left="2160" w:hanging="180"/>
      </w:pPr>
    </w:lvl>
    <w:lvl w:ilvl="3" w:tplc="BA6685FC">
      <w:start w:val="1"/>
      <w:numFmt w:val="decimal"/>
      <w:lvlText w:val="%4."/>
      <w:lvlJc w:val="left"/>
      <w:pPr>
        <w:ind w:left="2880" w:hanging="360"/>
      </w:pPr>
    </w:lvl>
    <w:lvl w:ilvl="4" w:tplc="9FD2CA98">
      <w:start w:val="1"/>
      <w:numFmt w:val="lowerLetter"/>
      <w:lvlText w:val="%5."/>
      <w:lvlJc w:val="left"/>
      <w:pPr>
        <w:ind w:left="3600" w:hanging="360"/>
      </w:pPr>
    </w:lvl>
    <w:lvl w:ilvl="5" w:tplc="CD085390">
      <w:start w:val="1"/>
      <w:numFmt w:val="lowerRoman"/>
      <w:lvlText w:val="%6."/>
      <w:lvlJc w:val="right"/>
      <w:pPr>
        <w:ind w:left="4320" w:hanging="180"/>
      </w:pPr>
    </w:lvl>
    <w:lvl w:ilvl="6" w:tplc="53B234BA">
      <w:start w:val="1"/>
      <w:numFmt w:val="decimal"/>
      <w:lvlText w:val="%7."/>
      <w:lvlJc w:val="left"/>
      <w:pPr>
        <w:ind w:left="5040" w:hanging="360"/>
      </w:pPr>
    </w:lvl>
    <w:lvl w:ilvl="7" w:tplc="333CD36A">
      <w:start w:val="1"/>
      <w:numFmt w:val="lowerLetter"/>
      <w:lvlText w:val="%8."/>
      <w:lvlJc w:val="left"/>
      <w:pPr>
        <w:ind w:left="5760" w:hanging="360"/>
      </w:pPr>
    </w:lvl>
    <w:lvl w:ilvl="8" w:tplc="49EAE54A">
      <w:start w:val="1"/>
      <w:numFmt w:val="lowerRoman"/>
      <w:lvlText w:val="%9."/>
      <w:lvlJc w:val="right"/>
      <w:pPr>
        <w:ind w:left="6480" w:hanging="180"/>
      </w:pPr>
    </w:lvl>
  </w:abstractNum>
  <w:abstractNum w:abstractNumId="9" w15:restartNumberingAfterBreak="0">
    <w:nsid w:val="26581F01"/>
    <w:multiLevelType w:val="hybridMultilevel"/>
    <w:tmpl w:val="FFFFFFFF"/>
    <w:lvl w:ilvl="0" w:tplc="D9B6D89C">
      <w:start w:val="1"/>
      <w:numFmt w:val="lowerLetter"/>
      <w:lvlText w:val="%1)"/>
      <w:lvlJc w:val="left"/>
      <w:pPr>
        <w:ind w:left="720" w:hanging="360"/>
      </w:pPr>
    </w:lvl>
    <w:lvl w:ilvl="1" w:tplc="8D2656C8">
      <w:start w:val="1"/>
      <w:numFmt w:val="lowerLetter"/>
      <w:lvlText w:val="%2."/>
      <w:lvlJc w:val="left"/>
      <w:pPr>
        <w:ind w:left="1440" w:hanging="360"/>
      </w:pPr>
    </w:lvl>
    <w:lvl w:ilvl="2" w:tplc="C8E20ECE">
      <w:start w:val="1"/>
      <w:numFmt w:val="lowerRoman"/>
      <w:lvlText w:val="%3."/>
      <w:lvlJc w:val="right"/>
      <w:pPr>
        <w:ind w:left="2160" w:hanging="180"/>
      </w:pPr>
    </w:lvl>
    <w:lvl w:ilvl="3" w:tplc="4CEA14FA">
      <w:start w:val="1"/>
      <w:numFmt w:val="decimal"/>
      <w:lvlText w:val="%4."/>
      <w:lvlJc w:val="left"/>
      <w:pPr>
        <w:ind w:left="2880" w:hanging="360"/>
      </w:pPr>
    </w:lvl>
    <w:lvl w:ilvl="4" w:tplc="183CFB44">
      <w:start w:val="1"/>
      <w:numFmt w:val="lowerLetter"/>
      <w:lvlText w:val="%5."/>
      <w:lvlJc w:val="left"/>
      <w:pPr>
        <w:ind w:left="3600" w:hanging="360"/>
      </w:pPr>
    </w:lvl>
    <w:lvl w:ilvl="5" w:tplc="F09A032C">
      <w:start w:val="1"/>
      <w:numFmt w:val="lowerRoman"/>
      <w:lvlText w:val="%6."/>
      <w:lvlJc w:val="right"/>
      <w:pPr>
        <w:ind w:left="4320" w:hanging="180"/>
      </w:pPr>
    </w:lvl>
    <w:lvl w:ilvl="6" w:tplc="29062120">
      <w:start w:val="1"/>
      <w:numFmt w:val="decimal"/>
      <w:lvlText w:val="%7."/>
      <w:lvlJc w:val="left"/>
      <w:pPr>
        <w:ind w:left="5040" w:hanging="360"/>
      </w:pPr>
    </w:lvl>
    <w:lvl w:ilvl="7" w:tplc="09902CBA">
      <w:start w:val="1"/>
      <w:numFmt w:val="lowerLetter"/>
      <w:lvlText w:val="%8."/>
      <w:lvlJc w:val="left"/>
      <w:pPr>
        <w:ind w:left="5760" w:hanging="360"/>
      </w:pPr>
    </w:lvl>
    <w:lvl w:ilvl="8" w:tplc="3CAAADA0">
      <w:start w:val="1"/>
      <w:numFmt w:val="lowerRoman"/>
      <w:lvlText w:val="%9."/>
      <w:lvlJc w:val="right"/>
      <w:pPr>
        <w:ind w:left="6480" w:hanging="180"/>
      </w:pPr>
    </w:lvl>
  </w:abstractNum>
  <w:abstractNum w:abstractNumId="10" w15:restartNumberingAfterBreak="0">
    <w:nsid w:val="2ADD2613"/>
    <w:multiLevelType w:val="multilevel"/>
    <w:tmpl w:val="64022610"/>
    <w:lvl w:ilvl="0">
      <w:start w:val="1"/>
      <w:numFmt w:val="upperRoman"/>
      <w:lvlText w:val="%1."/>
      <w:lvlJc w:val="left"/>
      <w:pPr>
        <w:ind w:left="0" w:firstLine="0"/>
      </w:pPr>
      <w:rPr>
        <w:rFonts w:ascii="Times New Roman" w:hAnsi="Times New Roman" w:hint="default"/>
        <w:b/>
        <w:i w:val="0"/>
        <w:sz w:val="24"/>
      </w:rPr>
    </w:lvl>
    <w:lvl w:ilvl="1">
      <w:start w:val="1"/>
      <w:numFmt w:val="upperLetter"/>
      <w:lvlText w:val="%2."/>
      <w:lvlJc w:val="left"/>
      <w:pPr>
        <w:ind w:left="720" w:firstLine="0"/>
      </w:pPr>
      <w:rPr>
        <w:rFonts w:ascii="Times New Roman" w:hAnsi="Times New Roman" w:hint="default"/>
        <w:b/>
        <w:i w:val="0"/>
        <w:sz w:val="24"/>
      </w:rPr>
    </w:lvl>
    <w:lvl w:ilvl="2">
      <w:start w:val="1"/>
      <w:numFmt w:val="decimal"/>
      <w:lvlText w:val="%3."/>
      <w:lvlJc w:val="left"/>
      <w:pPr>
        <w:ind w:left="1440" w:firstLine="0"/>
      </w:pPr>
      <w:rPr>
        <w:rFonts w:ascii="Times New Roman" w:hAnsi="Times New Roman" w:hint="default"/>
        <w:b/>
        <w:i w:val="0"/>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3016ECE9"/>
    <w:multiLevelType w:val="hybridMultilevel"/>
    <w:tmpl w:val="C1CEA376"/>
    <w:lvl w:ilvl="0" w:tplc="891457FE">
      <w:start w:val="1"/>
      <w:numFmt w:val="lowerLetter"/>
      <w:lvlText w:val="%1)"/>
      <w:lvlJc w:val="left"/>
      <w:pPr>
        <w:ind w:left="720" w:hanging="360"/>
      </w:pPr>
    </w:lvl>
    <w:lvl w:ilvl="1" w:tplc="FE9A2014">
      <w:start w:val="1"/>
      <w:numFmt w:val="lowerLetter"/>
      <w:lvlText w:val="%2."/>
      <w:lvlJc w:val="left"/>
      <w:pPr>
        <w:ind w:left="1440" w:hanging="360"/>
      </w:pPr>
    </w:lvl>
    <w:lvl w:ilvl="2" w:tplc="EC52BA3E">
      <w:start w:val="1"/>
      <w:numFmt w:val="lowerRoman"/>
      <w:lvlText w:val="%3."/>
      <w:lvlJc w:val="right"/>
      <w:pPr>
        <w:ind w:left="2160" w:hanging="180"/>
      </w:pPr>
    </w:lvl>
    <w:lvl w:ilvl="3" w:tplc="7610C508">
      <w:start w:val="1"/>
      <w:numFmt w:val="decimal"/>
      <w:lvlText w:val="%4."/>
      <w:lvlJc w:val="left"/>
      <w:pPr>
        <w:ind w:left="2880" w:hanging="360"/>
      </w:pPr>
    </w:lvl>
    <w:lvl w:ilvl="4" w:tplc="699884B8">
      <w:start w:val="1"/>
      <w:numFmt w:val="lowerLetter"/>
      <w:lvlText w:val="%5."/>
      <w:lvlJc w:val="left"/>
      <w:pPr>
        <w:ind w:left="3600" w:hanging="360"/>
      </w:pPr>
    </w:lvl>
    <w:lvl w:ilvl="5" w:tplc="F71A5E38">
      <w:start w:val="1"/>
      <w:numFmt w:val="lowerRoman"/>
      <w:lvlText w:val="%6."/>
      <w:lvlJc w:val="right"/>
      <w:pPr>
        <w:ind w:left="4320" w:hanging="180"/>
      </w:pPr>
    </w:lvl>
    <w:lvl w:ilvl="6" w:tplc="FA1A7826">
      <w:start w:val="1"/>
      <w:numFmt w:val="decimal"/>
      <w:lvlText w:val="%7."/>
      <w:lvlJc w:val="left"/>
      <w:pPr>
        <w:ind w:left="5040" w:hanging="360"/>
      </w:pPr>
    </w:lvl>
    <w:lvl w:ilvl="7" w:tplc="B1BAC164">
      <w:start w:val="1"/>
      <w:numFmt w:val="lowerLetter"/>
      <w:lvlText w:val="%8."/>
      <w:lvlJc w:val="left"/>
      <w:pPr>
        <w:ind w:left="5760" w:hanging="360"/>
      </w:pPr>
    </w:lvl>
    <w:lvl w:ilvl="8" w:tplc="B3EAC1F4">
      <w:start w:val="1"/>
      <w:numFmt w:val="lowerRoman"/>
      <w:lvlText w:val="%9."/>
      <w:lvlJc w:val="right"/>
      <w:pPr>
        <w:ind w:left="6480" w:hanging="180"/>
      </w:pPr>
    </w:lvl>
  </w:abstractNum>
  <w:abstractNum w:abstractNumId="12" w15:restartNumberingAfterBreak="0">
    <w:nsid w:val="317967FB"/>
    <w:multiLevelType w:val="hybridMultilevel"/>
    <w:tmpl w:val="97DC640A"/>
    <w:lvl w:ilvl="0" w:tplc="2C04DE70">
      <w:start w:val="1"/>
      <w:numFmt w:val="decimal"/>
      <w:lvlText w:val="%1)"/>
      <w:lvlJc w:val="left"/>
      <w:pPr>
        <w:ind w:left="720" w:hanging="360"/>
      </w:pPr>
    </w:lvl>
    <w:lvl w:ilvl="1" w:tplc="0FDA78A2">
      <w:start w:val="1"/>
      <w:numFmt w:val="lowerLetter"/>
      <w:lvlText w:val="%2."/>
      <w:lvlJc w:val="left"/>
      <w:pPr>
        <w:ind w:left="1440" w:hanging="360"/>
      </w:pPr>
    </w:lvl>
    <w:lvl w:ilvl="2" w:tplc="7EE816B2">
      <w:start w:val="1"/>
      <w:numFmt w:val="lowerRoman"/>
      <w:lvlText w:val="%3."/>
      <w:lvlJc w:val="right"/>
      <w:pPr>
        <w:ind w:left="2160" w:hanging="180"/>
      </w:pPr>
    </w:lvl>
    <w:lvl w:ilvl="3" w:tplc="21CCF384">
      <w:start w:val="1"/>
      <w:numFmt w:val="decimal"/>
      <w:lvlText w:val="%4."/>
      <w:lvlJc w:val="left"/>
      <w:pPr>
        <w:ind w:left="2880" w:hanging="360"/>
      </w:pPr>
    </w:lvl>
    <w:lvl w:ilvl="4" w:tplc="A5CC2964">
      <w:start w:val="1"/>
      <w:numFmt w:val="lowerLetter"/>
      <w:lvlText w:val="%5."/>
      <w:lvlJc w:val="left"/>
      <w:pPr>
        <w:ind w:left="3600" w:hanging="360"/>
      </w:pPr>
    </w:lvl>
    <w:lvl w:ilvl="5" w:tplc="4E46217E">
      <w:start w:val="1"/>
      <w:numFmt w:val="lowerRoman"/>
      <w:lvlText w:val="%6."/>
      <w:lvlJc w:val="right"/>
      <w:pPr>
        <w:ind w:left="4320" w:hanging="180"/>
      </w:pPr>
    </w:lvl>
    <w:lvl w:ilvl="6" w:tplc="4B78BDF2">
      <w:start w:val="1"/>
      <w:numFmt w:val="decimal"/>
      <w:lvlText w:val="%7."/>
      <w:lvlJc w:val="left"/>
      <w:pPr>
        <w:ind w:left="5040" w:hanging="360"/>
      </w:pPr>
    </w:lvl>
    <w:lvl w:ilvl="7" w:tplc="95AED512">
      <w:start w:val="1"/>
      <w:numFmt w:val="lowerLetter"/>
      <w:lvlText w:val="%8."/>
      <w:lvlJc w:val="left"/>
      <w:pPr>
        <w:ind w:left="5760" w:hanging="360"/>
      </w:pPr>
    </w:lvl>
    <w:lvl w:ilvl="8" w:tplc="B5448512">
      <w:start w:val="1"/>
      <w:numFmt w:val="lowerRoman"/>
      <w:lvlText w:val="%9."/>
      <w:lvlJc w:val="right"/>
      <w:pPr>
        <w:ind w:left="6480" w:hanging="180"/>
      </w:pPr>
    </w:lvl>
  </w:abstractNum>
  <w:abstractNum w:abstractNumId="13" w15:restartNumberingAfterBreak="0">
    <w:nsid w:val="37A860B9"/>
    <w:multiLevelType w:val="hybridMultilevel"/>
    <w:tmpl w:val="D9C2A0FA"/>
    <w:lvl w:ilvl="0" w:tplc="3E720E70">
      <w:start w:val="1"/>
      <w:numFmt w:val="bullet"/>
      <w:lvlText w:val=""/>
      <w:lvlJc w:val="left"/>
      <w:pPr>
        <w:ind w:left="720" w:hanging="360"/>
      </w:pPr>
      <w:rPr>
        <w:rFonts w:ascii="Symbol" w:hAnsi="Symbol"/>
      </w:rPr>
    </w:lvl>
    <w:lvl w:ilvl="1" w:tplc="3F529A16">
      <w:start w:val="1"/>
      <w:numFmt w:val="bullet"/>
      <w:lvlText w:val=""/>
      <w:lvlJc w:val="left"/>
      <w:pPr>
        <w:ind w:left="720" w:hanging="360"/>
      </w:pPr>
      <w:rPr>
        <w:rFonts w:ascii="Symbol" w:hAnsi="Symbol"/>
      </w:rPr>
    </w:lvl>
    <w:lvl w:ilvl="2" w:tplc="EB32A526">
      <w:start w:val="1"/>
      <w:numFmt w:val="bullet"/>
      <w:lvlText w:val=""/>
      <w:lvlJc w:val="left"/>
      <w:pPr>
        <w:ind w:left="720" w:hanging="360"/>
      </w:pPr>
      <w:rPr>
        <w:rFonts w:ascii="Symbol" w:hAnsi="Symbol"/>
      </w:rPr>
    </w:lvl>
    <w:lvl w:ilvl="3" w:tplc="14F0A160">
      <w:start w:val="1"/>
      <w:numFmt w:val="bullet"/>
      <w:lvlText w:val=""/>
      <w:lvlJc w:val="left"/>
      <w:pPr>
        <w:ind w:left="720" w:hanging="360"/>
      </w:pPr>
      <w:rPr>
        <w:rFonts w:ascii="Symbol" w:hAnsi="Symbol"/>
      </w:rPr>
    </w:lvl>
    <w:lvl w:ilvl="4" w:tplc="6164BF38">
      <w:start w:val="1"/>
      <w:numFmt w:val="bullet"/>
      <w:lvlText w:val=""/>
      <w:lvlJc w:val="left"/>
      <w:pPr>
        <w:ind w:left="720" w:hanging="360"/>
      </w:pPr>
      <w:rPr>
        <w:rFonts w:ascii="Symbol" w:hAnsi="Symbol"/>
      </w:rPr>
    </w:lvl>
    <w:lvl w:ilvl="5" w:tplc="73364E22">
      <w:start w:val="1"/>
      <w:numFmt w:val="bullet"/>
      <w:lvlText w:val=""/>
      <w:lvlJc w:val="left"/>
      <w:pPr>
        <w:ind w:left="720" w:hanging="360"/>
      </w:pPr>
      <w:rPr>
        <w:rFonts w:ascii="Symbol" w:hAnsi="Symbol"/>
      </w:rPr>
    </w:lvl>
    <w:lvl w:ilvl="6" w:tplc="FE0A65D4">
      <w:start w:val="1"/>
      <w:numFmt w:val="bullet"/>
      <w:lvlText w:val=""/>
      <w:lvlJc w:val="left"/>
      <w:pPr>
        <w:ind w:left="720" w:hanging="360"/>
      </w:pPr>
      <w:rPr>
        <w:rFonts w:ascii="Symbol" w:hAnsi="Symbol"/>
      </w:rPr>
    </w:lvl>
    <w:lvl w:ilvl="7" w:tplc="D18A4E3E">
      <w:start w:val="1"/>
      <w:numFmt w:val="bullet"/>
      <w:lvlText w:val=""/>
      <w:lvlJc w:val="left"/>
      <w:pPr>
        <w:ind w:left="720" w:hanging="360"/>
      </w:pPr>
      <w:rPr>
        <w:rFonts w:ascii="Symbol" w:hAnsi="Symbol"/>
      </w:rPr>
    </w:lvl>
    <w:lvl w:ilvl="8" w:tplc="39106D7A">
      <w:start w:val="1"/>
      <w:numFmt w:val="bullet"/>
      <w:lvlText w:val=""/>
      <w:lvlJc w:val="left"/>
      <w:pPr>
        <w:ind w:left="720" w:hanging="360"/>
      </w:pPr>
      <w:rPr>
        <w:rFonts w:ascii="Symbol" w:hAnsi="Symbol"/>
      </w:rPr>
    </w:lvl>
  </w:abstractNum>
  <w:abstractNum w:abstractNumId="14" w15:restartNumberingAfterBreak="0">
    <w:nsid w:val="3BD76715"/>
    <w:multiLevelType w:val="hybridMultilevel"/>
    <w:tmpl w:val="FFFFFFFF"/>
    <w:lvl w:ilvl="0" w:tplc="31747958">
      <w:start w:val="1"/>
      <w:numFmt w:val="lowerLetter"/>
      <w:lvlText w:val="%1)"/>
      <w:lvlJc w:val="left"/>
      <w:pPr>
        <w:ind w:left="720" w:hanging="360"/>
      </w:pPr>
    </w:lvl>
    <w:lvl w:ilvl="1" w:tplc="C9AECC04">
      <w:start w:val="1"/>
      <w:numFmt w:val="lowerLetter"/>
      <w:lvlText w:val="%2."/>
      <w:lvlJc w:val="left"/>
      <w:pPr>
        <w:ind w:left="1440" w:hanging="360"/>
      </w:pPr>
    </w:lvl>
    <w:lvl w:ilvl="2" w:tplc="4CDCE96A">
      <w:start w:val="1"/>
      <w:numFmt w:val="lowerRoman"/>
      <w:lvlText w:val="%3."/>
      <w:lvlJc w:val="right"/>
      <w:pPr>
        <w:ind w:left="2160" w:hanging="180"/>
      </w:pPr>
    </w:lvl>
    <w:lvl w:ilvl="3" w:tplc="317261FE">
      <w:start w:val="1"/>
      <w:numFmt w:val="decimal"/>
      <w:lvlText w:val="%4."/>
      <w:lvlJc w:val="left"/>
      <w:pPr>
        <w:ind w:left="2880" w:hanging="360"/>
      </w:pPr>
    </w:lvl>
    <w:lvl w:ilvl="4" w:tplc="E37ED8E0">
      <w:start w:val="1"/>
      <w:numFmt w:val="lowerLetter"/>
      <w:lvlText w:val="%5."/>
      <w:lvlJc w:val="left"/>
      <w:pPr>
        <w:ind w:left="3600" w:hanging="360"/>
      </w:pPr>
    </w:lvl>
    <w:lvl w:ilvl="5" w:tplc="97E834FC">
      <w:start w:val="1"/>
      <w:numFmt w:val="lowerRoman"/>
      <w:lvlText w:val="%6."/>
      <w:lvlJc w:val="right"/>
      <w:pPr>
        <w:ind w:left="4320" w:hanging="180"/>
      </w:pPr>
    </w:lvl>
    <w:lvl w:ilvl="6" w:tplc="112AE400">
      <w:start w:val="1"/>
      <w:numFmt w:val="decimal"/>
      <w:lvlText w:val="%7."/>
      <w:lvlJc w:val="left"/>
      <w:pPr>
        <w:ind w:left="5040" w:hanging="360"/>
      </w:pPr>
    </w:lvl>
    <w:lvl w:ilvl="7" w:tplc="5C082850">
      <w:start w:val="1"/>
      <w:numFmt w:val="lowerLetter"/>
      <w:lvlText w:val="%8."/>
      <w:lvlJc w:val="left"/>
      <w:pPr>
        <w:ind w:left="5760" w:hanging="360"/>
      </w:pPr>
    </w:lvl>
    <w:lvl w:ilvl="8" w:tplc="FC7CBF1E">
      <w:start w:val="1"/>
      <w:numFmt w:val="lowerRoman"/>
      <w:lvlText w:val="%9."/>
      <w:lvlJc w:val="right"/>
      <w:pPr>
        <w:ind w:left="6480" w:hanging="180"/>
      </w:pPr>
    </w:lvl>
  </w:abstractNum>
  <w:abstractNum w:abstractNumId="15" w15:restartNumberingAfterBreak="0">
    <w:nsid w:val="3D2334D3"/>
    <w:multiLevelType w:val="hybridMultilevel"/>
    <w:tmpl w:val="FFFFFFFF"/>
    <w:lvl w:ilvl="0" w:tplc="3CAE6A1E">
      <w:start w:val="1"/>
      <w:numFmt w:val="lowerLetter"/>
      <w:lvlText w:val="%1)"/>
      <w:lvlJc w:val="left"/>
      <w:pPr>
        <w:ind w:left="720" w:hanging="360"/>
      </w:pPr>
    </w:lvl>
    <w:lvl w:ilvl="1" w:tplc="9DF42F12">
      <w:start w:val="1"/>
      <w:numFmt w:val="lowerLetter"/>
      <w:lvlText w:val="%2."/>
      <w:lvlJc w:val="left"/>
      <w:pPr>
        <w:ind w:left="1440" w:hanging="360"/>
      </w:pPr>
    </w:lvl>
    <w:lvl w:ilvl="2" w:tplc="4C5A7B16">
      <w:start w:val="1"/>
      <w:numFmt w:val="lowerRoman"/>
      <w:lvlText w:val="%3."/>
      <w:lvlJc w:val="right"/>
      <w:pPr>
        <w:ind w:left="2160" w:hanging="180"/>
      </w:pPr>
    </w:lvl>
    <w:lvl w:ilvl="3" w:tplc="72FC90C4">
      <w:start w:val="1"/>
      <w:numFmt w:val="decimal"/>
      <w:lvlText w:val="%4."/>
      <w:lvlJc w:val="left"/>
      <w:pPr>
        <w:ind w:left="2880" w:hanging="360"/>
      </w:pPr>
    </w:lvl>
    <w:lvl w:ilvl="4" w:tplc="22F0ABFC">
      <w:start w:val="1"/>
      <w:numFmt w:val="lowerLetter"/>
      <w:lvlText w:val="%5."/>
      <w:lvlJc w:val="left"/>
      <w:pPr>
        <w:ind w:left="3600" w:hanging="360"/>
      </w:pPr>
    </w:lvl>
    <w:lvl w:ilvl="5" w:tplc="84D67986">
      <w:start w:val="1"/>
      <w:numFmt w:val="lowerRoman"/>
      <w:lvlText w:val="%6."/>
      <w:lvlJc w:val="right"/>
      <w:pPr>
        <w:ind w:left="4320" w:hanging="180"/>
      </w:pPr>
    </w:lvl>
    <w:lvl w:ilvl="6" w:tplc="AA946740">
      <w:start w:val="1"/>
      <w:numFmt w:val="decimal"/>
      <w:lvlText w:val="%7."/>
      <w:lvlJc w:val="left"/>
      <w:pPr>
        <w:ind w:left="5040" w:hanging="360"/>
      </w:pPr>
    </w:lvl>
    <w:lvl w:ilvl="7" w:tplc="9B0204BE">
      <w:start w:val="1"/>
      <w:numFmt w:val="lowerLetter"/>
      <w:lvlText w:val="%8."/>
      <w:lvlJc w:val="left"/>
      <w:pPr>
        <w:ind w:left="5760" w:hanging="360"/>
      </w:pPr>
    </w:lvl>
    <w:lvl w:ilvl="8" w:tplc="643A71C8">
      <w:start w:val="1"/>
      <w:numFmt w:val="lowerRoman"/>
      <w:lvlText w:val="%9."/>
      <w:lvlJc w:val="right"/>
      <w:pPr>
        <w:ind w:left="6480" w:hanging="180"/>
      </w:pPr>
    </w:lvl>
  </w:abstractNum>
  <w:abstractNum w:abstractNumId="16" w15:restartNumberingAfterBreak="0">
    <w:nsid w:val="3D322351"/>
    <w:multiLevelType w:val="hybridMultilevel"/>
    <w:tmpl w:val="FFFFFFFF"/>
    <w:lvl w:ilvl="0" w:tplc="0066AA7E">
      <w:start w:val="1"/>
      <w:numFmt w:val="lowerLetter"/>
      <w:lvlText w:val="%1)"/>
      <w:lvlJc w:val="left"/>
      <w:pPr>
        <w:ind w:left="720" w:hanging="360"/>
      </w:pPr>
    </w:lvl>
    <w:lvl w:ilvl="1" w:tplc="373C6BA0">
      <w:start w:val="1"/>
      <w:numFmt w:val="lowerLetter"/>
      <w:lvlText w:val="%2."/>
      <w:lvlJc w:val="left"/>
      <w:pPr>
        <w:ind w:left="1440" w:hanging="360"/>
      </w:pPr>
    </w:lvl>
    <w:lvl w:ilvl="2" w:tplc="682242A8">
      <w:start w:val="1"/>
      <w:numFmt w:val="lowerRoman"/>
      <w:lvlText w:val="%3."/>
      <w:lvlJc w:val="right"/>
      <w:pPr>
        <w:ind w:left="2160" w:hanging="180"/>
      </w:pPr>
    </w:lvl>
    <w:lvl w:ilvl="3" w:tplc="AD0C28D6">
      <w:start w:val="1"/>
      <w:numFmt w:val="decimal"/>
      <w:lvlText w:val="%4."/>
      <w:lvlJc w:val="left"/>
      <w:pPr>
        <w:ind w:left="2880" w:hanging="360"/>
      </w:pPr>
    </w:lvl>
    <w:lvl w:ilvl="4" w:tplc="02F273BC">
      <w:start w:val="1"/>
      <w:numFmt w:val="lowerLetter"/>
      <w:lvlText w:val="%5."/>
      <w:lvlJc w:val="left"/>
      <w:pPr>
        <w:ind w:left="3600" w:hanging="360"/>
      </w:pPr>
    </w:lvl>
    <w:lvl w:ilvl="5" w:tplc="8500BD84">
      <w:start w:val="1"/>
      <w:numFmt w:val="lowerRoman"/>
      <w:lvlText w:val="%6."/>
      <w:lvlJc w:val="right"/>
      <w:pPr>
        <w:ind w:left="4320" w:hanging="180"/>
      </w:pPr>
    </w:lvl>
    <w:lvl w:ilvl="6" w:tplc="24C02156">
      <w:start w:val="1"/>
      <w:numFmt w:val="decimal"/>
      <w:lvlText w:val="%7."/>
      <w:lvlJc w:val="left"/>
      <w:pPr>
        <w:ind w:left="5040" w:hanging="360"/>
      </w:pPr>
    </w:lvl>
    <w:lvl w:ilvl="7" w:tplc="2DCEBF10">
      <w:start w:val="1"/>
      <w:numFmt w:val="lowerLetter"/>
      <w:lvlText w:val="%8."/>
      <w:lvlJc w:val="left"/>
      <w:pPr>
        <w:ind w:left="5760" w:hanging="360"/>
      </w:pPr>
    </w:lvl>
    <w:lvl w:ilvl="8" w:tplc="4B8CA218">
      <w:start w:val="1"/>
      <w:numFmt w:val="lowerRoman"/>
      <w:lvlText w:val="%9."/>
      <w:lvlJc w:val="right"/>
      <w:pPr>
        <w:ind w:left="6480" w:hanging="180"/>
      </w:pPr>
    </w:lvl>
  </w:abstractNum>
  <w:abstractNum w:abstractNumId="17" w15:restartNumberingAfterBreak="0">
    <w:nsid w:val="3D9C9765"/>
    <w:multiLevelType w:val="hybridMultilevel"/>
    <w:tmpl w:val="FFFFFFFF"/>
    <w:lvl w:ilvl="0" w:tplc="CD3E4FD4">
      <w:start w:val="1"/>
      <w:numFmt w:val="bullet"/>
      <w:lvlText w:val=""/>
      <w:lvlJc w:val="left"/>
      <w:pPr>
        <w:ind w:left="720" w:hanging="360"/>
      </w:pPr>
      <w:rPr>
        <w:rFonts w:ascii="Symbol" w:hAnsi="Symbol" w:hint="default"/>
      </w:rPr>
    </w:lvl>
    <w:lvl w:ilvl="1" w:tplc="0DCA60DA">
      <w:start w:val="1"/>
      <w:numFmt w:val="bullet"/>
      <w:lvlText w:val="o"/>
      <w:lvlJc w:val="left"/>
      <w:pPr>
        <w:ind w:left="1440" w:hanging="360"/>
      </w:pPr>
      <w:rPr>
        <w:rFonts w:ascii="Courier New" w:hAnsi="Courier New" w:hint="default"/>
      </w:rPr>
    </w:lvl>
    <w:lvl w:ilvl="2" w:tplc="E3E69098">
      <w:start w:val="1"/>
      <w:numFmt w:val="bullet"/>
      <w:lvlText w:val=""/>
      <w:lvlJc w:val="left"/>
      <w:pPr>
        <w:ind w:left="2160" w:hanging="360"/>
      </w:pPr>
      <w:rPr>
        <w:rFonts w:ascii="Wingdings" w:hAnsi="Wingdings" w:hint="default"/>
      </w:rPr>
    </w:lvl>
    <w:lvl w:ilvl="3" w:tplc="908E1A5A">
      <w:start w:val="1"/>
      <w:numFmt w:val="bullet"/>
      <w:lvlText w:val=""/>
      <w:lvlJc w:val="left"/>
      <w:pPr>
        <w:ind w:left="2880" w:hanging="360"/>
      </w:pPr>
      <w:rPr>
        <w:rFonts w:ascii="Symbol" w:hAnsi="Symbol" w:hint="default"/>
      </w:rPr>
    </w:lvl>
    <w:lvl w:ilvl="4" w:tplc="5C3A7D46">
      <w:start w:val="1"/>
      <w:numFmt w:val="bullet"/>
      <w:lvlText w:val="o"/>
      <w:lvlJc w:val="left"/>
      <w:pPr>
        <w:ind w:left="3600" w:hanging="360"/>
      </w:pPr>
      <w:rPr>
        <w:rFonts w:ascii="Courier New" w:hAnsi="Courier New" w:hint="default"/>
      </w:rPr>
    </w:lvl>
    <w:lvl w:ilvl="5" w:tplc="7ACEC52A">
      <w:start w:val="1"/>
      <w:numFmt w:val="bullet"/>
      <w:lvlText w:val=""/>
      <w:lvlJc w:val="left"/>
      <w:pPr>
        <w:ind w:left="4320" w:hanging="360"/>
      </w:pPr>
      <w:rPr>
        <w:rFonts w:ascii="Wingdings" w:hAnsi="Wingdings" w:hint="default"/>
      </w:rPr>
    </w:lvl>
    <w:lvl w:ilvl="6" w:tplc="6B2AC110">
      <w:start w:val="1"/>
      <w:numFmt w:val="bullet"/>
      <w:lvlText w:val=""/>
      <w:lvlJc w:val="left"/>
      <w:pPr>
        <w:ind w:left="5040" w:hanging="360"/>
      </w:pPr>
      <w:rPr>
        <w:rFonts w:ascii="Symbol" w:hAnsi="Symbol" w:hint="default"/>
      </w:rPr>
    </w:lvl>
    <w:lvl w:ilvl="7" w:tplc="095E95B2">
      <w:start w:val="1"/>
      <w:numFmt w:val="bullet"/>
      <w:lvlText w:val="o"/>
      <w:lvlJc w:val="left"/>
      <w:pPr>
        <w:ind w:left="5760" w:hanging="360"/>
      </w:pPr>
      <w:rPr>
        <w:rFonts w:ascii="Courier New" w:hAnsi="Courier New" w:hint="default"/>
      </w:rPr>
    </w:lvl>
    <w:lvl w:ilvl="8" w:tplc="4DA42164">
      <w:start w:val="1"/>
      <w:numFmt w:val="bullet"/>
      <w:lvlText w:val=""/>
      <w:lvlJc w:val="left"/>
      <w:pPr>
        <w:ind w:left="6480" w:hanging="360"/>
      </w:pPr>
      <w:rPr>
        <w:rFonts w:ascii="Wingdings" w:hAnsi="Wingdings" w:hint="default"/>
      </w:rPr>
    </w:lvl>
  </w:abstractNum>
  <w:abstractNum w:abstractNumId="18" w15:restartNumberingAfterBreak="0">
    <w:nsid w:val="44561630"/>
    <w:multiLevelType w:val="hybridMultilevel"/>
    <w:tmpl w:val="D90633BA"/>
    <w:lvl w:ilvl="0" w:tplc="B16296F8">
      <w:start w:val="1"/>
      <w:numFmt w:val="lowerLetter"/>
      <w:lvlText w:val="%1)"/>
      <w:lvlJc w:val="left"/>
      <w:pPr>
        <w:ind w:left="720" w:hanging="360"/>
      </w:pPr>
    </w:lvl>
    <w:lvl w:ilvl="1" w:tplc="2A6E0ED6">
      <w:start w:val="1"/>
      <w:numFmt w:val="lowerLetter"/>
      <w:lvlText w:val="%2."/>
      <w:lvlJc w:val="left"/>
      <w:pPr>
        <w:ind w:left="1440" w:hanging="360"/>
      </w:pPr>
    </w:lvl>
    <w:lvl w:ilvl="2" w:tplc="973EA552">
      <w:start w:val="1"/>
      <w:numFmt w:val="lowerRoman"/>
      <w:lvlText w:val="%3."/>
      <w:lvlJc w:val="right"/>
      <w:pPr>
        <w:ind w:left="2160" w:hanging="180"/>
      </w:pPr>
    </w:lvl>
    <w:lvl w:ilvl="3" w:tplc="AF98F13E">
      <w:start w:val="1"/>
      <w:numFmt w:val="decimal"/>
      <w:lvlText w:val="%4."/>
      <w:lvlJc w:val="left"/>
      <w:pPr>
        <w:ind w:left="2880" w:hanging="360"/>
      </w:pPr>
    </w:lvl>
    <w:lvl w:ilvl="4" w:tplc="618E130E">
      <w:start w:val="1"/>
      <w:numFmt w:val="lowerLetter"/>
      <w:lvlText w:val="%5."/>
      <w:lvlJc w:val="left"/>
      <w:pPr>
        <w:ind w:left="3600" w:hanging="360"/>
      </w:pPr>
    </w:lvl>
    <w:lvl w:ilvl="5" w:tplc="5D200490">
      <w:start w:val="1"/>
      <w:numFmt w:val="lowerRoman"/>
      <w:lvlText w:val="%6."/>
      <w:lvlJc w:val="right"/>
      <w:pPr>
        <w:ind w:left="4320" w:hanging="180"/>
      </w:pPr>
    </w:lvl>
    <w:lvl w:ilvl="6" w:tplc="576E9A4A">
      <w:start w:val="1"/>
      <w:numFmt w:val="decimal"/>
      <w:lvlText w:val="%7."/>
      <w:lvlJc w:val="left"/>
      <w:pPr>
        <w:ind w:left="5040" w:hanging="360"/>
      </w:pPr>
    </w:lvl>
    <w:lvl w:ilvl="7" w:tplc="A796B2BC">
      <w:start w:val="1"/>
      <w:numFmt w:val="lowerLetter"/>
      <w:lvlText w:val="%8."/>
      <w:lvlJc w:val="left"/>
      <w:pPr>
        <w:ind w:left="5760" w:hanging="360"/>
      </w:pPr>
    </w:lvl>
    <w:lvl w:ilvl="8" w:tplc="49DE2E08">
      <w:start w:val="1"/>
      <w:numFmt w:val="lowerRoman"/>
      <w:lvlText w:val="%9."/>
      <w:lvlJc w:val="right"/>
      <w:pPr>
        <w:ind w:left="6480" w:hanging="180"/>
      </w:pPr>
    </w:lvl>
  </w:abstractNum>
  <w:abstractNum w:abstractNumId="19" w15:restartNumberingAfterBreak="0">
    <w:nsid w:val="47B6662D"/>
    <w:multiLevelType w:val="hybridMultilevel"/>
    <w:tmpl w:val="5FE08F66"/>
    <w:lvl w:ilvl="0" w:tplc="D3144BBE">
      <w:start w:val="1"/>
      <w:numFmt w:val="lowerLetter"/>
      <w:lvlText w:val="%1)"/>
      <w:lvlJc w:val="left"/>
      <w:pPr>
        <w:ind w:left="720" w:hanging="360"/>
      </w:pPr>
    </w:lvl>
    <w:lvl w:ilvl="1" w:tplc="2A4E72D6">
      <w:start w:val="1"/>
      <w:numFmt w:val="lowerLetter"/>
      <w:lvlText w:val="%2."/>
      <w:lvlJc w:val="left"/>
      <w:pPr>
        <w:ind w:left="1440" w:hanging="360"/>
      </w:pPr>
    </w:lvl>
    <w:lvl w:ilvl="2" w:tplc="E940BC3A">
      <w:start w:val="1"/>
      <w:numFmt w:val="lowerRoman"/>
      <w:lvlText w:val="%3."/>
      <w:lvlJc w:val="right"/>
      <w:pPr>
        <w:ind w:left="2160" w:hanging="180"/>
      </w:pPr>
    </w:lvl>
    <w:lvl w:ilvl="3" w:tplc="850A4104">
      <w:start w:val="1"/>
      <w:numFmt w:val="decimal"/>
      <w:lvlText w:val="%4."/>
      <w:lvlJc w:val="left"/>
      <w:pPr>
        <w:ind w:left="2880" w:hanging="360"/>
      </w:pPr>
    </w:lvl>
    <w:lvl w:ilvl="4" w:tplc="C0B2E956">
      <w:start w:val="1"/>
      <w:numFmt w:val="lowerLetter"/>
      <w:lvlText w:val="%5."/>
      <w:lvlJc w:val="left"/>
      <w:pPr>
        <w:ind w:left="3600" w:hanging="360"/>
      </w:pPr>
    </w:lvl>
    <w:lvl w:ilvl="5" w:tplc="22847080">
      <w:start w:val="1"/>
      <w:numFmt w:val="lowerRoman"/>
      <w:lvlText w:val="%6."/>
      <w:lvlJc w:val="right"/>
      <w:pPr>
        <w:ind w:left="4320" w:hanging="180"/>
      </w:pPr>
    </w:lvl>
    <w:lvl w:ilvl="6" w:tplc="7C427DA8">
      <w:start w:val="1"/>
      <w:numFmt w:val="decimal"/>
      <w:lvlText w:val="%7."/>
      <w:lvlJc w:val="left"/>
      <w:pPr>
        <w:ind w:left="5040" w:hanging="360"/>
      </w:pPr>
    </w:lvl>
    <w:lvl w:ilvl="7" w:tplc="2CF03E96">
      <w:start w:val="1"/>
      <w:numFmt w:val="lowerLetter"/>
      <w:lvlText w:val="%8."/>
      <w:lvlJc w:val="left"/>
      <w:pPr>
        <w:ind w:left="5760" w:hanging="360"/>
      </w:pPr>
    </w:lvl>
    <w:lvl w:ilvl="8" w:tplc="92B4AAD6">
      <w:start w:val="1"/>
      <w:numFmt w:val="lowerRoman"/>
      <w:lvlText w:val="%9."/>
      <w:lvlJc w:val="right"/>
      <w:pPr>
        <w:ind w:left="6480" w:hanging="180"/>
      </w:pPr>
    </w:lvl>
  </w:abstractNum>
  <w:abstractNum w:abstractNumId="20" w15:restartNumberingAfterBreak="0">
    <w:nsid w:val="4A0D3BFA"/>
    <w:multiLevelType w:val="hybridMultilevel"/>
    <w:tmpl w:val="FFFFFFFF"/>
    <w:lvl w:ilvl="0" w:tplc="C2B41CF2">
      <w:start w:val="1"/>
      <w:numFmt w:val="lowerLetter"/>
      <w:lvlText w:val="%1)"/>
      <w:lvlJc w:val="left"/>
      <w:pPr>
        <w:ind w:left="720" w:hanging="360"/>
      </w:pPr>
    </w:lvl>
    <w:lvl w:ilvl="1" w:tplc="BF38602E">
      <w:start w:val="1"/>
      <w:numFmt w:val="lowerLetter"/>
      <w:lvlText w:val="%2."/>
      <w:lvlJc w:val="left"/>
      <w:pPr>
        <w:ind w:left="1440" w:hanging="360"/>
      </w:pPr>
    </w:lvl>
    <w:lvl w:ilvl="2" w:tplc="44247C04">
      <w:start w:val="1"/>
      <w:numFmt w:val="lowerRoman"/>
      <w:lvlText w:val="%3."/>
      <w:lvlJc w:val="right"/>
      <w:pPr>
        <w:ind w:left="2160" w:hanging="180"/>
      </w:pPr>
    </w:lvl>
    <w:lvl w:ilvl="3" w:tplc="17F2E982">
      <w:start w:val="1"/>
      <w:numFmt w:val="decimal"/>
      <w:lvlText w:val="%4."/>
      <w:lvlJc w:val="left"/>
      <w:pPr>
        <w:ind w:left="2880" w:hanging="360"/>
      </w:pPr>
    </w:lvl>
    <w:lvl w:ilvl="4" w:tplc="BC965E8A">
      <w:start w:val="1"/>
      <w:numFmt w:val="lowerLetter"/>
      <w:lvlText w:val="%5."/>
      <w:lvlJc w:val="left"/>
      <w:pPr>
        <w:ind w:left="3600" w:hanging="360"/>
      </w:pPr>
    </w:lvl>
    <w:lvl w:ilvl="5" w:tplc="4260BCE8">
      <w:start w:val="1"/>
      <w:numFmt w:val="lowerRoman"/>
      <w:lvlText w:val="%6."/>
      <w:lvlJc w:val="right"/>
      <w:pPr>
        <w:ind w:left="4320" w:hanging="180"/>
      </w:pPr>
    </w:lvl>
    <w:lvl w:ilvl="6" w:tplc="A98499F8">
      <w:start w:val="1"/>
      <w:numFmt w:val="decimal"/>
      <w:lvlText w:val="%7."/>
      <w:lvlJc w:val="left"/>
      <w:pPr>
        <w:ind w:left="5040" w:hanging="360"/>
      </w:pPr>
    </w:lvl>
    <w:lvl w:ilvl="7" w:tplc="6FC69B62">
      <w:start w:val="1"/>
      <w:numFmt w:val="lowerLetter"/>
      <w:lvlText w:val="%8."/>
      <w:lvlJc w:val="left"/>
      <w:pPr>
        <w:ind w:left="5760" w:hanging="360"/>
      </w:pPr>
    </w:lvl>
    <w:lvl w:ilvl="8" w:tplc="AD0E6C86">
      <w:start w:val="1"/>
      <w:numFmt w:val="lowerRoman"/>
      <w:lvlText w:val="%9."/>
      <w:lvlJc w:val="right"/>
      <w:pPr>
        <w:ind w:left="6480" w:hanging="180"/>
      </w:pPr>
    </w:lvl>
  </w:abstractNum>
  <w:abstractNum w:abstractNumId="21" w15:restartNumberingAfterBreak="0">
    <w:nsid w:val="4A279DA2"/>
    <w:multiLevelType w:val="hybridMultilevel"/>
    <w:tmpl w:val="D13C6174"/>
    <w:lvl w:ilvl="0" w:tplc="00FC1E70">
      <w:start w:val="1"/>
      <w:numFmt w:val="lowerLetter"/>
      <w:lvlText w:val="%1)"/>
      <w:lvlJc w:val="left"/>
      <w:pPr>
        <w:ind w:left="720" w:hanging="360"/>
      </w:pPr>
    </w:lvl>
    <w:lvl w:ilvl="1" w:tplc="FCC016AE">
      <w:start w:val="1"/>
      <w:numFmt w:val="lowerLetter"/>
      <w:lvlText w:val="%2."/>
      <w:lvlJc w:val="left"/>
      <w:pPr>
        <w:ind w:left="1440" w:hanging="360"/>
      </w:pPr>
    </w:lvl>
    <w:lvl w:ilvl="2" w:tplc="8F96E8E8">
      <w:start w:val="1"/>
      <w:numFmt w:val="lowerRoman"/>
      <w:lvlText w:val="%3."/>
      <w:lvlJc w:val="right"/>
      <w:pPr>
        <w:ind w:left="2160" w:hanging="180"/>
      </w:pPr>
    </w:lvl>
    <w:lvl w:ilvl="3" w:tplc="985EF916">
      <w:start w:val="1"/>
      <w:numFmt w:val="decimal"/>
      <w:lvlText w:val="%4."/>
      <w:lvlJc w:val="left"/>
      <w:pPr>
        <w:ind w:left="2880" w:hanging="360"/>
      </w:pPr>
    </w:lvl>
    <w:lvl w:ilvl="4" w:tplc="78001738">
      <w:start w:val="1"/>
      <w:numFmt w:val="lowerLetter"/>
      <w:lvlText w:val="%5."/>
      <w:lvlJc w:val="left"/>
      <w:pPr>
        <w:ind w:left="3600" w:hanging="360"/>
      </w:pPr>
    </w:lvl>
    <w:lvl w:ilvl="5" w:tplc="028E6F84">
      <w:start w:val="1"/>
      <w:numFmt w:val="lowerRoman"/>
      <w:lvlText w:val="%6."/>
      <w:lvlJc w:val="right"/>
      <w:pPr>
        <w:ind w:left="4320" w:hanging="180"/>
      </w:pPr>
    </w:lvl>
    <w:lvl w:ilvl="6" w:tplc="8B7EEA28">
      <w:start w:val="1"/>
      <w:numFmt w:val="decimal"/>
      <w:lvlText w:val="%7."/>
      <w:lvlJc w:val="left"/>
      <w:pPr>
        <w:ind w:left="5040" w:hanging="360"/>
      </w:pPr>
    </w:lvl>
    <w:lvl w:ilvl="7" w:tplc="BA222700">
      <w:start w:val="1"/>
      <w:numFmt w:val="lowerLetter"/>
      <w:lvlText w:val="%8."/>
      <w:lvlJc w:val="left"/>
      <w:pPr>
        <w:ind w:left="5760" w:hanging="360"/>
      </w:pPr>
    </w:lvl>
    <w:lvl w:ilvl="8" w:tplc="8D0ECC2E">
      <w:start w:val="1"/>
      <w:numFmt w:val="lowerRoman"/>
      <w:lvlText w:val="%9."/>
      <w:lvlJc w:val="right"/>
      <w:pPr>
        <w:ind w:left="6480" w:hanging="180"/>
      </w:pPr>
    </w:lvl>
  </w:abstractNum>
  <w:abstractNum w:abstractNumId="22" w15:restartNumberingAfterBreak="0">
    <w:nsid w:val="4CBF4EF5"/>
    <w:multiLevelType w:val="hybridMultilevel"/>
    <w:tmpl w:val="4A425D0C"/>
    <w:lvl w:ilvl="0" w:tplc="FE243ADA">
      <w:start w:val="1"/>
      <w:numFmt w:val="lowerLetter"/>
      <w:lvlText w:val="%1)"/>
      <w:lvlJc w:val="left"/>
      <w:pPr>
        <w:ind w:left="720" w:hanging="360"/>
      </w:pPr>
    </w:lvl>
    <w:lvl w:ilvl="1" w:tplc="14FA0E2C">
      <w:start w:val="1"/>
      <w:numFmt w:val="lowerLetter"/>
      <w:lvlText w:val="%2."/>
      <w:lvlJc w:val="left"/>
      <w:pPr>
        <w:ind w:left="1440" w:hanging="360"/>
      </w:pPr>
    </w:lvl>
    <w:lvl w:ilvl="2" w:tplc="F294D6D2">
      <w:start w:val="1"/>
      <w:numFmt w:val="lowerRoman"/>
      <w:lvlText w:val="%3."/>
      <w:lvlJc w:val="right"/>
      <w:pPr>
        <w:ind w:left="2160" w:hanging="180"/>
      </w:pPr>
    </w:lvl>
    <w:lvl w:ilvl="3" w:tplc="E41CB6C4">
      <w:start w:val="1"/>
      <w:numFmt w:val="decimal"/>
      <w:lvlText w:val="%4."/>
      <w:lvlJc w:val="left"/>
      <w:pPr>
        <w:ind w:left="2880" w:hanging="360"/>
      </w:pPr>
    </w:lvl>
    <w:lvl w:ilvl="4" w:tplc="0FC68714">
      <w:start w:val="1"/>
      <w:numFmt w:val="lowerLetter"/>
      <w:lvlText w:val="%5."/>
      <w:lvlJc w:val="left"/>
      <w:pPr>
        <w:ind w:left="3600" w:hanging="360"/>
      </w:pPr>
    </w:lvl>
    <w:lvl w:ilvl="5" w:tplc="953EF632">
      <w:start w:val="1"/>
      <w:numFmt w:val="lowerRoman"/>
      <w:lvlText w:val="%6."/>
      <w:lvlJc w:val="right"/>
      <w:pPr>
        <w:ind w:left="4320" w:hanging="180"/>
      </w:pPr>
    </w:lvl>
    <w:lvl w:ilvl="6" w:tplc="984C4A6A">
      <w:start w:val="1"/>
      <w:numFmt w:val="decimal"/>
      <w:lvlText w:val="%7."/>
      <w:lvlJc w:val="left"/>
      <w:pPr>
        <w:ind w:left="5040" w:hanging="360"/>
      </w:pPr>
    </w:lvl>
    <w:lvl w:ilvl="7" w:tplc="32040BE0">
      <w:start w:val="1"/>
      <w:numFmt w:val="lowerLetter"/>
      <w:lvlText w:val="%8."/>
      <w:lvlJc w:val="left"/>
      <w:pPr>
        <w:ind w:left="5760" w:hanging="360"/>
      </w:pPr>
    </w:lvl>
    <w:lvl w:ilvl="8" w:tplc="F1F60DD6">
      <w:start w:val="1"/>
      <w:numFmt w:val="lowerRoman"/>
      <w:lvlText w:val="%9."/>
      <w:lvlJc w:val="right"/>
      <w:pPr>
        <w:ind w:left="6480" w:hanging="180"/>
      </w:pPr>
    </w:lvl>
  </w:abstractNum>
  <w:abstractNum w:abstractNumId="23" w15:restartNumberingAfterBreak="0">
    <w:nsid w:val="52FB3D79"/>
    <w:multiLevelType w:val="multilevel"/>
    <w:tmpl w:val="F7AC10B6"/>
    <w:lvl w:ilvl="0">
      <w:start w:val="1"/>
      <w:numFmt w:val="decimal"/>
      <w:pStyle w:val="WSFourthLevelParaNum"/>
      <w:lvlText w:val="%1."/>
      <w:lvlJc w:val="left"/>
      <w:pPr>
        <w:tabs>
          <w:tab w:val="num" w:pos="2880"/>
        </w:tabs>
        <w:ind w:left="28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49193F5"/>
    <w:multiLevelType w:val="hybridMultilevel"/>
    <w:tmpl w:val="FFFFFFFF"/>
    <w:lvl w:ilvl="0" w:tplc="6F80DE16">
      <w:start w:val="1"/>
      <w:numFmt w:val="lowerLetter"/>
      <w:lvlText w:val="%1)"/>
      <w:lvlJc w:val="left"/>
      <w:pPr>
        <w:ind w:left="720" w:hanging="360"/>
      </w:pPr>
    </w:lvl>
    <w:lvl w:ilvl="1" w:tplc="7DDCCB3A">
      <w:start w:val="1"/>
      <w:numFmt w:val="lowerLetter"/>
      <w:lvlText w:val="%2."/>
      <w:lvlJc w:val="left"/>
      <w:pPr>
        <w:ind w:left="1440" w:hanging="360"/>
      </w:pPr>
    </w:lvl>
    <w:lvl w:ilvl="2" w:tplc="0CBCCE1E">
      <w:start w:val="1"/>
      <w:numFmt w:val="lowerRoman"/>
      <w:lvlText w:val="%3."/>
      <w:lvlJc w:val="right"/>
      <w:pPr>
        <w:ind w:left="2160" w:hanging="180"/>
      </w:pPr>
    </w:lvl>
    <w:lvl w:ilvl="3" w:tplc="D91202FE">
      <w:start w:val="1"/>
      <w:numFmt w:val="decimal"/>
      <w:lvlText w:val="%4."/>
      <w:lvlJc w:val="left"/>
      <w:pPr>
        <w:ind w:left="2880" w:hanging="360"/>
      </w:pPr>
    </w:lvl>
    <w:lvl w:ilvl="4" w:tplc="2B12AD66">
      <w:start w:val="1"/>
      <w:numFmt w:val="lowerLetter"/>
      <w:lvlText w:val="%5."/>
      <w:lvlJc w:val="left"/>
      <w:pPr>
        <w:ind w:left="3600" w:hanging="360"/>
      </w:pPr>
    </w:lvl>
    <w:lvl w:ilvl="5" w:tplc="B42223DC">
      <w:start w:val="1"/>
      <w:numFmt w:val="lowerRoman"/>
      <w:lvlText w:val="%6."/>
      <w:lvlJc w:val="right"/>
      <w:pPr>
        <w:ind w:left="4320" w:hanging="180"/>
      </w:pPr>
    </w:lvl>
    <w:lvl w:ilvl="6" w:tplc="305202C4">
      <w:start w:val="1"/>
      <w:numFmt w:val="decimal"/>
      <w:lvlText w:val="%7."/>
      <w:lvlJc w:val="left"/>
      <w:pPr>
        <w:ind w:left="5040" w:hanging="360"/>
      </w:pPr>
    </w:lvl>
    <w:lvl w:ilvl="7" w:tplc="52C8515A">
      <w:start w:val="1"/>
      <w:numFmt w:val="lowerLetter"/>
      <w:lvlText w:val="%8."/>
      <w:lvlJc w:val="left"/>
      <w:pPr>
        <w:ind w:left="5760" w:hanging="360"/>
      </w:pPr>
    </w:lvl>
    <w:lvl w:ilvl="8" w:tplc="83ACE03A">
      <w:start w:val="1"/>
      <w:numFmt w:val="lowerRoman"/>
      <w:lvlText w:val="%9."/>
      <w:lvlJc w:val="right"/>
      <w:pPr>
        <w:ind w:left="6480" w:hanging="180"/>
      </w:pPr>
    </w:lvl>
  </w:abstractNum>
  <w:abstractNum w:abstractNumId="25" w15:restartNumberingAfterBreak="0">
    <w:nsid w:val="54A04EA3"/>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B86646F"/>
    <w:multiLevelType w:val="multilevel"/>
    <w:tmpl w:val="FFFFFFFF"/>
    <w:lvl w:ilvl="0">
      <w:start w:val="1"/>
      <w:numFmt w:val="upperRoman"/>
      <w:lvlText w:val="PART %1 -- "/>
      <w:lvlJc w:val="left"/>
      <w:pPr>
        <w:ind w:left="0" w:firstLine="0"/>
      </w:pPr>
      <w:rPr>
        <w:rFonts w:ascii="Times New Roman" w:hAnsi="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FEB50B2"/>
    <w:multiLevelType w:val="hybridMultilevel"/>
    <w:tmpl w:val="FFFFFFFF"/>
    <w:lvl w:ilvl="0" w:tplc="244C022A">
      <w:start w:val="1"/>
      <w:numFmt w:val="lowerLetter"/>
      <w:lvlText w:val="%1)"/>
      <w:lvlJc w:val="left"/>
      <w:pPr>
        <w:ind w:left="720" w:hanging="360"/>
      </w:pPr>
    </w:lvl>
    <w:lvl w:ilvl="1" w:tplc="6FF20A0C">
      <w:start w:val="1"/>
      <w:numFmt w:val="lowerLetter"/>
      <w:lvlText w:val="%2."/>
      <w:lvlJc w:val="left"/>
      <w:pPr>
        <w:ind w:left="1440" w:hanging="360"/>
      </w:pPr>
    </w:lvl>
    <w:lvl w:ilvl="2" w:tplc="A97A3F0C">
      <w:start w:val="1"/>
      <w:numFmt w:val="lowerRoman"/>
      <w:lvlText w:val="%3."/>
      <w:lvlJc w:val="right"/>
      <w:pPr>
        <w:ind w:left="2160" w:hanging="180"/>
      </w:pPr>
    </w:lvl>
    <w:lvl w:ilvl="3" w:tplc="128CD7C4">
      <w:start w:val="1"/>
      <w:numFmt w:val="decimal"/>
      <w:lvlText w:val="%4."/>
      <w:lvlJc w:val="left"/>
      <w:pPr>
        <w:ind w:left="2880" w:hanging="360"/>
      </w:pPr>
    </w:lvl>
    <w:lvl w:ilvl="4" w:tplc="064AC29E">
      <w:start w:val="1"/>
      <w:numFmt w:val="lowerLetter"/>
      <w:lvlText w:val="%5."/>
      <w:lvlJc w:val="left"/>
      <w:pPr>
        <w:ind w:left="3600" w:hanging="360"/>
      </w:pPr>
    </w:lvl>
    <w:lvl w:ilvl="5" w:tplc="C2F49B3A">
      <w:start w:val="1"/>
      <w:numFmt w:val="lowerRoman"/>
      <w:lvlText w:val="%6."/>
      <w:lvlJc w:val="right"/>
      <w:pPr>
        <w:ind w:left="4320" w:hanging="180"/>
      </w:pPr>
    </w:lvl>
    <w:lvl w:ilvl="6" w:tplc="8430BBD0">
      <w:start w:val="1"/>
      <w:numFmt w:val="decimal"/>
      <w:lvlText w:val="%7."/>
      <w:lvlJc w:val="left"/>
      <w:pPr>
        <w:ind w:left="5040" w:hanging="360"/>
      </w:pPr>
    </w:lvl>
    <w:lvl w:ilvl="7" w:tplc="CFD80F6C">
      <w:start w:val="1"/>
      <w:numFmt w:val="lowerLetter"/>
      <w:lvlText w:val="%8."/>
      <w:lvlJc w:val="left"/>
      <w:pPr>
        <w:ind w:left="5760" w:hanging="360"/>
      </w:pPr>
    </w:lvl>
    <w:lvl w:ilvl="8" w:tplc="ECF2AC8E">
      <w:start w:val="1"/>
      <w:numFmt w:val="lowerRoman"/>
      <w:lvlText w:val="%9."/>
      <w:lvlJc w:val="right"/>
      <w:pPr>
        <w:ind w:left="6480" w:hanging="180"/>
      </w:pPr>
    </w:lvl>
  </w:abstractNum>
  <w:abstractNum w:abstractNumId="28" w15:restartNumberingAfterBreak="0">
    <w:nsid w:val="69C23D32"/>
    <w:multiLevelType w:val="hybridMultilevel"/>
    <w:tmpl w:val="FFFFFFFF"/>
    <w:lvl w:ilvl="0" w:tplc="95F20DF6">
      <w:start w:val="1"/>
      <w:numFmt w:val="lowerRoman"/>
      <w:lvlText w:val="(%1)"/>
      <w:lvlJc w:val="left"/>
      <w:pPr>
        <w:ind w:left="720" w:hanging="360"/>
      </w:pPr>
    </w:lvl>
    <w:lvl w:ilvl="1" w:tplc="F2B24458">
      <w:start w:val="1"/>
      <w:numFmt w:val="lowerLetter"/>
      <w:lvlText w:val="%2."/>
      <w:lvlJc w:val="left"/>
      <w:pPr>
        <w:ind w:left="1440" w:hanging="360"/>
      </w:pPr>
    </w:lvl>
    <w:lvl w:ilvl="2" w:tplc="709696E6">
      <w:start w:val="1"/>
      <w:numFmt w:val="lowerRoman"/>
      <w:lvlText w:val="%3."/>
      <w:lvlJc w:val="right"/>
      <w:pPr>
        <w:ind w:left="2160" w:hanging="180"/>
      </w:pPr>
    </w:lvl>
    <w:lvl w:ilvl="3" w:tplc="62D276AE">
      <w:start w:val="1"/>
      <w:numFmt w:val="decimal"/>
      <w:lvlText w:val="%4."/>
      <w:lvlJc w:val="left"/>
      <w:pPr>
        <w:ind w:left="2880" w:hanging="360"/>
      </w:pPr>
    </w:lvl>
    <w:lvl w:ilvl="4" w:tplc="794A71A8">
      <w:start w:val="1"/>
      <w:numFmt w:val="lowerLetter"/>
      <w:lvlText w:val="%5."/>
      <w:lvlJc w:val="left"/>
      <w:pPr>
        <w:ind w:left="3600" w:hanging="360"/>
      </w:pPr>
    </w:lvl>
    <w:lvl w:ilvl="5" w:tplc="CA0019F6">
      <w:start w:val="1"/>
      <w:numFmt w:val="lowerRoman"/>
      <w:lvlText w:val="%6."/>
      <w:lvlJc w:val="right"/>
      <w:pPr>
        <w:ind w:left="4320" w:hanging="180"/>
      </w:pPr>
    </w:lvl>
    <w:lvl w:ilvl="6" w:tplc="672EB288">
      <w:start w:val="1"/>
      <w:numFmt w:val="decimal"/>
      <w:lvlText w:val="%7."/>
      <w:lvlJc w:val="left"/>
      <w:pPr>
        <w:ind w:left="5040" w:hanging="360"/>
      </w:pPr>
    </w:lvl>
    <w:lvl w:ilvl="7" w:tplc="917A6BFE">
      <w:start w:val="1"/>
      <w:numFmt w:val="lowerLetter"/>
      <w:lvlText w:val="%8."/>
      <w:lvlJc w:val="left"/>
      <w:pPr>
        <w:ind w:left="5760" w:hanging="360"/>
      </w:pPr>
    </w:lvl>
    <w:lvl w:ilvl="8" w:tplc="551C7470">
      <w:start w:val="1"/>
      <w:numFmt w:val="lowerRoman"/>
      <w:lvlText w:val="%9."/>
      <w:lvlJc w:val="right"/>
      <w:pPr>
        <w:ind w:left="6480" w:hanging="180"/>
      </w:pPr>
    </w:lvl>
  </w:abstractNum>
  <w:abstractNum w:abstractNumId="29" w15:restartNumberingAfterBreak="0">
    <w:nsid w:val="6CEDD129"/>
    <w:multiLevelType w:val="hybridMultilevel"/>
    <w:tmpl w:val="FFFFFFFF"/>
    <w:lvl w:ilvl="0" w:tplc="1C568300">
      <w:start w:val="1"/>
      <w:numFmt w:val="lowerLetter"/>
      <w:lvlText w:val="%1)"/>
      <w:lvlJc w:val="left"/>
      <w:pPr>
        <w:ind w:left="720" w:hanging="360"/>
      </w:pPr>
    </w:lvl>
    <w:lvl w:ilvl="1" w:tplc="043A605E">
      <w:start w:val="1"/>
      <w:numFmt w:val="lowerLetter"/>
      <w:lvlText w:val="%2."/>
      <w:lvlJc w:val="left"/>
      <w:pPr>
        <w:ind w:left="1440" w:hanging="360"/>
      </w:pPr>
    </w:lvl>
    <w:lvl w:ilvl="2" w:tplc="65A25700">
      <w:start w:val="1"/>
      <w:numFmt w:val="lowerRoman"/>
      <w:lvlText w:val="%3."/>
      <w:lvlJc w:val="right"/>
      <w:pPr>
        <w:ind w:left="2160" w:hanging="180"/>
      </w:pPr>
    </w:lvl>
    <w:lvl w:ilvl="3" w:tplc="1B6A2F78">
      <w:start w:val="1"/>
      <w:numFmt w:val="decimal"/>
      <w:lvlText w:val="%4."/>
      <w:lvlJc w:val="left"/>
      <w:pPr>
        <w:ind w:left="2880" w:hanging="360"/>
      </w:pPr>
    </w:lvl>
    <w:lvl w:ilvl="4" w:tplc="8448227A">
      <w:start w:val="1"/>
      <w:numFmt w:val="lowerLetter"/>
      <w:lvlText w:val="%5."/>
      <w:lvlJc w:val="left"/>
      <w:pPr>
        <w:ind w:left="3600" w:hanging="360"/>
      </w:pPr>
    </w:lvl>
    <w:lvl w:ilvl="5" w:tplc="2116C170">
      <w:start w:val="1"/>
      <w:numFmt w:val="lowerRoman"/>
      <w:lvlText w:val="%6."/>
      <w:lvlJc w:val="right"/>
      <w:pPr>
        <w:ind w:left="4320" w:hanging="180"/>
      </w:pPr>
    </w:lvl>
    <w:lvl w:ilvl="6" w:tplc="9970F460">
      <w:start w:val="1"/>
      <w:numFmt w:val="decimal"/>
      <w:lvlText w:val="%7."/>
      <w:lvlJc w:val="left"/>
      <w:pPr>
        <w:ind w:left="5040" w:hanging="360"/>
      </w:pPr>
    </w:lvl>
    <w:lvl w:ilvl="7" w:tplc="8A427716">
      <w:start w:val="1"/>
      <w:numFmt w:val="lowerLetter"/>
      <w:lvlText w:val="%8."/>
      <w:lvlJc w:val="left"/>
      <w:pPr>
        <w:ind w:left="5760" w:hanging="360"/>
      </w:pPr>
    </w:lvl>
    <w:lvl w:ilvl="8" w:tplc="1C38157C">
      <w:start w:val="1"/>
      <w:numFmt w:val="lowerRoman"/>
      <w:lvlText w:val="%9."/>
      <w:lvlJc w:val="right"/>
      <w:pPr>
        <w:ind w:left="6480" w:hanging="180"/>
      </w:pPr>
    </w:lvl>
  </w:abstractNum>
  <w:abstractNum w:abstractNumId="30" w15:restartNumberingAfterBreak="0">
    <w:nsid w:val="6F4F1735"/>
    <w:multiLevelType w:val="hybridMultilevel"/>
    <w:tmpl w:val="FFFFFFFF"/>
    <w:lvl w:ilvl="0" w:tplc="9B129090">
      <w:start w:val="1"/>
      <w:numFmt w:val="lowerLetter"/>
      <w:lvlText w:val="(%1)"/>
      <w:lvlJc w:val="left"/>
      <w:pPr>
        <w:ind w:left="720" w:hanging="360"/>
      </w:pPr>
    </w:lvl>
    <w:lvl w:ilvl="1" w:tplc="4E742124">
      <w:start w:val="1"/>
      <w:numFmt w:val="lowerLetter"/>
      <w:lvlText w:val="%2."/>
      <w:lvlJc w:val="left"/>
      <w:pPr>
        <w:ind w:left="1440" w:hanging="360"/>
      </w:pPr>
    </w:lvl>
    <w:lvl w:ilvl="2" w:tplc="D0CA9030">
      <w:start w:val="1"/>
      <w:numFmt w:val="lowerRoman"/>
      <w:lvlText w:val="%3."/>
      <w:lvlJc w:val="right"/>
      <w:pPr>
        <w:ind w:left="2160" w:hanging="180"/>
      </w:pPr>
    </w:lvl>
    <w:lvl w:ilvl="3" w:tplc="FFB097A6">
      <w:start w:val="1"/>
      <w:numFmt w:val="decimal"/>
      <w:lvlText w:val="%4."/>
      <w:lvlJc w:val="left"/>
      <w:pPr>
        <w:ind w:left="2880" w:hanging="360"/>
      </w:pPr>
    </w:lvl>
    <w:lvl w:ilvl="4" w:tplc="67C2F86C">
      <w:start w:val="1"/>
      <w:numFmt w:val="lowerLetter"/>
      <w:lvlText w:val="%5."/>
      <w:lvlJc w:val="left"/>
      <w:pPr>
        <w:ind w:left="3600" w:hanging="360"/>
      </w:pPr>
    </w:lvl>
    <w:lvl w:ilvl="5" w:tplc="DA3EF9BE">
      <w:start w:val="1"/>
      <w:numFmt w:val="lowerRoman"/>
      <w:lvlText w:val="%6."/>
      <w:lvlJc w:val="right"/>
      <w:pPr>
        <w:ind w:left="4320" w:hanging="180"/>
      </w:pPr>
    </w:lvl>
    <w:lvl w:ilvl="6" w:tplc="956E12A6">
      <w:start w:val="1"/>
      <w:numFmt w:val="decimal"/>
      <w:lvlText w:val="%7."/>
      <w:lvlJc w:val="left"/>
      <w:pPr>
        <w:ind w:left="5040" w:hanging="360"/>
      </w:pPr>
    </w:lvl>
    <w:lvl w:ilvl="7" w:tplc="F2B0EA5C">
      <w:start w:val="1"/>
      <w:numFmt w:val="lowerLetter"/>
      <w:lvlText w:val="%8."/>
      <w:lvlJc w:val="left"/>
      <w:pPr>
        <w:ind w:left="5760" w:hanging="360"/>
      </w:pPr>
    </w:lvl>
    <w:lvl w:ilvl="8" w:tplc="5AC6D042">
      <w:start w:val="1"/>
      <w:numFmt w:val="lowerRoman"/>
      <w:lvlText w:val="%9."/>
      <w:lvlJc w:val="right"/>
      <w:pPr>
        <w:ind w:left="6480" w:hanging="180"/>
      </w:pPr>
    </w:lvl>
  </w:abstractNum>
  <w:abstractNum w:abstractNumId="31" w15:restartNumberingAfterBreak="0">
    <w:nsid w:val="72F1056A"/>
    <w:multiLevelType w:val="hybridMultilevel"/>
    <w:tmpl w:val="099877F2"/>
    <w:lvl w:ilvl="0" w:tplc="E05E0E80">
      <w:start w:val="1"/>
      <w:numFmt w:val="decimal"/>
      <w:lvlText w:val="(%1)"/>
      <w:lvlJc w:val="left"/>
      <w:pPr>
        <w:ind w:left="720" w:hanging="360"/>
      </w:pPr>
    </w:lvl>
    <w:lvl w:ilvl="1" w:tplc="BC28FEF2">
      <w:start w:val="1"/>
      <w:numFmt w:val="lowerLetter"/>
      <w:lvlText w:val="%2."/>
      <w:lvlJc w:val="left"/>
      <w:pPr>
        <w:ind w:left="1440" w:hanging="360"/>
      </w:pPr>
    </w:lvl>
    <w:lvl w:ilvl="2" w:tplc="2ED8659A">
      <w:start w:val="1"/>
      <w:numFmt w:val="lowerRoman"/>
      <w:lvlText w:val="%3."/>
      <w:lvlJc w:val="right"/>
      <w:pPr>
        <w:ind w:left="2160" w:hanging="180"/>
      </w:pPr>
    </w:lvl>
    <w:lvl w:ilvl="3" w:tplc="5DA8883E">
      <w:start w:val="1"/>
      <w:numFmt w:val="decimal"/>
      <w:lvlText w:val="%4."/>
      <w:lvlJc w:val="left"/>
      <w:pPr>
        <w:ind w:left="2880" w:hanging="360"/>
      </w:pPr>
    </w:lvl>
    <w:lvl w:ilvl="4" w:tplc="543E613A">
      <w:start w:val="1"/>
      <w:numFmt w:val="lowerLetter"/>
      <w:lvlText w:val="%5."/>
      <w:lvlJc w:val="left"/>
      <w:pPr>
        <w:ind w:left="3600" w:hanging="360"/>
      </w:pPr>
    </w:lvl>
    <w:lvl w:ilvl="5" w:tplc="7632CF44">
      <w:start w:val="1"/>
      <w:numFmt w:val="lowerRoman"/>
      <w:lvlText w:val="%6."/>
      <w:lvlJc w:val="right"/>
      <w:pPr>
        <w:ind w:left="4320" w:hanging="180"/>
      </w:pPr>
    </w:lvl>
    <w:lvl w:ilvl="6" w:tplc="DE2267DA">
      <w:start w:val="1"/>
      <w:numFmt w:val="decimal"/>
      <w:lvlText w:val="%7."/>
      <w:lvlJc w:val="left"/>
      <w:pPr>
        <w:ind w:left="5040" w:hanging="360"/>
      </w:pPr>
    </w:lvl>
    <w:lvl w:ilvl="7" w:tplc="9FACFDC6">
      <w:start w:val="1"/>
      <w:numFmt w:val="lowerLetter"/>
      <w:lvlText w:val="%8."/>
      <w:lvlJc w:val="left"/>
      <w:pPr>
        <w:ind w:left="5760" w:hanging="360"/>
      </w:pPr>
    </w:lvl>
    <w:lvl w:ilvl="8" w:tplc="48FC59C8">
      <w:start w:val="1"/>
      <w:numFmt w:val="lowerRoman"/>
      <w:lvlText w:val="%9."/>
      <w:lvlJc w:val="right"/>
      <w:pPr>
        <w:ind w:left="6480" w:hanging="180"/>
      </w:pPr>
    </w:lvl>
  </w:abstractNum>
  <w:abstractNum w:abstractNumId="32" w15:restartNumberingAfterBreak="0">
    <w:nsid w:val="75E35B8D"/>
    <w:multiLevelType w:val="hybridMultilevel"/>
    <w:tmpl w:val="308CF67C"/>
    <w:lvl w:ilvl="0" w:tplc="FFFFFFFF">
      <w:start w:val="1"/>
      <w:numFmt w:val="decimal"/>
      <w:pStyle w:val="WSParaNum"/>
      <w:lvlText w:val="%1."/>
      <w:lvlJc w:val="left"/>
      <w:pPr>
        <w:tabs>
          <w:tab w:val="num" w:pos="720"/>
        </w:tabs>
        <w:ind w:left="0" w:firstLine="0"/>
      </w:pPr>
      <w:rPr>
        <w:color w:val="auto"/>
      </w:rPr>
    </w:lvl>
    <w:lvl w:ilvl="1" w:tplc="D3C6FD74">
      <w:start w:val="1"/>
      <w:numFmt w:val="decimal"/>
      <w:lvlText w:val="(%2)"/>
      <w:lvlJc w:val="left"/>
      <w:pPr>
        <w:tabs>
          <w:tab w:val="num" w:pos="720"/>
        </w:tabs>
        <w:ind w:left="720" w:hanging="360"/>
      </w:pPr>
    </w:lvl>
    <w:lvl w:ilvl="2" w:tplc="DF0A3324">
      <w:start w:val="1"/>
      <w:numFmt w:val="lowerRoman"/>
      <w:lvlText w:val="%3."/>
      <w:lvlJc w:val="left"/>
      <w:pPr>
        <w:tabs>
          <w:tab w:val="num" w:pos="1080"/>
        </w:tabs>
        <w:ind w:left="1080" w:hanging="360"/>
      </w:pPr>
    </w:lvl>
    <w:lvl w:ilvl="3" w:tplc="4D1E0E18">
      <w:start w:val="1"/>
      <w:numFmt w:val="decimal"/>
      <w:lvlText w:val="(%4)"/>
      <w:lvlJc w:val="left"/>
      <w:pPr>
        <w:tabs>
          <w:tab w:val="num" w:pos="1440"/>
        </w:tabs>
        <w:ind w:left="1440" w:hanging="360"/>
      </w:pPr>
    </w:lvl>
    <w:lvl w:ilvl="4" w:tplc="020AB008">
      <w:start w:val="1"/>
      <w:numFmt w:val="lowerLetter"/>
      <w:lvlText w:val="(%5)"/>
      <w:lvlJc w:val="left"/>
      <w:pPr>
        <w:tabs>
          <w:tab w:val="num" w:pos="1800"/>
        </w:tabs>
        <w:ind w:left="1800" w:hanging="360"/>
      </w:pPr>
    </w:lvl>
    <w:lvl w:ilvl="5" w:tplc="8E3E57BE">
      <w:start w:val="1"/>
      <w:numFmt w:val="lowerRoman"/>
      <w:lvlText w:val="(%6)"/>
      <w:lvlJc w:val="left"/>
      <w:pPr>
        <w:tabs>
          <w:tab w:val="num" w:pos="2160"/>
        </w:tabs>
        <w:ind w:left="2160" w:hanging="360"/>
      </w:pPr>
    </w:lvl>
    <w:lvl w:ilvl="6" w:tplc="847AC90C">
      <w:start w:val="1"/>
      <w:numFmt w:val="decimal"/>
      <w:lvlText w:val="%7."/>
      <w:lvlJc w:val="left"/>
      <w:pPr>
        <w:tabs>
          <w:tab w:val="num" w:pos="2520"/>
        </w:tabs>
        <w:ind w:left="2520" w:hanging="360"/>
      </w:pPr>
    </w:lvl>
    <w:lvl w:ilvl="7" w:tplc="4724BA1E">
      <w:start w:val="1"/>
      <w:numFmt w:val="lowerLetter"/>
      <w:lvlText w:val="%8."/>
      <w:lvlJc w:val="left"/>
      <w:pPr>
        <w:tabs>
          <w:tab w:val="num" w:pos="2880"/>
        </w:tabs>
        <w:ind w:left="2880" w:hanging="360"/>
      </w:pPr>
    </w:lvl>
    <w:lvl w:ilvl="8" w:tplc="BAF85E64">
      <w:start w:val="1"/>
      <w:numFmt w:val="lowerRoman"/>
      <w:lvlText w:val="%9."/>
      <w:lvlJc w:val="left"/>
      <w:pPr>
        <w:tabs>
          <w:tab w:val="num" w:pos="3240"/>
        </w:tabs>
        <w:ind w:left="3240" w:hanging="360"/>
      </w:pPr>
    </w:lvl>
  </w:abstractNum>
  <w:abstractNum w:abstractNumId="33" w15:restartNumberingAfterBreak="0">
    <w:nsid w:val="765459CA"/>
    <w:multiLevelType w:val="hybridMultilevel"/>
    <w:tmpl w:val="FFFFFFFF"/>
    <w:lvl w:ilvl="0" w:tplc="67B29CD2">
      <w:start w:val="1"/>
      <w:numFmt w:val="upperLetter"/>
      <w:lvlText w:val="(%1)"/>
      <w:lvlJc w:val="left"/>
      <w:pPr>
        <w:ind w:left="720" w:hanging="360"/>
      </w:pPr>
    </w:lvl>
    <w:lvl w:ilvl="1" w:tplc="9446AE50">
      <w:start w:val="1"/>
      <w:numFmt w:val="lowerLetter"/>
      <w:lvlText w:val="%2."/>
      <w:lvlJc w:val="left"/>
      <w:pPr>
        <w:ind w:left="1440" w:hanging="360"/>
      </w:pPr>
    </w:lvl>
    <w:lvl w:ilvl="2" w:tplc="AAD89FEC">
      <w:start w:val="1"/>
      <w:numFmt w:val="lowerRoman"/>
      <w:lvlText w:val="%3."/>
      <w:lvlJc w:val="right"/>
      <w:pPr>
        <w:ind w:left="2160" w:hanging="180"/>
      </w:pPr>
    </w:lvl>
    <w:lvl w:ilvl="3" w:tplc="885251BA">
      <w:start w:val="1"/>
      <w:numFmt w:val="decimal"/>
      <w:lvlText w:val="%4."/>
      <w:lvlJc w:val="left"/>
      <w:pPr>
        <w:ind w:left="2880" w:hanging="360"/>
      </w:pPr>
    </w:lvl>
    <w:lvl w:ilvl="4" w:tplc="B4BC33F4">
      <w:start w:val="1"/>
      <w:numFmt w:val="lowerLetter"/>
      <w:lvlText w:val="%5."/>
      <w:lvlJc w:val="left"/>
      <w:pPr>
        <w:ind w:left="3600" w:hanging="360"/>
      </w:pPr>
    </w:lvl>
    <w:lvl w:ilvl="5" w:tplc="7B6AFD8A">
      <w:start w:val="1"/>
      <w:numFmt w:val="lowerRoman"/>
      <w:lvlText w:val="%6."/>
      <w:lvlJc w:val="right"/>
      <w:pPr>
        <w:ind w:left="4320" w:hanging="180"/>
      </w:pPr>
    </w:lvl>
    <w:lvl w:ilvl="6" w:tplc="487063D4">
      <w:start w:val="1"/>
      <w:numFmt w:val="decimal"/>
      <w:lvlText w:val="%7."/>
      <w:lvlJc w:val="left"/>
      <w:pPr>
        <w:ind w:left="5040" w:hanging="360"/>
      </w:pPr>
    </w:lvl>
    <w:lvl w:ilvl="7" w:tplc="12467250">
      <w:start w:val="1"/>
      <w:numFmt w:val="lowerLetter"/>
      <w:lvlText w:val="%8."/>
      <w:lvlJc w:val="left"/>
      <w:pPr>
        <w:ind w:left="5760" w:hanging="360"/>
      </w:pPr>
    </w:lvl>
    <w:lvl w:ilvl="8" w:tplc="DEA85AD8">
      <w:start w:val="1"/>
      <w:numFmt w:val="lowerRoman"/>
      <w:lvlText w:val="%9."/>
      <w:lvlJc w:val="right"/>
      <w:pPr>
        <w:ind w:left="6480" w:hanging="180"/>
      </w:pPr>
    </w:lvl>
  </w:abstractNum>
  <w:abstractNum w:abstractNumId="34" w15:restartNumberingAfterBreak="0">
    <w:nsid w:val="777501DB"/>
    <w:multiLevelType w:val="hybridMultilevel"/>
    <w:tmpl w:val="FFFFFFFF"/>
    <w:lvl w:ilvl="0" w:tplc="2FE000AA">
      <w:start w:val="1"/>
      <w:numFmt w:val="lowerLetter"/>
      <w:lvlText w:val="%1)"/>
      <w:lvlJc w:val="left"/>
      <w:pPr>
        <w:ind w:left="720" w:hanging="360"/>
      </w:pPr>
    </w:lvl>
    <w:lvl w:ilvl="1" w:tplc="DD5A55E2">
      <w:start w:val="1"/>
      <w:numFmt w:val="lowerLetter"/>
      <w:lvlText w:val="%2."/>
      <w:lvlJc w:val="left"/>
      <w:pPr>
        <w:ind w:left="1440" w:hanging="360"/>
      </w:pPr>
    </w:lvl>
    <w:lvl w:ilvl="2" w:tplc="4132783A">
      <w:start w:val="1"/>
      <w:numFmt w:val="lowerRoman"/>
      <w:lvlText w:val="%3."/>
      <w:lvlJc w:val="right"/>
      <w:pPr>
        <w:ind w:left="2160" w:hanging="180"/>
      </w:pPr>
    </w:lvl>
    <w:lvl w:ilvl="3" w:tplc="A3FC99D4">
      <w:start w:val="1"/>
      <w:numFmt w:val="decimal"/>
      <w:lvlText w:val="%4."/>
      <w:lvlJc w:val="left"/>
      <w:pPr>
        <w:ind w:left="2880" w:hanging="360"/>
      </w:pPr>
    </w:lvl>
    <w:lvl w:ilvl="4" w:tplc="BEAA1EA2">
      <w:start w:val="1"/>
      <w:numFmt w:val="lowerLetter"/>
      <w:lvlText w:val="%5."/>
      <w:lvlJc w:val="left"/>
      <w:pPr>
        <w:ind w:left="3600" w:hanging="360"/>
      </w:pPr>
    </w:lvl>
    <w:lvl w:ilvl="5" w:tplc="9E76C3DC">
      <w:start w:val="1"/>
      <w:numFmt w:val="lowerRoman"/>
      <w:lvlText w:val="%6."/>
      <w:lvlJc w:val="right"/>
      <w:pPr>
        <w:ind w:left="4320" w:hanging="180"/>
      </w:pPr>
    </w:lvl>
    <w:lvl w:ilvl="6" w:tplc="8A461D8C">
      <w:start w:val="1"/>
      <w:numFmt w:val="decimal"/>
      <w:lvlText w:val="%7."/>
      <w:lvlJc w:val="left"/>
      <w:pPr>
        <w:ind w:left="5040" w:hanging="360"/>
      </w:pPr>
    </w:lvl>
    <w:lvl w:ilvl="7" w:tplc="004847B0">
      <w:start w:val="1"/>
      <w:numFmt w:val="lowerLetter"/>
      <w:lvlText w:val="%8."/>
      <w:lvlJc w:val="left"/>
      <w:pPr>
        <w:ind w:left="5760" w:hanging="360"/>
      </w:pPr>
    </w:lvl>
    <w:lvl w:ilvl="8" w:tplc="8CEEF432">
      <w:start w:val="1"/>
      <w:numFmt w:val="lowerRoman"/>
      <w:lvlText w:val="%9."/>
      <w:lvlJc w:val="right"/>
      <w:pPr>
        <w:ind w:left="6480" w:hanging="180"/>
      </w:pPr>
    </w:lvl>
  </w:abstractNum>
  <w:abstractNum w:abstractNumId="35" w15:restartNumberingAfterBreak="0">
    <w:nsid w:val="7DEA3F27"/>
    <w:multiLevelType w:val="multilevel"/>
    <w:tmpl w:val="D680A0B8"/>
    <w:lvl w:ilvl="0">
      <w:start w:val="1"/>
      <w:numFmt w:val="upperRoman"/>
      <w:pStyle w:val="Heading1"/>
      <w:suff w:val="nothing"/>
      <w:lvlText w:val="PART %1 -- "/>
      <w:lvlJc w:val="left"/>
      <w:pPr>
        <w:ind w:left="0" w:firstLine="0"/>
      </w:pPr>
      <w:rPr>
        <w:rFonts w:ascii="Times New Roman" w:hAnsi="Times New Roman" w:hint="default"/>
        <w:b/>
        <w:i w:val="0"/>
        <w:sz w:val="24"/>
      </w:rPr>
    </w:lvl>
    <w:lvl w:ilvl="1">
      <w:start w:val="1"/>
      <w:numFmt w:val="upperLetter"/>
      <w:pStyle w:val="Heading2"/>
      <w:lvlText w:val="%2."/>
      <w:lvlJc w:val="left"/>
      <w:pPr>
        <w:ind w:left="720" w:hanging="720"/>
      </w:pPr>
      <w:rPr>
        <w:rFonts w:ascii="Times New Roman" w:hAnsi="Times New Roman" w:hint="default"/>
        <w:b/>
        <w:i w:val="0"/>
        <w:sz w:val="24"/>
      </w:rPr>
    </w:lvl>
    <w:lvl w:ilvl="2">
      <w:start w:val="1"/>
      <w:numFmt w:val="lowerRoman"/>
      <w:pStyle w:val="Heading3"/>
      <w:lvlText w:val="(%3)"/>
      <w:lvlJc w:val="left"/>
      <w:pPr>
        <w:ind w:left="720" w:hanging="720"/>
      </w:pPr>
      <w:rPr>
        <w:rFonts w:ascii="Times New Roman" w:hAnsi="Times New Roman" w:hint="default"/>
        <w:b w:val="0"/>
        <w:i w:val="0"/>
        <w:sz w:val="24"/>
      </w:rPr>
    </w:lvl>
    <w:lvl w:ilvl="3">
      <w:start w:val="1"/>
      <w:numFmt w:val="lowerLetter"/>
      <w:pStyle w:val="Heading4"/>
      <w:lvlText w:val="(%4)"/>
      <w:lvlJc w:val="left"/>
      <w:pPr>
        <w:ind w:left="720" w:hanging="720"/>
      </w:pPr>
      <w:rPr>
        <w:rFonts w:ascii="Times New Roman" w:hAnsi="Times New Roman" w:hint="default"/>
        <w:b w:val="0"/>
        <w:i/>
        <w:sz w:val="24"/>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16cid:durableId="454102814">
    <w:abstractNumId w:val="5"/>
  </w:num>
  <w:num w:numId="2" w16cid:durableId="1337537228">
    <w:abstractNumId w:val="8"/>
  </w:num>
  <w:num w:numId="3" w16cid:durableId="1914005937">
    <w:abstractNumId w:val="11"/>
  </w:num>
  <w:num w:numId="4" w16cid:durableId="666446432">
    <w:abstractNumId w:val="18"/>
  </w:num>
  <w:num w:numId="5" w16cid:durableId="1999572604">
    <w:abstractNumId w:val="21"/>
  </w:num>
  <w:num w:numId="6" w16cid:durableId="1636176915">
    <w:abstractNumId w:val="22"/>
  </w:num>
  <w:num w:numId="7" w16cid:durableId="567762202">
    <w:abstractNumId w:val="19"/>
  </w:num>
  <w:num w:numId="8" w16cid:durableId="20861781">
    <w:abstractNumId w:val="1"/>
  </w:num>
  <w:num w:numId="9" w16cid:durableId="208802096">
    <w:abstractNumId w:val="31"/>
  </w:num>
  <w:num w:numId="10" w16cid:durableId="1057626692">
    <w:abstractNumId w:val="4"/>
  </w:num>
  <w:num w:numId="11" w16cid:durableId="188420090">
    <w:abstractNumId w:val="12"/>
  </w:num>
  <w:num w:numId="12" w16cid:durableId="968171174">
    <w:abstractNumId w:val="28"/>
  </w:num>
  <w:num w:numId="13" w16cid:durableId="494222061">
    <w:abstractNumId w:val="3"/>
  </w:num>
  <w:num w:numId="14" w16cid:durableId="2052531612">
    <w:abstractNumId w:val="35"/>
  </w:num>
  <w:num w:numId="15" w16cid:durableId="1560701527">
    <w:abstractNumId w:val="25"/>
  </w:num>
  <w:num w:numId="16" w16cid:durableId="1141731725">
    <w:abstractNumId w:val="23"/>
  </w:num>
  <w:num w:numId="17" w16cid:durableId="626357944">
    <w:abstractNumId w:val="32"/>
  </w:num>
  <w:num w:numId="18" w16cid:durableId="334308152">
    <w:abstractNumId w:val="10"/>
  </w:num>
  <w:num w:numId="19" w16cid:durableId="955404888">
    <w:abstractNumId w:val="13"/>
  </w:num>
  <w:num w:numId="20" w16cid:durableId="258030592">
    <w:abstractNumId w:val="26"/>
  </w:num>
  <w:num w:numId="21" w16cid:durableId="244800928">
    <w:abstractNumId w:val="6"/>
  </w:num>
  <w:num w:numId="22" w16cid:durableId="754208849">
    <w:abstractNumId w:val="17"/>
  </w:num>
  <w:num w:numId="23" w16cid:durableId="1198742706">
    <w:abstractNumId w:val="14"/>
  </w:num>
  <w:num w:numId="24" w16cid:durableId="1701935137">
    <w:abstractNumId w:val="33"/>
  </w:num>
  <w:num w:numId="25" w16cid:durableId="616956254">
    <w:abstractNumId w:val="27"/>
  </w:num>
  <w:num w:numId="26" w16cid:durableId="1333145909">
    <w:abstractNumId w:val="0"/>
  </w:num>
  <w:num w:numId="27" w16cid:durableId="256983701">
    <w:abstractNumId w:val="29"/>
  </w:num>
  <w:num w:numId="28" w16cid:durableId="907420464">
    <w:abstractNumId w:val="9"/>
  </w:num>
  <w:num w:numId="29" w16cid:durableId="339430416">
    <w:abstractNumId w:val="15"/>
  </w:num>
  <w:num w:numId="30" w16cid:durableId="855995696">
    <w:abstractNumId w:val="24"/>
  </w:num>
  <w:num w:numId="31" w16cid:durableId="1747218941">
    <w:abstractNumId w:val="30"/>
  </w:num>
  <w:num w:numId="32" w16cid:durableId="1238054011">
    <w:abstractNumId w:val="2"/>
  </w:num>
  <w:num w:numId="33" w16cid:durableId="372585867">
    <w:abstractNumId w:val="34"/>
  </w:num>
  <w:num w:numId="34" w16cid:durableId="480077779">
    <w:abstractNumId w:val="16"/>
  </w:num>
  <w:num w:numId="35" w16cid:durableId="2064451504">
    <w:abstractNumId w:val="20"/>
  </w:num>
  <w:num w:numId="36" w16cid:durableId="802772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rawingGridHorizontalSpacing w:val="120"/>
  <w:displayHorizontalDrawingGridEvery w:val="2"/>
  <w:noPunctuationKerning/>
  <w:characterSpacingControl w:val="doNotCompress"/>
  <w:hdrShapeDefaults>
    <o:shapedefaults v:ext="edit" spidmax="205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ndGeneratedStamp" w:val="1415-6005-7883, v. 1"/>
    <w:docVar w:name="ndGeneratedStampLocation" w:val="LastPage"/>
  </w:docVars>
  <w:rsids>
    <w:rsidRoot w:val="00982941"/>
    <w:rsid w:val="0000021E"/>
    <w:rsid w:val="0000033C"/>
    <w:rsid w:val="000005ED"/>
    <w:rsid w:val="00000EAF"/>
    <w:rsid w:val="000011C6"/>
    <w:rsid w:val="000015B3"/>
    <w:rsid w:val="0000163F"/>
    <w:rsid w:val="00001770"/>
    <w:rsid w:val="00002154"/>
    <w:rsid w:val="00002665"/>
    <w:rsid w:val="00002AB9"/>
    <w:rsid w:val="00003AB4"/>
    <w:rsid w:val="00003F64"/>
    <w:rsid w:val="00004511"/>
    <w:rsid w:val="00004D29"/>
    <w:rsid w:val="00004F37"/>
    <w:rsid w:val="0000516A"/>
    <w:rsid w:val="00005568"/>
    <w:rsid w:val="0000559B"/>
    <w:rsid w:val="00005A0F"/>
    <w:rsid w:val="00005CB5"/>
    <w:rsid w:val="00005E51"/>
    <w:rsid w:val="0000629F"/>
    <w:rsid w:val="000062B9"/>
    <w:rsid w:val="00006A2C"/>
    <w:rsid w:val="00006C2A"/>
    <w:rsid w:val="00007647"/>
    <w:rsid w:val="000077AA"/>
    <w:rsid w:val="00007831"/>
    <w:rsid w:val="000079C4"/>
    <w:rsid w:val="0001023F"/>
    <w:rsid w:val="0001047F"/>
    <w:rsid w:val="0001099A"/>
    <w:rsid w:val="00010D66"/>
    <w:rsid w:val="00010F12"/>
    <w:rsid w:val="00011552"/>
    <w:rsid w:val="00011765"/>
    <w:rsid w:val="0001224D"/>
    <w:rsid w:val="0001246C"/>
    <w:rsid w:val="000124E9"/>
    <w:rsid w:val="00012974"/>
    <w:rsid w:val="00012C9B"/>
    <w:rsid w:val="000130F2"/>
    <w:rsid w:val="000133AD"/>
    <w:rsid w:val="000135D2"/>
    <w:rsid w:val="000137FF"/>
    <w:rsid w:val="00013895"/>
    <w:rsid w:val="00013A88"/>
    <w:rsid w:val="00013BE8"/>
    <w:rsid w:val="00013D40"/>
    <w:rsid w:val="00013D70"/>
    <w:rsid w:val="00014015"/>
    <w:rsid w:val="0001426D"/>
    <w:rsid w:val="000143D1"/>
    <w:rsid w:val="00014BB1"/>
    <w:rsid w:val="00014BD8"/>
    <w:rsid w:val="00014CBF"/>
    <w:rsid w:val="00014E41"/>
    <w:rsid w:val="0001540E"/>
    <w:rsid w:val="000159DB"/>
    <w:rsid w:val="00015F8F"/>
    <w:rsid w:val="00016025"/>
    <w:rsid w:val="00016136"/>
    <w:rsid w:val="00016D7F"/>
    <w:rsid w:val="00016DCB"/>
    <w:rsid w:val="000176F3"/>
    <w:rsid w:val="000178AE"/>
    <w:rsid w:val="000178C2"/>
    <w:rsid w:val="0002006D"/>
    <w:rsid w:val="000205B2"/>
    <w:rsid w:val="000209E4"/>
    <w:rsid w:val="000211A6"/>
    <w:rsid w:val="000213F2"/>
    <w:rsid w:val="00021B65"/>
    <w:rsid w:val="00021B67"/>
    <w:rsid w:val="000221EA"/>
    <w:rsid w:val="0002231F"/>
    <w:rsid w:val="0002234A"/>
    <w:rsid w:val="0002235A"/>
    <w:rsid w:val="00022874"/>
    <w:rsid w:val="000229C1"/>
    <w:rsid w:val="00022A49"/>
    <w:rsid w:val="00022C40"/>
    <w:rsid w:val="00023451"/>
    <w:rsid w:val="0002377E"/>
    <w:rsid w:val="00023C7A"/>
    <w:rsid w:val="00023D2B"/>
    <w:rsid w:val="00023D93"/>
    <w:rsid w:val="00024429"/>
    <w:rsid w:val="00024730"/>
    <w:rsid w:val="00025006"/>
    <w:rsid w:val="0002510C"/>
    <w:rsid w:val="000253BF"/>
    <w:rsid w:val="000253CC"/>
    <w:rsid w:val="00025589"/>
    <w:rsid w:val="000259DA"/>
    <w:rsid w:val="00025EA4"/>
    <w:rsid w:val="00025F2F"/>
    <w:rsid w:val="00025FE2"/>
    <w:rsid w:val="000261A1"/>
    <w:rsid w:val="00026EA6"/>
    <w:rsid w:val="000271A7"/>
    <w:rsid w:val="000273F0"/>
    <w:rsid w:val="0002765C"/>
    <w:rsid w:val="0002789B"/>
    <w:rsid w:val="000279F2"/>
    <w:rsid w:val="00030786"/>
    <w:rsid w:val="00030C25"/>
    <w:rsid w:val="000310CF"/>
    <w:rsid w:val="00031F01"/>
    <w:rsid w:val="00032A14"/>
    <w:rsid w:val="00032A32"/>
    <w:rsid w:val="00032B48"/>
    <w:rsid w:val="00033719"/>
    <w:rsid w:val="0003380A"/>
    <w:rsid w:val="0003387F"/>
    <w:rsid w:val="00033CE6"/>
    <w:rsid w:val="00033D70"/>
    <w:rsid w:val="00033E22"/>
    <w:rsid w:val="0003400A"/>
    <w:rsid w:val="0003448B"/>
    <w:rsid w:val="000344FC"/>
    <w:rsid w:val="0003480A"/>
    <w:rsid w:val="00034B92"/>
    <w:rsid w:val="0003533E"/>
    <w:rsid w:val="00035A94"/>
    <w:rsid w:val="0003609F"/>
    <w:rsid w:val="00036329"/>
    <w:rsid w:val="0003639A"/>
    <w:rsid w:val="0003660F"/>
    <w:rsid w:val="0003687C"/>
    <w:rsid w:val="00036FDA"/>
    <w:rsid w:val="0003708F"/>
    <w:rsid w:val="000370B2"/>
    <w:rsid w:val="00037156"/>
    <w:rsid w:val="000371E0"/>
    <w:rsid w:val="000373F8"/>
    <w:rsid w:val="0003769F"/>
    <w:rsid w:val="00037BFB"/>
    <w:rsid w:val="0004016E"/>
    <w:rsid w:val="00041002"/>
    <w:rsid w:val="0004112F"/>
    <w:rsid w:val="000412D4"/>
    <w:rsid w:val="000421FD"/>
    <w:rsid w:val="0004248F"/>
    <w:rsid w:val="000426B9"/>
    <w:rsid w:val="00042733"/>
    <w:rsid w:val="00042831"/>
    <w:rsid w:val="00042E69"/>
    <w:rsid w:val="00043E7D"/>
    <w:rsid w:val="00043FD4"/>
    <w:rsid w:val="000440CC"/>
    <w:rsid w:val="00044694"/>
    <w:rsid w:val="00044877"/>
    <w:rsid w:val="00045146"/>
    <w:rsid w:val="000452FE"/>
    <w:rsid w:val="0004545E"/>
    <w:rsid w:val="00045956"/>
    <w:rsid w:val="00045CFE"/>
    <w:rsid w:val="00045F15"/>
    <w:rsid w:val="00046376"/>
    <w:rsid w:val="000465C2"/>
    <w:rsid w:val="00047B18"/>
    <w:rsid w:val="00047C04"/>
    <w:rsid w:val="0005035B"/>
    <w:rsid w:val="00050628"/>
    <w:rsid w:val="00050ABF"/>
    <w:rsid w:val="000511CC"/>
    <w:rsid w:val="00051404"/>
    <w:rsid w:val="000514D8"/>
    <w:rsid w:val="000516F7"/>
    <w:rsid w:val="00051747"/>
    <w:rsid w:val="00051772"/>
    <w:rsid w:val="000522ED"/>
    <w:rsid w:val="0005255C"/>
    <w:rsid w:val="000529B3"/>
    <w:rsid w:val="00052A69"/>
    <w:rsid w:val="00052F46"/>
    <w:rsid w:val="000533AB"/>
    <w:rsid w:val="00053422"/>
    <w:rsid w:val="0005393C"/>
    <w:rsid w:val="00053A62"/>
    <w:rsid w:val="00054389"/>
    <w:rsid w:val="0005462F"/>
    <w:rsid w:val="000548C6"/>
    <w:rsid w:val="00054E0B"/>
    <w:rsid w:val="00054FB9"/>
    <w:rsid w:val="00055423"/>
    <w:rsid w:val="000555DD"/>
    <w:rsid w:val="000557F1"/>
    <w:rsid w:val="00055C81"/>
    <w:rsid w:val="000563B4"/>
    <w:rsid w:val="0005649D"/>
    <w:rsid w:val="00056505"/>
    <w:rsid w:val="0005680B"/>
    <w:rsid w:val="000568A2"/>
    <w:rsid w:val="000569A8"/>
    <w:rsid w:val="00056A12"/>
    <w:rsid w:val="00056EC2"/>
    <w:rsid w:val="000571E4"/>
    <w:rsid w:val="00057465"/>
    <w:rsid w:val="000575B3"/>
    <w:rsid w:val="00057910"/>
    <w:rsid w:val="00057A6A"/>
    <w:rsid w:val="00057B28"/>
    <w:rsid w:val="00057CB6"/>
    <w:rsid w:val="00060209"/>
    <w:rsid w:val="00060A1A"/>
    <w:rsid w:val="00060CA2"/>
    <w:rsid w:val="00060E12"/>
    <w:rsid w:val="000612EB"/>
    <w:rsid w:val="00061D8F"/>
    <w:rsid w:val="0006218A"/>
    <w:rsid w:val="00062205"/>
    <w:rsid w:val="000623D3"/>
    <w:rsid w:val="00062615"/>
    <w:rsid w:val="000627B4"/>
    <w:rsid w:val="000627E7"/>
    <w:rsid w:val="0006282E"/>
    <w:rsid w:val="00062E12"/>
    <w:rsid w:val="00062FF8"/>
    <w:rsid w:val="00063038"/>
    <w:rsid w:val="0006329E"/>
    <w:rsid w:val="000636E5"/>
    <w:rsid w:val="00063963"/>
    <w:rsid w:val="00063CDA"/>
    <w:rsid w:val="00063EF6"/>
    <w:rsid w:val="00063EFD"/>
    <w:rsid w:val="00063FBD"/>
    <w:rsid w:val="000645AB"/>
    <w:rsid w:val="000646B7"/>
    <w:rsid w:val="00064946"/>
    <w:rsid w:val="00065DD4"/>
    <w:rsid w:val="00065E6A"/>
    <w:rsid w:val="00066233"/>
    <w:rsid w:val="000662A7"/>
    <w:rsid w:val="00066327"/>
    <w:rsid w:val="00066334"/>
    <w:rsid w:val="00066EA4"/>
    <w:rsid w:val="000670EC"/>
    <w:rsid w:val="0006756C"/>
    <w:rsid w:val="00067DE5"/>
    <w:rsid w:val="00067E4A"/>
    <w:rsid w:val="00067EB2"/>
    <w:rsid w:val="00067F30"/>
    <w:rsid w:val="0007000B"/>
    <w:rsid w:val="00070337"/>
    <w:rsid w:val="00070493"/>
    <w:rsid w:val="0007098C"/>
    <w:rsid w:val="0007134F"/>
    <w:rsid w:val="00071374"/>
    <w:rsid w:val="00071EB0"/>
    <w:rsid w:val="00071F79"/>
    <w:rsid w:val="00072160"/>
    <w:rsid w:val="00072201"/>
    <w:rsid w:val="000725C8"/>
    <w:rsid w:val="000725D4"/>
    <w:rsid w:val="000726D9"/>
    <w:rsid w:val="00072B9F"/>
    <w:rsid w:val="00073071"/>
    <w:rsid w:val="0007397F"/>
    <w:rsid w:val="000739A9"/>
    <w:rsid w:val="00073DD4"/>
    <w:rsid w:val="00073EC6"/>
    <w:rsid w:val="00074029"/>
    <w:rsid w:val="00074265"/>
    <w:rsid w:val="000745C8"/>
    <w:rsid w:val="00074612"/>
    <w:rsid w:val="00075804"/>
    <w:rsid w:val="00075A0F"/>
    <w:rsid w:val="00075A62"/>
    <w:rsid w:val="00076AD9"/>
    <w:rsid w:val="00077712"/>
    <w:rsid w:val="00077B3F"/>
    <w:rsid w:val="00077B64"/>
    <w:rsid w:val="00077E9A"/>
    <w:rsid w:val="00077F14"/>
    <w:rsid w:val="000805A7"/>
    <w:rsid w:val="000805AC"/>
    <w:rsid w:val="00080C92"/>
    <w:rsid w:val="00080D8C"/>
    <w:rsid w:val="00080F9A"/>
    <w:rsid w:val="0008185D"/>
    <w:rsid w:val="00081956"/>
    <w:rsid w:val="00081A0B"/>
    <w:rsid w:val="00081A53"/>
    <w:rsid w:val="00081B81"/>
    <w:rsid w:val="00082008"/>
    <w:rsid w:val="00082E72"/>
    <w:rsid w:val="00082F27"/>
    <w:rsid w:val="00082FFE"/>
    <w:rsid w:val="0008326A"/>
    <w:rsid w:val="000837CB"/>
    <w:rsid w:val="00083C55"/>
    <w:rsid w:val="00083ED2"/>
    <w:rsid w:val="0008408A"/>
    <w:rsid w:val="00084104"/>
    <w:rsid w:val="0008449D"/>
    <w:rsid w:val="0008494B"/>
    <w:rsid w:val="00084A3A"/>
    <w:rsid w:val="00084B5B"/>
    <w:rsid w:val="000862A2"/>
    <w:rsid w:val="00086921"/>
    <w:rsid w:val="000869DC"/>
    <w:rsid w:val="0008709F"/>
    <w:rsid w:val="000871B4"/>
    <w:rsid w:val="00087B3A"/>
    <w:rsid w:val="00090575"/>
    <w:rsid w:val="0009069B"/>
    <w:rsid w:val="0009076D"/>
    <w:rsid w:val="00090F22"/>
    <w:rsid w:val="00090FCF"/>
    <w:rsid w:val="00091012"/>
    <w:rsid w:val="00091392"/>
    <w:rsid w:val="00092A8D"/>
    <w:rsid w:val="00092C0E"/>
    <w:rsid w:val="00092E15"/>
    <w:rsid w:val="00092ED9"/>
    <w:rsid w:val="00092F29"/>
    <w:rsid w:val="000931CD"/>
    <w:rsid w:val="000938CE"/>
    <w:rsid w:val="00093DEF"/>
    <w:rsid w:val="0009460F"/>
    <w:rsid w:val="00094671"/>
    <w:rsid w:val="00095030"/>
    <w:rsid w:val="000953E1"/>
    <w:rsid w:val="0009585E"/>
    <w:rsid w:val="00095D07"/>
    <w:rsid w:val="00096292"/>
    <w:rsid w:val="000963B0"/>
    <w:rsid w:val="00096601"/>
    <w:rsid w:val="000971CE"/>
    <w:rsid w:val="000973E5"/>
    <w:rsid w:val="000975BB"/>
    <w:rsid w:val="00097A84"/>
    <w:rsid w:val="000A029C"/>
    <w:rsid w:val="000A0D76"/>
    <w:rsid w:val="000A1025"/>
    <w:rsid w:val="000A11B8"/>
    <w:rsid w:val="000A12D5"/>
    <w:rsid w:val="000A1320"/>
    <w:rsid w:val="000A175A"/>
    <w:rsid w:val="000A1BCD"/>
    <w:rsid w:val="000A1C84"/>
    <w:rsid w:val="000A2108"/>
    <w:rsid w:val="000A26CE"/>
    <w:rsid w:val="000A2CDF"/>
    <w:rsid w:val="000A30EC"/>
    <w:rsid w:val="000A30F3"/>
    <w:rsid w:val="000A4356"/>
    <w:rsid w:val="000A47A1"/>
    <w:rsid w:val="000A4C36"/>
    <w:rsid w:val="000A4C76"/>
    <w:rsid w:val="000A4D57"/>
    <w:rsid w:val="000A4F1C"/>
    <w:rsid w:val="000A4F64"/>
    <w:rsid w:val="000A52AA"/>
    <w:rsid w:val="000A52E0"/>
    <w:rsid w:val="000A59BD"/>
    <w:rsid w:val="000A5BD5"/>
    <w:rsid w:val="000A5D82"/>
    <w:rsid w:val="000A5E9C"/>
    <w:rsid w:val="000A60EC"/>
    <w:rsid w:val="000A63E4"/>
    <w:rsid w:val="000A6690"/>
    <w:rsid w:val="000A67D2"/>
    <w:rsid w:val="000A6B9D"/>
    <w:rsid w:val="000A7603"/>
    <w:rsid w:val="000A7987"/>
    <w:rsid w:val="000A7AE7"/>
    <w:rsid w:val="000A7B11"/>
    <w:rsid w:val="000B0518"/>
    <w:rsid w:val="000B08DF"/>
    <w:rsid w:val="000B12F6"/>
    <w:rsid w:val="000B2062"/>
    <w:rsid w:val="000B225C"/>
    <w:rsid w:val="000B229B"/>
    <w:rsid w:val="000B279D"/>
    <w:rsid w:val="000B3313"/>
    <w:rsid w:val="000B35D3"/>
    <w:rsid w:val="000B4328"/>
    <w:rsid w:val="000B4E7D"/>
    <w:rsid w:val="000B5217"/>
    <w:rsid w:val="000B5535"/>
    <w:rsid w:val="000B59BA"/>
    <w:rsid w:val="000B6040"/>
    <w:rsid w:val="000B618D"/>
    <w:rsid w:val="000B6889"/>
    <w:rsid w:val="000B6C66"/>
    <w:rsid w:val="000B6D69"/>
    <w:rsid w:val="000B7373"/>
    <w:rsid w:val="000B776A"/>
    <w:rsid w:val="000B7879"/>
    <w:rsid w:val="000C03DE"/>
    <w:rsid w:val="000C068F"/>
    <w:rsid w:val="000C07DD"/>
    <w:rsid w:val="000C0A08"/>
    <w:rsid w:val="000C0EE9"/>
    <w:rsid w:val="000C14A9"/>
    <w:rsid w:val="000C1F83"/>
    <w:rsid w:val="000C21F8"/>
    <w:rsid w:val="000C26E9"/>
    <w:rsid w:val="000C26F2"/>
    <w:rsid w:val="000C2782"/>
    <w:rsid w:val="000C2BB0"/>
    <w:rsid w:val="000C2E41"/>
    <w:rsid w:val="000C3606"/>
    <w:rsid w:val="000C3656"/>
    <w:rsid w:val="000C369A"/>
    <w:rsid w:val="000C37BB"/>
    <w:rsid w:val="000C3B3E"/>
    <w:rsid w:val="000C3DF8"/>
    <w:rsid w:val="000C41DE"/>
    <w:rsid w:val="000C4212"/>
    <w:rsid w:val="000C43C6"/>
    <w:rsid w:val="000C44F3"/>
    <w:rsid w:val="000C45B4"/>
    <w:rsid w:val="000C4FD0"/>
    <w:rsid w:val="000C539A"/>
    <w:rsid w:val="000C552F"/>
    <w:rsid w:val="000C5742"/>
    <w:rsid w:val="000C6713"/>
    <w:rsid w:val="000C6B06"/>
    <w:rsid w:val="000C719F"/>
    <w:rsid w:val="000C7272"/>
    <w:rsid w:val="000C72CD"/>
    <w:rsid w:val="000C7F2F"/>
    <w:rsid w:val="000C7F45"/>
    <w:rsid w:val="000C7F85"/>
    <w:rsid w:val="000D086F"/>
    <w:rsid w:val="000D0B61"/>
    <w:rsid w:val="000D16B5"/>
    <w:rsid w:val="000D179E"/>
    <w:rsid w:val="000D1B76"/>
    <w:rsid w:val="000D23A3"/>
    <w:rsid w:val="000D243B"/>
    <w:rsid w:val="000D2812"/>
    <w:rsid w:val="000D2B64"/>
    <w:rsid w:val="000D326B"/>
    <w:rsid w:val="000D379B"/>
    <w:rsid w:val="000D3A36"/>
    <w:rsid w:val="000D4260"/>
    <w:rsid w:val="000D44D4"/>
    <w:rsid w:val="000D4BF3"/>
    <w:rsid w:val="000D4E8D"/>
    <w:rsid w:val="000D5604"/>
    <w:rsid w:val="000D5666"/>
    <w:rsid w:val="000D566D"/>
    <w:rsid w:val="000D5AE3"/>
    <w:rsid w:val="000D5CC7"/>
    <w:rsid w:val="000D6410"/>
    <w:rsid w:val="000D654C"/>
    <w:rsid w:val="000D6B09"/>
    <w:rsid w:val="000D6D80"/>
    <w:rsid w:val="000D6F59"/>
    <w:rsid w:val="000D7B49"/>
    <w:rsid w:val="000E092C"/>
    <w:rsid w:val="000E09CB"/>
    <w:rsid w:val="000E09CE"/>
    <w:rsid w:val="000E0BB5"/>
    <w:rsid w:val="000E0F52"/>
    <w:rsid w:val="000E0F9A"/>
    <w:rsid w:val="000E12C3"/>
    <w:rsid w:val="000E1355"/>
    <w:rsid w:val="000E16D3"/>
    <w:rsid w:val="000E1AB3"/>
    <w:rsid w:val="000E1B8E"/>
    <w:rsid w:val="000E1FCB"/>
    <w:rsid w:val="000E2518"/>
    <w:rsid w:val="000E2B65"/>
    <w:rsid w:val="000E2CB3"/>
    <w:rsid w:val="000E2D2D"/>
    <w:rsid w:val="000E2E25"/>
    <w:rsid w:val="000E36D0"/>
    <w:rsid w:val="000E37FD"/>
    <w:rsid w:val="000E38EA"/>
    <w:rsid w:val="000E3A26"/>
    <w:rsid w:val="000E3E96"/>
    <w:rsid w:val="000E4804"/>
    <w:rsid w:val="000E4ACC"/>
    <w:rsid w:val="000E55DE"/>
    <w:rsid w:val="000E5A5F"/>
    <w:rsid w:val="000E5C08"/>
    <w:rsid w:val="000E5DB2"/>
    <w:rsid w:val="000E6F8D"/>
    <w:rsid w:val="000E78A6"/>
    <w:rsid w:val="000E7BF1"/>
    <w:rsid w:val="000E7C73"/>
    <w:rsid w:val="000E7D93"/>
    <w:rsid w:val="000F04D5"/>
    <w:rsid w:val="000F105F"/>
    <w:rsid w:val="000F13D3"/>
    <w:rsid w:val="000F1606"/>
    <w:rsid w:val="000F1B2A"/>
    <w:rsid w:val="000F1B51"/>
    <w:rsid w:val="000F245F"/>
    <w:rsid w:val="000F25A8"/>
    <w:rsid w:val="000F2BD9"/>
    <w:rsid w:val="000F2E07"/>
    <w:rsid w:val="000F2EA8"/>
    <w:rsid w:val="000F3124"/>
    <w:rsid w:val="000F3504"/>
    <w:rsid w:val="000F36EA"/>
    <w:rsid w:val="000F3971"/>
    <w:rsid w:val="000F3B95"/>
    <w:rsid w:val="000F4B5B"/>
    <w:rsid w:val="000F4F93"/>
    <w:rsid w:val="000F50B0"/>
    <w:rsid w:val="000F5EEF"/>
    <w:rsid w:val="000F5F8C"/>
    <w:rsid w:val="000F6035"/>
    <w:rsid w:val="000F63C2"/>
    <w:rsid w:val="000F6648"/>
    <w:rsid w:val="000F6F32"/>
    <w:rsid w:val="000F7009"/>
    <w:rsid w:val="000F70C4"/>
    <w:rsid w:val="000F7478"/>
    <w:rsid w:val="000F7693"/>
    <w:rsid w:val="0010124B"/>
    <w:rsid w:val="00101A47"/>
    <w:rsid w:val="00101AF7"/>
    <w:rsid w:val="00101FEE"/>
    <w:rsid w:val="001022B5"/>
    <w:rsid w:val="001023B0"/>
    <w:rsid w:val="001027EB"/>
    <w:rsid w:val="00102E20"/>
    <w:rsid w:val="0010315F"/>
    <w:rsid w:val="00103A92"/>
    <w:rsid w:val="00103DC9"/>
    <w:rsid w:val="00103E5B"/>
    <w:rsid w:val="001041A3"/>
    <w:rsid w:val="001043BF"/>
    <w:rsid w:val="0010447C"/>
    <w:rsid w:val="00104BD4"/>
    <w:rsid w:val="00104C25"/>
    <w:rsid w:val="00104D61"/>
    <w:rsid w:val="00105528"/>
    <w:rsid w:val="00105546"/>
    <w:rsid w:val="001055B0"/>
    <w:rsid w:val="00105E9C"/>
    <w:rsid w:val="00106015"/>
    <w:rsid w:val="00106329"/>
    <w:rsid w:val="00106744"/>
    <w:rsid w:val="001069DB"/>
    <w:rsid w:val="0010743C"/>
    <w:rsid w:val="00107B71"/>
    <w:rsid w:val="001104BE"/>
    <w:rsid w:val="00110885"/>
    <w:rsid w:val="00110AEE"/>
    <w:rsid w:val="00110E16"/>
    <w:rsid w:val="001113D8"/>
    <w:rsid w:val="00111860"/>
    <w:rsid w:val="00112425"/>
    <w:rsid w:val="00112995"/>
    <w:rsid w:val="001137C8"/>
    <w:rsid w:val="001139F4"/>
    <w:rsid w:val="00113C48"/>
    <w:rsid w:val="00114A30"/>
    <w:rsid w:val="00114C6F"/>
    <w:rsid w:val="00115758"/>
    <w:rsid w:val="00115995"/>
    <w:rsid w:val="00115D03"/>
    <w:rsid w:val="001160BD"/>
    <w:rsid w:val="00116A96"/>
    <w:rsid w:val="00116B40"/>
    <w:rsid w:val="001173DC"/>
    <w:rsid w:val="0011741A"/>
    <w:rsid w:val="001174C6"/>
    <w:rsid w:val="00117701"/>
    <w:rsid w:val="0011783E"/>
    <w:rsid w:val="00117A39"/>
    <w:rsid w:val="00117BB4"/>
    <w:rsid w:val="00117D71"/>
    <w:rsid w:val="00117E6A"/>
    <w:rsid w:val="00117E8D"/>
    <w:rsid w:val="00120BCC"/>
    <w:rsid w:val="00120D75"/>
    <w:rsid w:val="00121262"/>
    <w:rsid w:val="0012200A"/>
    <w:rsid w:val="001220D7"/>
    <w:rsid w:val="00122B70"/>
    <w:rsid w:val="00122B8A"/>
    <w:rsid w:val="00122CAE"/>
    <w:rsid w:val="0012300F"/>
    <w:rsid w:val="001230A0"/>
    <w:rsid w:val="001236E9"/>
    <w:rsid w:val="0012472D"/>
    <w:rsid w:val="00124748"/>
    <w:rsid w:val="0012476A"/>
    <w:rsid w:val="00125071"/>
    <w:rsid w:val="00125526"/>
    <w:rsid w:val="00125A44"/>
    <w:rsid w:val="00125E7F"/>
    <w:rsid w:val="00126C8B"/>
    <w:rsid w:val="001276F4"/>
    <w:rsid w:val="00127970"/>
    <w:rsid w:val="00127A1C"/>
    <w:rsid w:val="00127F6C"/>
    <w:rsid w:val="00127FA7"/>
    <w:rsid w:val="00130263"/>
    <w:rsid w:val="00130467"/>
    <w:rsid w:val="00130955"/>
    <w:rsid w:val="00130CF6"/>
    <w:rsid w:val="00130E01"/>
    <w:rsid w:val="00130EDD"/>
    <w:rsid w:val="0013112F"/>
    <w:rsid w:val="001315B5"/>
    <w:rsid w:val="00131776"/>
    <w:rsid w:val="00131C4F"/>
    <w:rsid w:val="00131CEB"/>
    <w:rsid w:val="00132138"/>
    <w:rsid w:val="00132917"/>
    <w:rsid w:val="00132AF8"/>
    <w:rsid w:val="00133176"/>
    <w:rsid w:val="001336D9"/>
    <w:rsid w:val="001337D3"/>
    <w:rsid w:val="00134432"/>
    <w:rsid w:val="00134953"/>
    <w:rsid w:val="00134B85"/>
    <w:rsid w:val="00134DE1"/>
    <w:rsid w:val="001351FF"/>
    <w:rsid w:val="001353A0"/>
    <w:rsid w:val="001356D5"/>
    <w:rsid w:val="00135BCF"/>
    <w:rsid w:val="00135CAB"/>
    <w:rsid w:val="00135F6B"/>
    <w:rsid w:val="001363E3"/>
    <w:rsid w:val="00136703"/>
    <w:rsid w:val="001376AA"/>
    <w:rsid w:val="001377DE"/>
    <w:rsid w:val="0013784F"/>
    <w:rsid w:val="00137A4D"/>
    <w:rsid w:val="00137E4A"/>
    <w:rsid w:val="00137FD5"/>
    <w:rsid w:val="00141BD7"/>
    <w:rsid w:val="00141C86"/>
    <w:rsid w:val="001420C0"/>
    <w:rsid w:val="00142157"/>
    <w:rsid w:val="00142279"/>
    <w:rsid w:val="001427AA"/>
    <w:rsid w:val="00142BCB"/>
    <w:rsid w:val="00142C4B"/>
    <w:rsid w:val="00143042"/>
    <w:rsid w:val="0014318A"/>
    <w:rsid w:val="00143390"/>
    <w:rsid w:val="001433B5"/>
    <w:rsid w:val="001437E9"/>
    <w:rsid w:val="001442D1"/>
    <w:rsid w:val="00144D01"/>
    <w:rsid w:val="001454FF"/>
    <w:rsid w:val="00145CD1"/>
    <w:rsid w:val="00146748"/>
    <w:rsid w:val="0014705B"/>
    <w:rsid w:val="00147186"/>
    <w:rsid w:val="001474BD"/>
    <w:rsid w:val="00147C2E"/>
    <w:rsid w:val="00147CD3"/>
    <w:rsid w:val="001500D0"/>
    <w:rsid w:val="001509CA"/>
    <w:rsid w:val="00150C00"/>
    <w:rsid w:val="001510F2"/>
    <w:rsid w:val="00151D93"/>
    <w:rsid w:val="00152323"/>
    <w:rsid w:val="001528A6"/>
    <w:rsid w:val="00152B98"/>
    <w:rsid w:val="00153123"/>
    <w:rsid w:val="0015319C"/>
    <w:rsid w:val="00153497"/>
    <w:rsid w:val="001534CE"/>
    <w:rsid w:val="001544F7"/>
    <w:rsid w:val="0015473F"/>
    <w:rsid w:val="00154ACE"/>
    <w:rsid w:val="00155124"/>
    <w:rsid w:val="00155726"/>
    <w:rsid w:val="00155778"/>
    <w:rsid w:val="00155C37"/>
    <w:rsid w:val="00155E3F"/>
    <w:rsid w:val="00155E82"/>
    <w:rsid w:val="00155FA2"/>
    <w:rsid w:val="00156107"/>
    <w:rsid w:val="0015619A"/>
    <w:rsid w:val="00156341"/>
    <w:rsid w:val="001568C3"/>
    <w:rsid w:val="00156C33"/>
    <w:rsid w:val="001572C1"/>
    <w:rsid w:val="0015733E"/>
    <w:rsid w:val="001574D1"/>
    <w:rsid w:val="00157917"/>
    <w:rsid w:val="001603C6"/>
    <w:rsid w:val="00160755"/>
    <w:rsid w:val="00160AE6"/>
    <w:rsid w:val="00160F2A"/>
    <w:rsid w:val="00162393"/>
    <w:rsid w:val="001624E6"/>
    <w:rsid w:val="001626D1"/>
    <w:rsid w:val="00162DB1"/>
    <w:rsid w:val="00162F7F"/>
    <w:rsid w:val="00163201"/>
    <w:rsid w:val="00163AD0"/>
    <w:rsid w:val="00163D50"/>
    <w:rsid w:val="001641DF"/>
    <w:rsid w:val="00164202"/>
    <w:rsid w:val="00164576"/>
    <w:rsid w:val="00164741"/>
    <w:rsid w:val="00164790"/>
    <w:rsid w:val="001648DA"/>
    <w:rsid w:val="00164AB2"/>
    <w:rsid w:val="00165710"/>
    <w:rsid w:val="0016593B"/>
    <w:rsid w:val="0016608A"/>
    <w:rsid w:val="001663FB"/>
    <w:rsid w:val="00167159"/>
    <w:rsid w:val="00167310"/>
    <w:rsid w:val="00167572"/>
    <w:rsid w:val="0016778F"/>
    <w:rsid w:val="00167F90"/>
    <w:rsid w:val="001701F4"/>
    <w:rsid w:val="0017026A"/>
    <w:rsid w:val="001712E0"/>
    <w:rsid w:val="00171498"/>
    <w:rsid w:val="001716A2"/>
    <w:rsid w:val="001719AE"/>
    <w:rsid w:val="00172534"/>
    <w:rsid w:val="00172A04"/>
    <w:rsid w:val="00173EDF"/>
    <w:rsid w:val="00174014"/>
    <w:rsid w:val="001742B4"/>
    <w:rsid w:val="0017457E"/>
    <w:rsid w:val="001749DE"/>
    <w:rsid w:val="00174B29"/>
    <w:rsid w:val="00175596"/>
    <w:rsid w:val="001756E2"/>
    <w:rsid w:val="001757CC"/>
    <w:rsid w:val="00175CAE"/>
    <w:rsid w:val="00176278"/>
    <w:rsid w:val="00176429"/>
    <w:rsid w:val="001766A8"/>
    <w:rsid w:val="00176846"/>
    <w:rsid w:val="001769DD"/>
    <w:rsid w:val="00176CE7"/>
    <w:rsid w:val="00180176"/>
    <w:rsid w:val="00180262"/>
    <w:rsid w:val="00180838"/>
    <w:rsid w:val="00180B44"/>
    <w:rsid w:val="00180BBA"/>
    <w:rsid w:val="00180C02"/>
    <w:rsid w:val="00180F47"/>
    <w:rsid w:val="001814AE"/>
    <w:rsid w:val="001814EE"/>
    <w:rsid w:val="0018150D"/>
    <w:rsid w:val="0018166D"/>
    <w:rsid w:val="00181893"/>
    <w:rsid w:val="00181B20"/>
    <w:rsid w:val="00181F6F"/>
    <w:rsid w:val="001826D6"/>
    <w:rsid w:val="001827A1"/>
    <w:rsid w:val="00182ADC"/>
    <w:rsid w:val="0018308C"/>
    <w:rsid w:val="0018345F"/>
    <w:rsid w:val="00183A3E"/>
    <w:rsid w:val="0018437B"/>
    <w:rsid w:val="001848A6"/>
    <w:rsid w:val="0018527A"/>
    <w:rsid w:val="001859AD"/>
    <w:rsid w:val="00185CB2"/>
    <w:rsid w:val="00185E3B"/>
    <w:rsid w:val="0018605D"/>
    <w:rsid w:val="00186100"/>
    <w:rsid w:val="00186142"/>
    <w:rsid w:val="0018651A"/>
    <w:rsid w:val="0018742E"/>
    <w:rsid w:val="00187475"/>
    <w:rsid w:val="00187502"/>
    <w:rsid w:val="001876C2"/>
    <w:rsid w:val="0018785A"/>
    <w:rsid w:val="001879E0"/>
    <w:rsid w:val="001900BA"/>
    <w:rsid w:val="00190288"/>
    <w:rsid w:val="0019085B"/>
    <w:rsid w:val="00191004"/>
    <w:rsid w:val="0019193D"/>
    <w:rsid w:val="00191A6A"/>
    <w:rsid w:val="00191A8A"/>
    <w:rsid w:val="00191AA8"/>
    <w:rsid w:val="00192C44"/>
    <w:rsid w:val="001936E8"/>
    <w:rsid w:val="00193825"/>
    <w:rsid w:val="00193AE2"/>
    <w:rsid w:val="00194038"/>
    <w:rsid w:val="00194E2A"/>
    <w:rsid w:val="00194F9F"/>
    <w:rsid w:val="00195297"/>
    <w:rsid w:val="001952DF"/>
    <w:rsid w:val="0019599A"/>
    <w:rsid w:val="00195B04"/>
    <w:rsid w:val="00195F4C"/>
    <w:rsid w:val="00196069"/>
    <w:rsid w:val="00196439"/>
    <w:rsid w:val="00197E6F"/>
    <w:rsid w:val="00197F39"/>
    <w:rsid w:val="001A00EE"/>
    <w:rsid w:val="001A08A9"/>
    <w:rsid w:val="001A098C"/>
    <w:rsid w:val="001A0BD8"/>
    <w:rsid w:val="001A10F8"/>
    <w:rsid w:val="001A1285"/>
    <w:rsid w:val="001A1336"/>
    <w:rsid w:val="001A13FA"/>
    <w:rsid w:val="001A2137"/>
    <w:rsid w:val="001A22F9"/>
    <w:rsid w:val="001A23C6"/>
    <w:rsid w:val="001A2CC1"/>
    <w:rsid w:val="001A3A97"/>
    <w:rsid w:val="001A3E48"/>
    <w:rsid w:val="001A4446"/>
    <w:rsid w:val="001A47D4"/>
    <w:rsid w:val="001A5042"/>
    <w:rsid w:val="001A53A8"/>
    <w:rsid w:val="001A53F8"/>
    <w:rsid w:val="001A570C"/>
    <w:rsid w:val="001A5D03"/>
    <w:rsid w:val="001A5EEF"/>
    <w:rsid w:val="001A66E7"/>
    <w:rsid w:val="001A6A1A"/>
    <w:rsid w:val="001A6C87"/>
    <w:rsid w:val="001A6CAD"/>
    <w:rsid w:val="001A6FD1"/>
    <w:rsid w:val="001A6FFC"/>
    <w:rsid w:val="001A7151"/>
    <w:rsid w:val="001A7251"/>
    <w:rsid w:val="001A7661"/>
    <w:rsid w:val="001A76BC"/>
    <w:rsid w:val="001A7CF5"/>
    <w:rsid w:val="001A7D09"/>
    <w:rsid w:val="001B0285"/>
    <w:rsid w:val="001B0323"/>
    <w:rsid w:val="001B0AF8"/>
    <w:rsid w:val="001B0E11"/>
    <w:rsid w:val="001B109F"/>
    <w:rsid w:val="001B10DA"/>
    <w:rsid w:val="001B165C"/>
    <w:rsid w:val="001B1BBF"/>
    <w:rsid w:val="001B2537"/>
    <w:rsid w:val="001B25A3"/>
    <w:rsid w:val="001B2684"/>
    <w:rsid w:val="001B2953"/>
    <w:rsid w:val="001B2B85"/>
    <w:rsid w:val="001B2B8A"/>
    <w:rsid w:val="001B2DA3"/>
    <w:rsid w:val="001B3C78"/>
    <w:rsid w:val="001B41C6"/>
    <w:rsid w:val="001B4343"/>
    <w:rsid w:val="001B456F"/>
    <w:rsid w:val="001B4A95"/>
    <w:rsid w:val="001B5303"/>
    <w:rsid w:val="001B5FBD"/>
    <w:rsid w:val="001B6172"/>
    <w:rsid w:val="001B629E"/>
    <w:rsid w:val="001B6421"/>
    <w:rsid w:val="001B72D9"/>
    <w:rsid w:val="001B7361"/>
    <w:rsid w:val="001B7635"/>
    <w:rsid w:val="001B763D"/>
    <w:rsid w:val="001B7EB1"/>
    <w:rsid w:val="001B7ECF"/>
    <w:rsid w:val="001C0347"/>
    <w:rsid w:val="001C064D"/>
    <w:rsid w:val="001C08AF"/>
    <w:rsid w:val="001C0BEF"/>
    <w:rsid w:val="001C0C7D"/>
    <w:rsid w:val="001C0D6C"/>
    <w:rsid w:val="001C106D"/>
    <w:rsid w:val="001C1513"/>
    <w:rsid w:val="001C1761"/>
    <w:rsid w:val="001C19FE"/>
    <w:rsid w:val="001C2921"/>
    <w:rsid w:val="001C2ECA"/>
    <w:rsid w:val="001C3038"/>
    <w:rsid w:val="001C31BB"/>
    <w:rsid w:val="001C3A50"/>
    <w:rsid w:val="001C3F4E"/>
    <w:rsid w:val="001C444E"/>
    <w:rsid w:val="001C45D1"/>
    <w:rsid w:val="001C4613"/>
    <w:rsid w:val="001C4661"/>
    <w:rsid w:val="001C48E1"/>
    <w:rsid w:val="001C4A3A"/>
    <w:rsid w:val="001C52DB"/>
    <w:rsid w:val="001C5949"/>
    <w:rsid w:val="001C5DB4"/>
    <w:rsid w:val="001C5F68"/>
    <w:rsid w:val="001C624A"/>
    <w:rsid w:val="001C7128"/>
    <w:rsid w:val="001C7702"/>
    <w:rsid w:val="001C794E"/>
    <w:rsid w:val="001C7AE6"/>
    <w:rsid w:val="001D0375"/>
    <w:rsid w:val="001D0877"/>
    <w:rsid w:val="001D08EB"/>
    <w:rsid w:val="001D0960"/>
    <w:rsid w:val="001D0B32"/>
    <w:rsid w:val="001D0D73"/>
    <w:rsid w:val="001D0E04"/>
    <w:rsid w:val="001D168F"/>
    <w:rsid w:val="001D18A4"/>
    <w:rsid w:val="001D1AFA"/>
    <w:rsid w:val="001D1C60"/>
    <w:rsid w:val="001D1CCE"/>
    <w:rsid w:val="001D28F8"/>
    <w:rsid w:val="001D295E"/>
    <w:rsid w:val="001D2B8D"/>
    <w:rsid w:val="001D2D3E"/>
    <w:rsid w:val="001D34CC"/>
    <w:rsid w:val="001D3D19"/>
    <w:rsid w:val="001D40EA"/>
    <w:rsid w:val="001D449F"/>
    <w:rsid w:val="001D4896"/>
    <w:rsid w:val="001D4988"/>
    <w:rsid w:val="001D4C35"/>
    <w:rsid w:val="001D4DDD"/>
    <w:rsid w:val="001D509D"/>
    <w:rsid w:val="001D510D"/>
    <w:rsid w:val="001D51ED"/>
    <w:rsid w:val="001D5491"/>
    <w:rsid w:val="001D55FC"/>
    <w:rsid w:val="001D5609"/>
    <w:rsid w:val="001D5B5B"/>
    <w:rsid w:val="001D5D8F"/>
    <w:rsid w:val="001D6078"/>
    <w:rsid w:val="001D718E"/>
    <w:rsid w:val="001D73CD"/>
    <w:rsid w:val="001D750E"/>
    <w:rsid w:val="001D77B7"/>
    <w:rsid w:val="001D7AFC"/>
    <w:rsid w:val="001D7F39"/>
    <w:rsid w:val="001E0141"/>
    <w:rsid w:val="001E09CC"/>
    <w:rsid w:val="001E0FFB"/>
    <w:rsid w:val="001E118D"/>
    <w:rsid w:val="001E1A08"/>
    <w:rsid w:val="001E1E17"/>
    <w:rsid w:val="001E2F8A"/>
    <w:rsid w:val="001E3702"/>
    <w:rsid w:val="001E3C2F"/>
    <w:rsid w:val="001E3FE8"/>
    <w:rsid w:val="001E3FF2"/>
    <w:rsid w:val="001E4609"/>
    <w:rsid w:val="001E523E"/>
    <w:rsid w:val="001E55E1"/>
    <w:rsid w:val="001E5DA0"/>
    <w:rsid w:val="001E6005"/>
    <w:rsid w:val="001E61D6"/>
    <w:rsid w:val="001E70BF"/>
    <w:rsid w:val="001E71A6"/>
    <w:rsid w:val="001E7295"/>
    <w:rsid w:val="001E7565"/>
    <w:rsid w:val="001E776B"/>
    <w:rsid w:val="001E79D1"/>
    <w:rsid w:val="001E7E21"/>
    <w:rsid w:val="001F0515"/>
    <w:rsid w:val="001F0F14"/>
    <w:rsid w:val="001F10F2"/>
    <w:rsid w:val="001F1162"/>
    <w:rsid w:val="001F150A"/>
    <w:rsid w:val="001F15D0"/>
    <w:rsid w:val="001F2614"/>
    <w:rsid w:val="001F28D2"/>
    <w:rsid w:val="001F326E"/>
    <w:rsid w:val="001F3714"/>
    <w:rsid w:val="001F3BA4"/>
    <w:rsid w:val="001F3CD1"/>
    <w:rsid w:val="001F3E9A"/>
    <w:rsid w:val="001F45AB"/>
    <w:rsid w:val="001F49FA"/>
    <w:rsid w:val="001F4D10"/>
    <w:rsid w:val="001F4D44"/>
    <w:rsid w:val="001F5346"/>
    <w:rsid w:val="001F5748"/>
    <w:rsid w:val="001F5973"/>
    <w:rsid w:val="001F6B75"/>
    <w:rsid w:val="001F6B8C"/>
    <w:rsid w:val="001F7368"/>
    <w:rsid w:val="001F7C97"/>
    <w:rsid w:val="0020043E"/>
    <w:rsid w:val="002005B3"/>
    <w:rsid w:val="00200A88"/>
    <w:rsid w:val="00201016"/>
    <w:rsid w:val="002013CF"/>
    <w:rsid w:val="002016D0"/>
    <w:rsid w:val="0020179C"/>
    <w:rsid w:val="00201A05"/>
    <w:rsid w:val="00201ABD"/>
    <w:rsid w:val="00202185"/>
    <w:rsid w:val="002021C0"/>
    <w:rsid w:val="00202720"/>
    <w:rsid w:val="00202959"/>
    <w:rsid w:val="00202CE3"/>
    <w:rsid w:val="00203673"/>
    <w:rsid w:val="00203A22"/>
    <w:rsid w:val="00203A38"/>
    <w:rsid w:val="00203BE4"/>
    <w:rsid w:val="00203DF7"/>
    <w:rsid w:val="0020431F"/>
    <w:rsid w:val="00204335"/>
    <w:rsid w:val="002045E5"/>
    <w:rsid w:val="002048E1"/>
    <w:rsid w:val="00204982"/>
    <w:rsid w:val="002049A7"/>
    <w:rsid w:val="002049C5"/>
    <w:rsid w:val="00204DB2"/>
    <w:rsid w:val="00204E69"/>
    <w:rsid w:val="00204FCA"/>
    <w:rsid w:val="00205095"/>
    <w:rsid w:val="00205A8E"/>
    <w:rsid w:val="002062E0"/>
    <w:rsid w:val="0020642F"/>
    <w:rsid w:val="0020667A"/>
    <w:rsid w:val="0020766C"/>
    <w:rsid w:val="002077B2"/>
    <w:rsid w:val="00207CD2"/>
    <w:rsid w:val="00210052"/>
    <w:rsid w:val="002102C7"/>
    <w:rsid w:val="00210364"/>
    <w:rsid w:val="002111AB"/>
    <w:rsid w:val="002112B1"/>
    <w:rsid w:val="00211798"/>
    <w:rsid w:val="00211C4F"/>
    <w:rsid w:val="00211FA3"/>
    <w:rsid w:val="00212257"/>
    <w:rsid w:val="00212345"/>
    <w:rsid w:val="0021262E"/>
    <w:rsid w:val="0021292F"/>
    <w:rsid w:val="002132BD"/>
    <w:rsid w:val="00213735"/>
    <w:rsid w:val="00213D22"/>
    <w:rsid w:val="00214897"/>
    <w:rsid w:val="002148DB"/>
    <w:rsid w:val="002149CF"/>
    <w:rsid w:val="00214BEB"/>
    <w:rsid w:val="002150A8"/>
    <w:rsid w:val="002151AC"/>
    <w:rsid w:val="00215682"/>
    <w:rsid w:val="00215824"/>
    <w:rsid w:val="00215879"/>
    <w:rsid w:val="00215A67"/>
    <w:rsid w:val="00215BC9"/>
    <w:rsid w:val="0021642D"/>
    <w:rsid w:val="0021692A"/>
    <w:rsid w:val="00216BF8"/>
    <w:rsid w:val="00216D40"/>
    <w:rsid w:val="002173D7"/>
    <w:rsid w:val="00217657"/>
    <w:rsid w:val="002176E6"/>
    <w:rsid w:val="00220803"/>
    <w:rsid w:val="00220A82"/>
    <w:rsid w:val="00220F82"/>
    <w:rsid w:val="002214FD"/>
    <w:rsid w:val="00221C15"/>
    <w:rsid w:val="0022284F"/>
    <w:rsid w:val="002228B0"/>
    <w:rsid w:val="00222C10"/>
    <w:rsid w:val="0022359B"/>
    <w:rsid w:val="00223E5F"/>
    <w:rsid w:val="00224249"/>
    <w:rsid w:val="00224282"/>
    <w:rsid w:val="00224A4A"/>
    <w:rsid w:val="00224BBA"/>
    <w:rsid w:val="00224F6E"/>
    <w:rsid w:val="0022590D"/>
    <w:rsid w:val="002265C4"/>
    <w:rsid w:val="0022689E"/>
    <w:rsid w:val="0022716A"/>
    <w:rsid w:val="002273B2"/>
    <w:rsid w:val="00227C26"/>
    <w:rsid w:val="00227CA4"/>
    <w:rsid w:val="00227FE6"/>
    <w:rsid w:val="00230166"/>
    <w:rsid w:val="002307AA"/>
    <w:rsid w:val="0023147E"/>
    <w:rsid w:val="00231558"/>
    <w:rsid w:val="002315B0"/>
    <w:rsid w:val="002315E6"/>
    <w:rsid w:val="002317BB"/>
    <w:rsid w:val="00232300"/>
    <w:rsid w:val="0023287E"/>
    <w:rsid w:val="00232AD6"/>
    <w:rsid w:val="00232DCE"/>
    <w:rsid w:val="00233442"/>
    <w:rsid w:val="002336FE"/>
    <w:rsid w:val="00233B2E"/>
    <w:rsid w:val="00234AC0"/>
    <w:rsid w:val="00234E12"/>
    <w:rsid w:val="00235407"/>
    <w:rsid w:val="00235834"/>
    <w:rsid w:val="00235CA7"/>
    <w:rsid w:val="00235D01"/>
    <w:rsid w:val="00235FE7"/>
    <w:rsid w:val="00236258"/>
    <w:rsid w:val="0023643E"/>
    <w:rsid w:val="00236480"/>
    <w:rsid w:val="002364AE"/>
    <w:rsid w:val="00236A1F"/>
    <w:rsid w:val="00237240"/>
    <w:rsid w:val="002372CC"/>
    <w:rsid w:val="002373BA"/>
    <w:rsid w:val="00237486"/>
    <w:rsid w:val="0023767F"/>
    <w:rsid w:val="00237DBE"/>
    <w:rsid w:val="00240525"/>
    <w:rsid w:val="0024089C"/>
    <w:rsid w:val="00240A6B"/>
    <w:rsid w:val="0024187B"/>
    <w:rsid w:val="00241B30"/>
    <w:rsid w:val="00242187"/>
    <w:rsid w:val="002433CC"/>
    <w:rsid w:val="0024365D"/>
    <w:rsid w:val="002440EC"/>
    <w:rsid w:val="002447EC"/>
    <w:rsid w:val="002448CB"/>
    <w:rsid w:val="00244C5B"/>
    <w:rsid w:val="0024552A"/>
    <w:rsid w:val="002455C5"/>
    <w:rsid w:val="00245A7A"/>
    <w:rsid w:val="00245B7E"/>
    <w:rsid w:val="002463C0"/>
    <w:rsid w:val="00246923"/>
    <w:rsid w:val="00246A5C"/>
    <w:rsid w:val="00246B84"/>
    <w:rsid w:val="00246C8B"/>
    <w:rsid w:val="00246CEB"/>
    <w:rsid w:val="00246E1A"/>
    <w:rsid w:val="00246F36"/>
    <w:rsid w:val="00247319"/>
    <w:rsid w:val="0024745E"/>
    <w:rsid w:val="0024779B"/>
    <w:rsid w:val="002479FA"/>
    <w:rsid w:val="00250478"/>
    <w:rsid w:val="00250530"/>
    <w:rsid w:val="00250E17"/>
    <w:rsid w:val="00250F93"/>
    <w:rsid w:val="00250FAC"/>
    <w:rsid w:val="0025104F"/>
    <w:rsid w:val="002510C6"/>
    <w:rsid w:val="002511F3"/>
    <w:rsid w:val="002512DC"/>
    <w:rsid w:val="00251945"/>
    <w:rsid w:val="00251BDA"/>
    <w:rsid w:val="00251BFE"/>
    <w:rsid w:val="00252DFE"/>
    <w:rsid w:val="00252E6D"/>
    <w:rsid w:val="002539EF"/>
    <w:rsid w:val="00253A66"/>
    <w:rsid w:val="00253C3C"/>
    <w:rsid w:val="0025415C"/>
    <w:rsid w:val="00254806"/>
    <w:rsid w:val="0025481A"/>
    <w:rsid w:val="00254D5E"/>
    <w:rsid w:val="00254E2B"/>
    <w:rsid w:val="0025559C"/>
    <w:rsid w:val="002559B7"/>
    <w:rsid w:val="00255B60"/>
    <w:rsid w:val="00255BBB"/>
    <w:rsid w:val="00255ECD"/>
    <w:rsid w:val="00255F3C"/>
    <w:rsid w:val="00255F53"/>
    <w:rsid w:val="002561A1"/>
    <w:rsid w:val="00256719"/>
    <w:rsid w:val="0025679A"/>
    <w:rsid w:val="00256A91"/>
    <w:rsid w:val="00256B61"/>
    <w:rsid w:val="00256F77"/>
    <w:rsid w:val="002600A7"/>
    <w:rsid w:val="0026018C"/>
    <w:rsid w:val="002601AD"/>
    <w:rsid w:val="00260335"/>
    <w:rsid w:val="0026063A"/>
    <w:rsid w:val="00260ACA"/>
    <w:rsid w:val="00260C3A"/>
    <w:rsid w:val="002611F2"/>
    <w:rsid w:val="00261BAB"/>
    <w:rsid w:val="00262074"/>
    <w:rsid w:val="00262143"/>
    <w:rsid w:val="002625A3"/>
    <w:rsid w:val="0026286F"/>
    <w:rsid w:val="00262A47"/>
    <w:rsid w:val="00262A6B"/>
    <w:rsid w:val="00262ACB"/>
    <w:rsid w:val="00262ECD"/>
    <w:rsid w:val="002630E7"/>
    <w:rsid w:val="00263127"/>
    <w:rsid w:val="002632CE"/>
    <w:rsid w:val="0026346F"/>
    <w:rsid w:val="00263542"/>
    <w:rsid w:val="00263589"/>
    <w:rsid w:val="002636BD"/>
    <w:rsid w:val="00263743"/>
    <w:rsid w:val="00263B71"/>
    <w:rsid w:val="00263E3C"/>
    <w:rsid w:val="00263F94"/>
    <w:rsid w:val="0026503D"/>
    <w:rsid w:val="00265413"/>
    <w:rsid w:val="002661F2"/>
    <w:rsid w:val="0026621F"/>
    <w:rsid w:val="00266A5A"/>
    <w:rsid w:val="002672FA"/>
    <w:rsid w:val="002705E6"/>
    <w:rsid w:val="002707C5"/>
    <w:rsid w:val="00270F9F"/>
    <w:rsid w:val="002711D8"/>
    <w:rsid w:val="002714BB"/>
    <w:rsid w:val="00271529"/>
    <w:rsid w:val="002717BD"/>
    <w:rsid w:val="00271AAF"/>
    <w:rsid w:val="00271C40"/>
    <w:rsid w:val="00271EC8"/>
    <w:rsid w:val="002729B6"/>
    <w:rsid w:val="00273811"/>
    <w:rsid w:val="0027394F"/>
    <w:rsid w:val="00273D5A"/>
    <w:rsid w:val="0027441C"/>
    <w:rsid w:val="00274885"/>
    <w:rsid w:val="00275024"/>
    <w:rsid w:val="002751AB"/>
    <w:rsid w:val="00275450"/>
    <w:rsid w:val="0027557E"/>
    <w:rsid w:val="00275745"/>
    <w:rsid w:val="00275D7E"/>
    <w:rsid w:val="00276161"/>
    <w:rsid w:val="00276573"/>
    <w:rsid w:val="0027689B"/>
    <w:rsid w:val="00276BE6"/>
    <w:rsid w:val="00277530"/>
    <w:rsid w:val="002779D5"/>
    <w:rsid w:val="00277BD4"/>
    <w:rsid w:val="00277EFB"/>
    <w:rsid w:val="00277F5D"/>
    <w:rsid w:val="00280198"/>
    <w:rsid w:val="002805CE"/>
    <w:rsid w:val="00280ACC"/>
    <w:rsid w:val="00280C2A"/>
    <w:rsid w:val="00280F0A"/>
    <w:rsid w:val="0028132F"/>
    <w:rsid w:val="00281C75"/>
    <w:rsid w:val="00281DE9"/>
    <w:rsid w:val="00281E1E"/>
    <w:rsid w:val="002820EC"/>
    <w:rsid w:val="00282726"/>
    <w:rsid w:val="00282A6A"/>
    <w:rsid w:val="00282E3D"/>
    <w:rsid w:val="0028382F"/>
    <w:rsid w:val="00284067"/>
    <w:rsid w:val="00284133"/>
    <w:rsid w:val="002845FB"/>
    <w:rsid w:val="00284C15"/>
    <w:rsid w:val="00284DD0"/>
    <w:rsid w:val="00284EEC"/>
    <w:rsid w:val="00285012"/>
    <w:rsid w:val="00285057"/>
    <w:rsid w:val="00285417"/>
    <w:rsid w:val="00285E82"/>
    <w:rsid w:val="00286C8F"/>
    <w:rsid w:val="00286DB1"/>
    <w:rsid w:val="0028718D"/>
    <w:rsid w:val="002872E4"/>
    <w:rsid w:val="00287738"/>
    <w:rsid w:val="00287C43"/>
    <w:rsid w:val="00287E28"/>
    <w:rsid w:val="00287FCC"/>
    <w:rsid w:val="0029007E"/>
    <w:rsid w:val="00290231"/>
    <w:rsid w:val="0029066C"/>
    <w:rsid w:val="002909C0"/>
    <w:rsid w:val="002909E6"/>
    <w:rsid w:val="00290F9E"/>
    <w:rsid w:val="00291650"/>
    <w:rsid w:val="00291F7B"/>
    <w:rsid w:val="0029213B"/>
    <w:rsid w:val="0029271A"/>
    <w:rsid w:val="00292738"/>
    <w:rsid w:val="00292C47"/>
    <w:rsid w:val="00293947"/>
    <w:rsid w:val="002939D3"/>
    <w:rsid w:val="00293B46"/>
    <w:rsid w:val="00294578"/>
    <w:rsid w:val="00294D6B"/>
    <w:rsid w:val="002952A1"/>
    <w:rsid w:val="002954C8"/>
    <w:rsid w:val="00295A3E"/>
    <w:rsid w:val="00295B1E"/>
    <w:rsid w:val="00295B8B"/>
    <w:rsid w:val="00295FF9"/>
    <w:rsid w:val="00296310"/>
    <w:rsid w:val="00296F11"/>
    <w:rsid w:val="00297838"/>
    <w:rsid w:val="00297C18"/>
    <w:rsid w:val="00297E14"/>
    <w:rsid w:val="002A0329"/>
    <w:rsid w:val="002A0A97"/>
    <w:rsid w:val="002A0E9F"/>
    <w:rsid w:val="002A127B"/>
    <w:rsid w:val="002A1556"/>
    <w:rsid w:val="002A1AB6"/>
    <w:rsid w:val="002A1B5C"/>
    <w:rsid w:val="002A1BA7"/>
    <w:rsid w:val="002A21D0"/>
    <w:rsid w:val="002A2280"/>
    <w:rsid w:val="002A29E7"/>
    <w:rsid w:val="002A2A29"/>
    <w:rsid w:val="002A2F0D"/>
    <w:rsid w:val="002A2F1B"/>
    <w:rsid w:val="002A3111"/>
    <w:rsid w:val="002A31DD"/>
    <w:rsid w:val="002A37AF"/>
    <w:rsid w:val="002A3915"/>
    <w:rsid w:val="002A3EB4"/>
    <w:rsid w:val="002A4133"/>
    <w:rsid w:val="002A5762"/>
    <w:rsid w:val="002A5E0A"/>
    <w:rsid w:val="002A6042"/>
    <w:rsid w:val="002A63AD"/>
    <w:rsid w:val="002A64B3"/>
    <w:rsid w:val="002A658D"/>
    <w:rsid w:val="002A66A0"/>
    <w:rsid w:val="002A6A8C"/>
    <w:rsid w:val="002A731D"/>
    <w:rsid w:val="002A7610"/>
    <w:rsid w:val="002A7BAD"/>
    <w:rsid w:val="002B18D4"/>
    <w:rsid w:val="002B19DE"/>
    <w:rsid w:val="002B1FD9"/>
    <w:rsid w:val="002B22F3"/>
    <w:rsid w:val="002B2A95"/>
    <w:rsid w:val="002B2E5E"/>
    <w:rsid w:val="002B2EFC"/>
    <w:rsid w:val="002B33FA"/>
    <w:rsid w:val="002B349A"/>
    <w:rsid w:val="002B3822"/>
    <w:rsid w:val="002B39E9"/>
    <w:rsid w:val="002B3B2D"/>
    <w:rsid w:val="002B3CC4"/>
    <w:rsid w:val="002B3E4E"/>
    <w:rsid w:val="002B3E99"/>
    <w:rsid w:val="002B4A68"/>
    <w:rsid w:val="002B5644"/>
    <w:rsid w:val="002B5793"/>
    <w:rsid w:val="002B58E9"/>
    <w:rsid w:val="002B5DEF"/>
    <w:rsid w:val="002B6360"/>
    <w:rsid w:val="002B6406"/>
    <w:rsid w:val="002B6F71"/>
    <w:rsid w:val="002B75DA"/>
    <w:rsid w:val="002B7F06"/>
    <w:rsid w:val="002C024F"/>
    <w:rsid w:val="002C038B"/>
    <w:rsid w:val="002C0BA5"/>
    <w:rsid w:val="002C0C3B"/>
    <w:rsid w:val="002C0C97"/>
    <w:rsid w:val="002C0CB5"/>
    <w:rsid w:val="002C0EED"/>
    <w:rsid w:val="002C1408"/>
    <w:rsid w:val="002C19A3"/>
    <w:rsid w:val="002C1A2D"/>
    <w:rsid w:val="002C1C4A"/>
    <w:rsid w:val="002C2194"/>
    <w:rsid w:val="002C2359"/>
    <w:rsid w:val="002C2658"/>
    <w:rsid w:val="002C2A76"/>
    <w:rsid w:val="002C2E62"/>
    <w:rsid w:val="002C2F6F"/>
    <w:rsid w:val="002C37A1"/>
    <w:rsid w:val="002C397B"/>
    <w:rsid w:val="002C3B44"/>
    <w:rsid w:val="002C3DD7"/>
    <w:rsid w:val="002C3F7A"/>
    <w:rsid w:val="002C4161"/>
    <w:rsid w:val="002C41E5"/>
    <w:rsid w:val="002C44AA"/>
    <w:rsid w:val="002C4B93"/>
    <w:rsid w:val="002C4CAF"/>
    <w:rsid w:val="002C51F3"/>
    <w:rsid w:val="002C59BC"/>
    <w:rsid w:val="002C5B9F"/>
    <w:rsid w:val="002C6084"/>
    <w:rsid w:val="002C60F2"/>
    <w:rsid w:val="002C673A"/>
    <w:rsid w:val="002C6792"/>
    <w:rsid w:val="002C6D73"/>
    <w:rsid w:val="002C70EA"/>
    <w:rsid w:val="002C721C"/>
    <w:rsid w:val="002C72B6"/>
    <w:rsid w:val="002C7334"/>
    <w:rsid w:val="002C77A4"/>
    <w:rsid w:val="002C7BE1"/>
    <w:rsid w:val="002C7C9E"/>
    <w:rsid w:val="002D010F"/>
    <w:rsid w:val="002D0387"/>
    <w:rsid w:val="002D089F"/>
    <w:rsid w:val="002D0A30"/>
    <w:rsid w:val="002D0A80"/>
    <w:rsid w:val="002D0D76"/>
    <w:rsid w:val="002D158C"/>
    <w:rsid w:val="002D15AE"/>
    <w:rsid w:val="002D1633"/>
    <w:rsid w:val="002D18D4"/>
    <w:rsid w:val="002D1B56"/>
    <w:rsid w:val="002D1CD2"/>
    <w:rsid w:val="002D1D6E"/>
    <w:rsid w:val="002D22FF"/>
    <w:rsid w:val="002D24BA"/>
    <w:rsid w:val="002D295B"/>
    <w:rsid w:val="002D2C14"/>
    <w:rsid w:val="002D33EE"/>
    <w:rsid w:val="002D351E"/>
    <w:rsid w:val="002D36FD"/>
    <w:rsid w:val="002D4037"/>
    <w:rsid w:val="002D4062"/>
    <w:rsid w:val="002D6876"/>
    <w:rsid w:val="002D6B0F"/>
    <w:rsid w:val="002D6D5C"/>
    <w:rsid w:val="002D71A6"/>
    <w:rsid w:val="002D724E"/>
    <w:rsid w:val="002D72C8"/>
    <w:rsid w:val="002E02FA"/>
    <w:rsid w:val="002E0575"/>
    <w:rsid w:val="002E08EE"/>
    <w:rsid w:val="002E0A6E"/>
    <w:rsid w:val="002E0A84"/>
    <w:rsid w:val="002E0EA4"/>
    <w:rsid w:val="002E100E"/>
    <w:rsid w:val="002E1035"/>
    <w:rsid w:val="002E17A3"/>
    <w:rsid w:val="002E1904"/>
    <w:rsid w:val="002E1C66"/>
    <w:rsid w:val="002E1C7E"/>
    <w:rsid w:val="002E1DDF"/>
    <w:rsid w:val="002E1E87"/>
    <w:rsid w:val="002E1EBC"/>
    <w:rsid w:val="002E2430"/>
    <w:rsid w:val="002E289E"/>
    <w:rsid w:val="002E390F"/>
    <w:rsid w:val="002E46B3"/>
    <w:rsid w:val="002E47B2"/>
    <w:rsid w:val="002E4BBE"/>
    <w:rsid w:val="002E4C89"/>
    <w:rsid w:val="002E4CA6"/>
    <w:rsid w:val="002E5233"/>
    <w:rsid w:val="002E5753"/>
    <w:rsid w:val="002E5C2B"/>
    <w:rsid w:val="002E6133"/>
    <w:rsid w:val="002E6C9F"/>
    <w:rsid w:val="002E7159"/>
    <w:rsid w:val="002E71A1"/>
    <w:rsid w:val="002E7277"/>
    <w:rsid w:val="002E7688"/>
    <w:rsid w:val="002E76A5"/>
    <w:rsid w:val="002E76BC"/>
    <w:rsid w:val="002E7AFB"/>
    <w:rsid w:val="002F0734"/>
    <w:rsid w:val="002F0851"/>
    <w:rsid w:val="002F0E5C"/>
    <w:rsid w:val="002F125B"/>
    <w:rsid w:val="002F1292"/>
    <w:rsid w:val="002F1A8E"/>
    <w:rsid w:val="002F2013"/>
    <w:rsid w:val="002F23A2"/>
    <w:rsid w:val="002F25D7"/>
    <w:rsid w:val="002F28B2"/>
    <w:rsid w:val="002F2FC7"/>
    <w:rsid w:val="002F3596"/>
    <w:rsid w:val="002F36F6"/>
    <w:rsid w:val="002F3B4C"/>
    <w:rsid w:val="002F3FDA"/>
    <w:rsid w:val="002F43BC"/>
    <w:rsid w:val="002F45BE"/>
    <w:rsid w:val="002F45E5"/>
    <w:rsid w:val="002F5526"/>
    <w:rsid w:val="002F5899"/>
    <w:rsid w:val="002F5A1F"/>
    <w:rsid w:val="002F5E27"/>
    <w:rsid w:val="002F61EB"/>
    <w:rsid w:val="002F6548"/>
    <w:rsid w:val="002F6B7B"/>
    <w:rsid w:val="002F6F0B"/>
    <w:rsid w:val="002F7365"/>
    <w:rsid w:val="002F7C7C"/>
    <w:rsid w:val="00300297"/>
    <w:rsid w:val="003003D4"/>
    <w:rsid w:val="0030088A"/>
    <w:rsid w:val="003009BD"/>
    <w:rsid w:val="00300BE9"/>
    <w:rsid w:val="00301070"/>
    <w:rsid w:val="00301235"/>
    <w:rsid w:val="003012A2"/>
    <w:rsid w:val="0030173E"/>
    <w:rsid w:val="00301881"/>
    <w:rsid w:val="00301B24"/>
    <w:rsid w:val="00301C9E"/>
    <w:rsid w:val="00301D6F"/>
    <w:rsid w:val="00301E52"/>
    <w:rsid w:val="0030233C"/>
    <w:rsid w:val="003025E9"/>
    <w:rsid w:val="00302715"/>
    <w:rsid w:val="003027A0"/>
    <w:rsid w:val="00303042"/>
    <w:rsid w:val="003030D5"/>
    <w:rsid w:val="0030338F"/>
    <w:rsid w:val="00303578"/>
    <w:rsid w:val="003035A3"/>
    <w:rsid w:val="0030374D"/>
    <w:rsid w:val="0030391F"/>
    <w:rsid w:val="00303BBE"/>
    <w:rsid w:val="00303D84"/>
    <w:rsid w:val="00303FBD"/>
    <w:rsid w:val="00304095"/>
    <w:rsid w:val="0030452E"/>
    <w:rsid w:val="0030461C"/>
    <w:rsid w:val="003048B3"/>
    <w:rsid w:val="00304AFF"/>
    <w:rsid w:val="0030599D"/>
    <w:rsid w:val="003067C0"/>
    <w:rsid w:val="003067DC"/>
    <w:rsid w:val="00306B6D"/>
    <w:rsid w:val="00306E7A"/>
    <w:rsid w:val="00306F0C"/>
    <w:rsid w:val="003071E0"/>
    <w:rsid w:val="00307A8B"/>
    <w:rsid w:val="00307B4E"/>
    <w:rsid w:val="00310392"/>
    <w:rsid w:val="00310466"/>
    <w:rsid w:val="003106A1"/>
    <w:rsid w:val="00310B4B"/>
    <w:rsid w:val="00310C38"/>
    <w:rsid w:val="00311EE9"/>
    <w:rsid w:val="00311F9D"/>
    <w:rsid w:val="003122FD"/>
    <w:rsid w:val="003123E6"/>
    <w:rsid w:val="00312814"/>
    <w:rsid w:val="00312AE9"/>
    <w:rsid w:val="00312DE4"/>
    <w:rsid w:val="00312F70"/>
    <w:rsid w:val="003133F7"/>
    <w:rsid w:val="0031364D"/>
    <w:rsid w:val="00313A98"/>
    <w:rsid w:val="00313AAA"/>
    <w:rsid w:val="00313BEF"/>
    <w:rsid w:val="0031408D"/>
    <w:rsid w:val="00314184"/>
    <w:rsid w:val="00314AE6"/>
    <w:rsid w:val="003151F1"/>
    <w:rsid w:val="00315AC1"/>
    <w:rsid w:val="00315D28"/>
    <w:rsid w:val="00316087"/>
    <w:rsid w:val="00316420"/>
    <w:rsid w:val="00316458"/>
    <w:rsid w:val="00316573"/>
    <w:rsid w:val="00316C24"/>
    <w:rsid w:val="00317727"/>
    <w:rsid w:val="00317790"/>
    <w:rsid w:val="00317FC9"/>
    <w:rsid w:val="00320324"/>
    <w:rsid w:val="00320647"/>
    <w:rsid w:val="0032130B"/>
    <w:rsid w:val="0032137C"/>
    <w:rsid w:val="003215EA"/>
    <w:rsid w:val="0032164A"/>
    <w:rsid w:val="0032198D"/>
    <w:rsid w:val="00321B38"/>
    <w:rsid w:val="00322A43"/>
    <w:rsid w:val="00322A47"/>
    <w:rsid w:val="00322CC5"/>
    <w:rsid w:val="00322CF2"/>
    <w:rsid w:val="00323208"/>
    <w:rsid w:val="0032333E"/>
    <w:rsid w:val="00323368"/>
    <w:rsid w:val="00323513"/>
    <w:rsid w:val="00323A0D"/>
    <w:rsid w:val="00323FDB"/>
    <w:rsid w:val="003242B9"/>
    <w:rsid w:val="003246E8"/>
    <w:rsid w:val="003249EE"/>
    <w:rsid w:val="00324AEC"/>
    <w:rsid w:val="00324B55"/>
    <w:rsid w:val="0032544E"/>
    <w:rsid w:val="00325551"/>
    <w:rsid w:val="00325D11"/>
    <w:rsid w:val="00326332"/>
    <w:rsid w:val="003265A9"/>
    <w:rsid w:val="00326762"/>
    <w:rsid w:val="003268B9"/>
    <w:rsid w:val="0032696B"/>
    <w:rsid w:val="003269DB"/>
    <w:rsid w:val="00326DC0"/>
    <w:rsid w:val="00327031"/>
    <w:rsid w:val="003274D3"/>
    <w:rsid w:val="0032768A"/>
    <w:rsid w:val="00327A31"/>
    <w:rsid w:val="0033025E"/>
    <w:rsid w:val="00330297"/>
    <w:rsid w:val="00330789"/>
    <w:rsid w:val="0033097F"/>
    <w:rsid w:val="00330EFE"/>
    <w:rsid w:val="00331663"/>
    <w:rsid w:val="003316DC"/>
    <w:rsid w:val="00331CB5"/>
    <w:rsid w:val="00331EEE"/>
    <w:rsid w:val="00332235"/>
    <w:rsid w:val="00332EC2"/>
    <w:rsid w:val="00333399"/>
    <w:rsid w:val="00333931"/>
    <w:rsid w:val="00333CE6"/>
    <w:rsid w:val="003340C9"/>
    <w:rsid w:val="00334377"/>
    <w:rsid w:val="0033444B"/>
    <w:rsid w:val="00334647"/>
    <w:rsid w:val="0033491E"/>
    <w:rsid w:val="00334E00"/>
    <w:rsid w:val="00334F22"/>
    <w:rsid w:val="003351CB"/>
    <w:rsid w:val="0033561C"/>
    <w:rsid w:val="00335D0B"/>
    <w:rsid w:val="00335FA2"/>
    <w:rsid w:val="0033683F"/>
    <w:rsid w:val="003370E3"/>
    <w:rsid w:val="00337AB8"/>
    <w:rsid w:val="0033944B"/>
    <w:rsid w:val="003403F9"/>
    <w:rsid w:val="003406D5"/>
    <w:rsid w:val="00340EC3"/>
    <w:rsid w:val="00341346"/>
    <w:rsid w:val="00341BE3"/>
    <w:rsid w:val="00341C2B"/>
    <w:rsid w:val="00341F8D"/>
    <w:rsid w:val="00342132"/>
    <w:rsid w:val="00342175"/>
    <w:rsid w:val="003421B4"/>
    <w:rsid w:val="00342A52"/>
    <w:rsid w:val="00342B20"/>
    <w:rsid w:val="00342EFB"/>
    <w:rsid w:val="003431DA"/>
    <w:rsid w:val="0034335E"/>
    <w:rsid w:val="00343E81"/>
    <w:rsid w:val="00344147"/>
    <w:rsid w:val="00344249"/>
    <w:rsid w:val="003443E0"/>
    <w:rsid w:val="003447E6"/>
    <w:rsid w:val="00344E8A"/>
    <w:rsid w:val="00344F56"/>
    <w:rsid w:val="00345C69"/>
    <w:rsid w:val="00346187"/>
    <w:rsid w:val="003465CF"/>
    <w:rsid w:val="00346A95"/>
    <w:rsid w:val="00346B04"/>
    <w:rsid w:val="00346ED3"/>
    <w:rsid w:val="00347039"/>
    <w:rsid w:val="00347255"/>
    <w:rsid w:val="00347280"/>
    <w:rsid w:val="00347872"/>
    <w:rsid w:val="00347C6B"/>
    <w:rsid w:val="00347FD7"/>
    <w:rsid w:val="0035009B"/>
    <w:rsid w:val="0035078F"/>
    <w:rsid w:val="00350835"/>
    <w:rsid w:val="003509CA"/>
    <w:rsid w:val="00351037"/>
    <w:rsid w:val="0035138D"/>
    <w:rsid w:val="00351F80"/>
    <w:rsid w:val="00352195"/>
    <w:rsid w:val="0035239D"/>
    <w:rsid w:val="003526C9"/>
    <w:rsid w:val="00352BBF"/>
    <w:rsid w:val="00352CFE"/>
    <w:rsid w:val="00352EC2"/>
    <w:rsid w:val="00353263"/>
    <w:rsid w:val="00353440"/>
    <w:rsid w:val="00353C2F"/>
    <w:rsid w:val="00353F23"/>
    <w:rsid w:val="00353F44"/>
    <w:rsid w:val="003547A8"/>
    <w:rsid w:val="0035496A"/>
    <w:rsid w:val="00354AF9"/>
    <w:rsid w:val="00354BF5"/>
    <w:rsid w:val="00355378"/>
    <w:rsid w:val="003557FA"/>
    <w:rsid w:val="00355817"/>
    <w:rsid w:val="0035584A"/>
    <w:rsid w:val="00355908"/>
    <w:rsid w:val="003559D3"/>
    <w:rsid w:val="00355A37"/>
    <w:rsid w:val="00355AAD"/>
    <w:rsid w:val="00355C5F"/>
    <w:rsid w:val="0035609F"/>
    <w:rsid w:val="00356263"/>
    <w:rsid w:val="00356650"/>
    <w:rsid w:val="00356DFB"/>
    <w:rsid w:val="00356E18"/>
    <w:rsid w:val="00356E2B"/>
    <w:rsid w:val="00357651"/>
    <w:rsid w:val="00357F66"/>
    <w:rsid w:val="00360024"/>
    <w:rsid w:val="003600DD"/>
    <w:rsid w:val="0036010C"/>
    <w:rsid w:val="003602A5"/>
    <w:rsid w:val="003606E4"/>
    <w:rsid w:val="00360BF4"/>
    <w:rsid w:val="00360DAE"/>
    <w:rsid w:val="00360F93"/>
    <w:rsid w:val="00361A89"/>
    <w:rsid w:val="00362507"/>
    <w:rsid w:val="00362E43"/>
    <w:rsid w:val="00363547"/>
    <w:rsid w:val="003639A3"/>
    <w:rsid w:val="003642E5"/>
    <w:rsid w:val="003646CE"/>
    <w:rsid w:val="00365652"/>
    <w:rsid w:val="003656EA"/>
    <w:rsid w:val="003658F1"/>
    <w:rsid w:val="003661D2"/>
    <w:rsid w:val="0036639F"/>
    <w:rsid w:val="003663BD"/>
    <w:rsid w:val="003667F2"/>
    <w:rsid w:val="00366D00"/>
    <w:rsid w:val="00366E9A"/>
    <w:rsid w:val="003670AE"/>
    <w:rsid w:val="003675B1"/>
    <w:rsid w:val="00370CD5"/>
    <w:rsid w:val="00370F14"/>
    <w:rsid w:val="00371639"/>
    <w:rsid w:val="003718A9"/>
    <w:rsid w:val="00371ABC"/>
    <w:rsid w:val="00371C45"/>
    <w:rsid w:val="0037200F"/>
    <w:rsid w:val="0037222F"/>
    <w:rsid w:val="0037228D"/>
    <w:rsid w:val="003722FA"/>
    <w:rsid w:val="00372958"/>
    <w:rsid w:val="00372992"/>
    <w:rsid w:val="003729A0"/>
    <w:rsid w:val="00372BA0"/>
    <w:rsid w:val="00372D71"/>
    <w:rsid w:val="00373030"/>
    <w:rsid w:val="00373DEC"/>
    <w:rsid w:val="0037420A"/>
    <w:rsid w:val="00374376"/>
    <w:rsid w:val="00374821"/>
    <w:rsid w:val="00374ACC"/>
    <w:rsid w:val="003750A7"/>
    <w:rsid w:val="003751B1"/>
    <w:rsid w:val="003752B2"/>
    <w:rsid w:val="00376034"/>
    <w:rsid w:val="003762B1"/>
    <w:rsid w:val="00376315"/>
    <w:rsid w:val="003766ED"/>
    <w:rsid w:val="00376905"/>
    <w:rsid w:val="00376C09"/>
    <w:rsid w:val="00376C18"/>
    <w:rsid w:val="00376DCE"/>
    <w:rsid w:val="00377629"/>
    <w:rsid w:val="0037766D"/>
    <w:rsid w:val="0037773A"/>
    <w:rsid w:val="003777D5"/>
    <w:rsid w:val="00377878"/>
    <w:rsid w:val="00380991"/>
    <w:rsid w:val="00380AA6"/>
    <w:rsid w:val="00380E72"/>
    <w:rsid w:val="0038150C"/>
    <w:rsid w:val="00381843"/>
    <w:rsid w:val="00381B92"/>
    <w:rsid w:val="003822BD"/>
    <w:rsid w:val="00382780"/>
    <w:rsid w:val="00383540"/>
    <w:rsid w:val="0038382A"/>
    <w:rsid w:val="003839D9"/>
    <w:rsid w:val="00383E12"/>
    <w:rsid w:val="003843E4"/>
    <w:rsid w:val="003845AD"/>
    <w:rsid w:val="00384D31"/>
    <w:rsid w:val="00384E32"/>
    <w:rsid w:val="0038534F"/>
    <w:rsid w:val="0038539F"/>
    <w:rsid w:val="003855F1"/>
    <w:rsid w:val="003857BB"/>
    <w:rsid w:val="003859CE"/>
    <w:rsid w:val="00385CCA"/>
    <w:rsid w:val="00385DA1"/>
    <w:rsid w:val="00385EFA"/>
    <w:rsid w:val="00385FB9"/>
    <w:rsid w:val="003868E8"/>
    <w:rsid w:val="00386F7D"/>
    <w:rsid w:val="0038746E"/>
    <w:rsid w:val="00387733"/>
    <w:rsid w:val="00387E97"/>
    <w:rsid w:val="00387F40"/>
    <w:rsid w:val="00390725"/>
    <w:rsid w:val="00390C87"/>
    <w:rsid w:val="00390D59"/>
    <w:rsid w:val="00390F71"/>
    <w:rsid w:val="00391C83"/>
    <w:rsid w:val="00391FE9"/>
    <w:rsid w:val="00392457"/>
    <w:rsid w:val="00392A40"/>
    <w:rsid w:val="00392F0D"/>
    <w:rsid w:val="003931D2"/>
    <w:rsid w:val="003933CE"/>
    <w:rsid w:val="00393685"/>
    <w:rsid w:val="0039410B"/>
    <w:rsid w:val="003941C3"/>
    <w:rsid w:val="00394769"/>
    <w:rsid w:val="003950DC"/>
    <w:rsid w:val="003950E3"/>
    <w:rsid w:val="00395103"/>
    <w:rsid w:val="0039546C"/>
    <w:rsid w:val="00395986"/>
    <w:rsid w:val="00395FD1"/>
    <w:rsid w:val="0039667A"/>
    <w:rsid w:val="00396B09"/>
    <w:rsid w:val="00396C1C"/>
    <w:rsid w:val="00396C8F"/>
    <w:rsid w:val="00396CC8"/>
    <w:rsid w:val="00396DF0"/>
    <w:rsid w:val="00396FA5"/>
    <w:rsid w:val="00396FB5"/>
    <w:rsid w:val="0039738C"/>
    <w:rsid w:val="00397429"/>
    <w:rsid w:val="003977B9"/>
    <w:rsid w:val="00397DDA"/>
    <w:rsid w:val="003A0186"/>
    <w:rsid w:val="003A0410"/>
    <w:rsid w:val="003A0716"/>
    <w:rsid w:val="003A076F"/>
    <w:rsid w:val="003A122E"/>
    <w:rsid w:val="003A127D"/>
    <w:rsid w:val="003A1794"/>
    <w:rsid w:val="003A18DD"/>
    <w:rsid w:val="003A1C21"/>
    <w:rsid w:val="003A20DD"/>
    <w:rsid w:val="003A21E5"/>
    <w:rsid w:val="003A2476"/>
    <w:rsid w:val="003A2B7A"/>
    <w:rsid w:val="003A2DEF"/>
    <w:rsid w:val="003A2FB9"/>
    <w:rsid w:val="003A39DC"/>
    <w:rsid w:val="003A3A3E"/>
    <w:rsid w:val="003A3F2F"/>
    <w:rsid w:val="003A43C4"/>
    <w:rsid w:val="003A4485"/>
    <w:rsid w:val="003A4548"/>
    <w:rsid w:val="003A4AB6"/>
    <w:rsid w:val="003A517E"/>
    <w:rsid w:val="003A5184"/>
    <w:rsid w:val="003A53BD"/>
    <w:rsid w:val="003A5E16"/>
    <w:rsid w:val="003A5EC1"/>
    <w:rsid w:val="003A6AC9"/>
    <w:rsid w:val="003A6B52"/>
    <w:rsid w:val="003A6CD8"/>
    <w:rsid w:val="003A6DE0"/>
    <w:rsid w:val="003A71AC"/>
    <w:rsid w:val="003A75D4"/>
    <w:rsid w:val="003A7839"/>
    <w:rsid w:val="003A7A0B"/>
    <w:rsid w:val="003A7BD6"/>
    <w:rsid w:val="003B0421"/>
    <w:rsid w:val="003B0781"/>
    <w:rsid w:val="003B0858"/>
    <w:rsid w:val="003B1061"/>
    <w:rsid w:val="003B1248"/>
    <w:rsid w:val="003B132A"/>
    <w:rsid w:val="003B1941"/>
    <w:rsid w:val="003B22E3"/>
    <w:rsid w:val="003B23FF"/>
    <w:rsid w:val="003B24F5"/>
    <w:rsid w:val="003B27FA"/>
    <w:rsid w:val="003B31D3"/>
    <w:rsid w:val="003B323D"/>
    <w:rsid w:val="003B374A"/>
    <w:rsid w:val="003B4329"/>
    <w:rsid w:val="003B45FF"/>
    <w:rsid w:val="003B464B"/>
    <w:rsid w:val="003B4A87"/>
    <w:rsid w:val="003B4B67"/>
    <w:rsid w:val="003B4B7A"/>
    <w:rsid w:val="003B560A"/>
    <w:rsid w:val="003B63BC"/>
    <w:rsid w:val="003B66DA"/>
    <w:rsid w:val="003B695D"/>
    <w:rsid w:val="003B6E41"/>
    <w:rsid w:val="003B72F3"/>
    <w:rsid w:val="003B7380"/>
    <w:rsid w:val="003B77EC"/>
    <w:rsid w:val="003B786C"/>
    <w:rsid w:val="003B78D5"/>
    <w:rsid w:val="003C00D6"/>
    <w:rsid w:val="003C01BF"/>
    <w:rsid w:val="003C03D6"/>
    <w:rsid w:val="003C0610"/>
    <w:rsid w:val="003C0928"/>
    <w:rsid w:val="003C0AF2"/>
    <w:rsid w:val="003C10D8"/>
    <w:rsid w:val="003C141F"/>
    <w:rsid w:val="003C1461"/>
    <w:rsid w:val="003C1BB2"/>
    <w:rsid w:val="003C26EB"/>
    <w:rsid w:val="003C2E08"/>
    <w:rsid w:val="003C3119"/>
    <w:rsid w:val="003C34D0"/>
    <w:rsid w:val="003C38A9"/>
    <w:rsid w:val="003C39CC"/>
    <w:rsid w:val="003C429B"/>
    <w:rsid w:val="003C49DC"/>
    <w:rsid w:val="003C5030"/>
    <w:rsid w:val="003C5BF7"/>
    <w:rsid w:val="003C708F"/>
    <w:rsid w:val="003C70C8"/>
    <w:rsid w:val="003C778A"/>
    <w:rsid w:val="003C7B48"/>
    <w:rsid w:val="003D0130"/>
    <w:rsid w:val="003D07CE"/>
    <w:rsid w:val="003D0FAB"/>
    <w:rsid w:val="003D15D5"/>
    <w:rsid w:val="003D169E"/>
    <w:rsid w:val="003D1868"/>
    <w:rsid w:val="003D18ED"/>
    <w:rsid w:val="003D1AAC"/>
    <w:rsid w:val="003D1BB6"/>
    <w:rsid w:val="003D1D35"/>
    <w:rsid w:val="003D30D7"/>
    <w:rsid w:val="003D3623"/>
    <w:rsid w:val="003D43AF"/>
    <w:rsid w:val="003D4526"/>
    <w:rsid w:val="003D46C2"/>
    <w:rsid w:val="003D499A"/>
    <w:rsid w:val="003D4ACC"/>
    <w:rsid w:val="003D557D"/>
    <w:rsid w:val="003D62EC"/>
    <w:rsid w:val="003D69EB"/>
    <w:rsid w:val="003D6F4B"/>
    <w:rsid w:val="003D6F4D"/>
    <w:rsid w:val="003D70F1"/>
    <w:rsid w:val="003D7554"/>
    <w:rsid w:val="003D78EA"/>
    <w:rsid w:val="003D79D2"/>
    <w:rsid w:val="003E035E"/>
    <w:rsid w:val="003E0A74"/>
    <w:rsid w:val="003E0DD9"/>
    <w:rsid w:val="003E1881"/>
    <w:rsid w:val="003E2252"/>
    <w:rsid w:val="003E29C1"/>
    <w:rsid w:val="003E2AA2"/>
    <w:rsid w:val="003E2D97"/>
    <w:rsid w:val="003E2E1B"/>
    <w:rsid w:val="003E33D0"/>
    <w:rsid w:val="003E340E"/>
    <w:rsid w:val="003E346B"/>
    <w:rsid w:val="003E3D03"/>
    <w:rsid w:val="003E3ED6"/>
    <w:rsid w:val="003E4417"/>
    <w:rsid w:val="003E44FF"/>
    <w:rsid w:val="003E493A"/>
    <w:rsid w:val="003E540A"/>
    <w:rsid w:val="003E5C3C"/>
    <w:rsid w:val="003E5F62"/>
    <w:rsid w:val="003E6026"/>
    <w:rsid w:val="003E6178"/>
    <w:rsid w:val="003E68D6"/>
    <w:rsid w:val="003E69BB"/>
    <w:rsid w:val="003E6AD4"/>
    <w:rsid w:val="003E6C29"/>
    <w:rsid w:val="003E6CC8"/>
    <w:rsid w:val="003E73A5"/>
    <w:rsid w:val="003E783C"/>
    <w:rsid w:val="003F08BB"/>
    <w:rsid w:val="003F127C"/>
    <w:rsid w:val="003F16FC"/>
    <w:rsid w:val="003F18BB"/>
    <w:rsid w:val="003F1A8A"/>
    <w:rsid w:val="003F1B65"/>
    <w:rsid w:val="003F268B"/>
    <w:rsid w:val="003F36BB"/>
    <w:rsid w:val="003F3731"/>
    <w:rsid w:val="003F3831"/>
    <w:rsid w:val="003F3B88"/>
    <w:rsid w:val="003F3EF9"/>
    <w:rsid w:val="003F42C0"/>
    <w:rsid w:val="003F49CF"/>
    <w:rsid w:val="003F4B4D"/>
    <w:rsid w:val="003F4D1F"/>
    <w:rsid w:val="003F4D3A"/>
    <w:rsid w:val="003F4D93"/>
    <w:rsid w:val="003F57C9"/>
    <w:rsid w:val="003F580C"/>
    <w:rsid w:val="003F5828"/>
    <w:rsid w:val="003F5D53"/>
    <w:rsid w:val="003F610B"/>
    <w:rsid w:val="003F6231"/>
    <w:rsid w:val="003F6DC9"/>
    <w:rsid w:val="003F73AE"/>
    <w:rsid w:val="003F7426"/>
    <w:rsid w:val="003F7507"/>
    <w:rsid w:val="003F769A"/>
    <w:rsid w:val="003F7A60"/>
    <w:rsid w:val="003F7F4C"/>
    <w:rsid w:val="0040064E"/>
    <w:rsid w:val="00400943"/>
    <w:rsid w:val="00400FA5"/>
    <w:rsid w:val="00401D7D"/>
    <w:rsid w:val="00401EC5"/>
    <w:rsid w:val="00402988"/>
    <w:rsid w:val="00402F36"/>
    <w:rsid w:val="004032B6"/>
    <w:rsid w:val="0040358C"/>
    <w:rsid w:val="00403E35"/>
    <w:rsid w:val="00403F88"/>
    <w:rsid w:val="004045D1"/>
    <w:rsid w:val="00404918"/>
    <w:rsid w:val="004049AC"/>
    <w:rsid w:val="004052AF"/>
    <w:rsid w:val="004052D8"/>
    <w:rsid w:val="004054B2"/>
    <w:rsid w:val="00405E65"/>
    <w:rsid w:val="00405FE3"/>
    <w:rsid w:val="00406282"/>
    <w:rsid w:val="00406387"/>
    <w:rsid w:val="00406A6C"/>
    <w:rsid w:val="00406B41"/>
    <w:rsid w:val="00406FA5"/>
    <w:rsid w:val="004072AC"/>
    <w:rsid w:val="0040750F"/>
    <w:rsid w:val="004076A3"/>
    <w:rsid w:val="00407DDC"/>
    <w:rsid w:val="00407F5E"/>
    <w:rsid w:val="004105F4"/>
    <w:rsid w:val="00410B47"/>
    <w:rsid w:val="00410BFB"/>
    <w:rsid w:val="00410D9D"/>
    <w:rsid w:val="004111AF"/>
    <w:rsid w:val="004113D7"/>
    <w:rsid w:val="004121AD"/>
    <w:rsid w:val="0041226D"/>
    <w:rsid w:val="004125C0"/>
    <w:rsid w:val="00412A09"/>
    <w:rsid w:val="00412C97"/>
    <w:rsid w:val="00412E6E"/>
    <w:rsid w:val="0041322D"/>
    <w:rsid w:val="004132A1"/>
    <w:rsid w:val="004139ED"/>
    <w:rsid w:val="00414A2E"/>
    <w:rsid w:val="00414BC2"/>
    <w:rsid w:val="00414CF0"/>
    <w:rsid w:val="00414E31"/>
    <w:rsid w:val="00414F3C"/>
    <w:rsid w:val="00415118"/>
    <w:rsid w:val="00415C05"/>
    <w:rsid w:val="00416064"/>
    <w:rsid w:val="00416714"/>
    <w:rsid w:val="00416966"/>
    <w:rsid w:val="0041736E"/>
    <w:rsid w:val="0041746F"/>
    <w:rsid w:val="00417883"/>
    <w:rsid w:val="00417BB6"/>
    <w:rsid w:val="00417E4A"/>
    <w:rsid w:val="00417EC3"/>
    <w:rsid w:val="0042018E"/>
    <w:rsid w:val="004205D4"/>
    <w:rsid w:val="00420731"/>
    <w:rsid w:val="00420795"/>
    <w:rsid w:val="00420B5A"/>
    <w:rsid w:val="00420C05"/>
    <w:rsid w:val="004210E9"/>
    <w:rsid w:val="0042111B"/>
    <w:rsid w:val="0042116E"/>
    <w:rsid w:val="004214F3"/>
    <w:rsid w:val="00421662"/>
    <w:rsid w:val="00421AD4"/>
    <w:rsid w:val="00421E96"/>
    <w:rsid w:val="0042226A"/>
    <w:rsid w:val="00422A70"/>
    <w:rsid w:val="00422A9A"/>
    <w:rsid w:val="00423152"/>
    <w:rsid w:val="0042426E"/>
    <w:rsid w:val="004247A5"/>
    <w:rsid w:val="004248A1"/>
    <w:rsid w:val="0042515C"/>
    <w:rsid w:val="0042533B"/>
    <w:rsid w:val="00425534"/>
    <w:rsid w:val="00425A0A"/>
    <w:rsid w:val="00425A51"/>
    <w:rsid w:val="00425B95"/>
    <w:rsid w:val="00425DB4"/>
    <w:rsid w:val="0042630D"/>
    <w:rsid w:val="004265CC"/>
    <w:rsid w:val="00426645"/>
    <w:rsid w:val="004269FB"/>
    <w:rsid w:val="0042731E"/>
    <w:rsid w:val="004278B3"/>
    <w:rsid w:val="00427DB1"/>
    <w:rsid w:val="00430486"/>
    <w:rsid w:val="00430526"/>
    <w:rsid w:val="0043099E"/>
    <w:rsid w:val="00430A5F"/>
    <w:rsid w:val="0043177E"/>
    <w:rsid w:val="00431785"/>
    <w:rsid w:val="0043182F"/>
    <w:rsid w:val="00431AB5"/>
    <w:rsid w:val="00431AF2"/>
    <w:rsid w:val="00431D40"/>
    <w:rsid w:val="00431D8B"/>
    <w:rsid w:val="00431F16"/>
    <w:rsid w:val="0043261D"/>
    <w:rsid w:val="00432BD5"/>
    <w:rsid w:val="00433018"/>
    <w:rsid w:val="004331F4"/>
    <w:rsid w:val="004333D5"/>
    <w:rsid w:val="0043353E"/>
    <w:rsid w:val="00433B17"/>
    <w:rsid w:val="00433F59"/>
    <w:rsid w:val="004341C4"/>
    <w:rsid w:val="00434480"/>
    <w:rsid w:val="004344CF"/>
    <w:rsid w:val="00434591"/>
    <w:rsid w:val="004345D2"/>
    <w:rsid w:val="00434A94"/>
    <w:rsid w:val="00434D0E"/>
    <w:rsid w:val="00435220"/>
    <w:rsid w:val="004357CB"/>
    <w:rsid w:val="004357D1"/>
    <w:rsid w:val="00435E82"/>
    <w:rsid w:val="00435FA0"/>
    <w:rsid w:val="004363D0"/>
    <w:rsid w:val="004363E0"/>
    <w:rsid w:val="00436871"/>
    <w:rsid w:val="00436BC9"/>
    <w:rsid w:val="0043788C"/>
    <w:rsid w:val="00437F41"/>
    <w:rsid w:val="004401AC"/>
    <w:rsid w:val="0044078F"/>
    <w:rsid w:val="004408B1"/>
    <w:rsid w:val="00441172"/>
    <w:rsid w:val="0044118E"/>
    <w:rsid w:val="004411DA"/>
    <w:rsid w:val="004416DF"/>
    <w:rsid w:val="00441935"/>
    <w:rsid w:val="0044199F"/>
    <w:rsid w:val="00441A9E"/>
    <w:rsid w:val="004423FF"/>
    <w:rsid w:val="00442B4E"/>
    <w:rsid w:val="00442C71"/>
    <w:rsid w:val="00442E66"/>
    <w:rsid w:val="00442F6C"/>
    <w:rsid w:val="0044371F"/>
    <w:rsid w:val="004438F0"/>
    <w:rsid w:val="004439DB"/>
    <w:rsid w:val="00443BD8"/>
    <w:rsid w:val="00443C7A"/>
    <w:rsid w:val="00443E99"/>
    <w:rsid w:val="004444CB"/>
    <w:rsid w:val="0044485B"/>
    <w:rsid w:val="00444BB1"/>
    <w:rsid w:val="00444C3E"/>
    <w:rsid w:val="00444CAA"/>
    <w:rsid w:val="00444EB8"/>
    <w:rsid w:val="00444F41"/>
    <w:rsid w:val="00445110"/>
    <w:rsid w:val="004453CF"/>
    <w:rsid w:val="004455AD"/>
    <w:rsid w:val="00445C02"/>
    <w:rsid w:val="00445E51"/>
    <w:rsid w:val="00446555"/>
    <w:rsid w:val="004469ED"/>
    <w:rsid w:val="00446B5E"/>
    <w:rsid w:val="00447083"/>
    <w:rsid w:val="0044713D"/>
    <w:rsid w:val="0044724C"/>
    <w:rsid w:val="00447312"/>
    <w:rsid w:val="004479CA"/>
    <w:rsid w:val="00447A61"/>
    <w:rsid w:val="00450527"/>
    <w:rsid w:val="0045074B"/>
    <w:rsid w:val="00450DBE"/>
    <w:rsid w:val="004511FE"/>
    <w:rsid w:val="004518C6"/>
    <w:rsid w:val="00451F18"/>
    <w:rsid w:val="004520F0"/>
    <w:rsid w:val="004521EA"/>
    <w:rsid w:val="00452556"/>
    <w:rsid w:val="004525B1"/>
    <w:rsid w:val="00452C66"/>
    <w:rsid w:val="00453145"/>
    <w:rsid w:val="00453318"/>
    <w:rsid w:val="004539E1"/>
    <w:rsid w:val="00453B4C"/>
    <w:rsid w:val="00453CA7"/>
    <w:rsid w:val="0045519F"/>
    <w:rsid w:val="004552E9"/>
    <w:rsid w:val="00455A46"/>
    <w:rsid w:val="00455A86"/>
    <w:rsid w:val="00455B54"/>
    <w:rsid w:val="00455FAE"/>
    <w:rsid w:val="004569A3"/>
    <w:rsid w:val="00456A1D"/>
    <w:rsid w:val="0045710F"/>
    <w:rsid w:val="0045713F"/>
    <w:rsid w:val="0045757E"/>
    <w:rsid w:val="00457A49"/>
    <w:rsid w:val="00457BE5"/>
    <w:rsid w:val="00457F7D"/>
    <w:rsid w:val="004605B1"/>
    <w:rsid w:val="00460631"/>
    <w:rsid w:val="0046076B"/>
    <w:rsid w:val="004608E2"/>
    <w:rsid w:val="004609D8"/>
    <w:rsid w:val="00460AF8"/>
    <w:rsid w:val="00460DC4"/>
    <w:rsid w:val="004610CA"/>
    <w:rsid w:val="004612C4"/>
    <w:rsid w:val="00461375"/>
    <w:rsid w:val="004613CC"/>
    <w:rsid w:val="00461807"/>
    <w:rsid w:val="0046186E"/>
    <w:rsid w:val="00461901"/>
    <w:rsid w:val="00461A78"/>
    <w:rsid w:val="00461BBA"/>
    <w:rsid w:val="00461CBD"/>
    <w:rsid w:val="004622F7"/>
    <w:rsid w:val="00462586"/>
    <w:rsid w:val="0046275C"/>
    <w:rsid w:val="00462981"/>
    <w:rsid w:val="004632A7"/>
    <w:rsid w:val="00463506"/>
    <w:rsid w:val="00463928"/>
    <w:rsid w:val="004639EA"/>
    <w:rsid w:val="00463FF8"/>
    <w:rsid w:val="00464034"/>
    <w:rsid w:val="0046415A"/>
    <w:rsid w:val="00464714"/>
    <w:rsid w:val="00464C73"/>
    <w:rsid w:val="00464EB4"/>
    <w:rsid w:val="00465291"/>
    <w:rsid w:val="00465A52"/>
    <w:rsid w:val="00466074"/>
    <w:rsid w:val="0046609D"/>
    <w:rsid w:val="00466237"/>
    <w:rsid w:val="004668BA"/>
    <w:rsid w:val="00466D32"/>
    <w:rsid w:val="004673EF"/>
    <w:rsid w:val="0046745B"/>
    <w:rsid w:val="00467E2D"/>
    <w:rsid w:val="0047065C"/>
    <w:rsid w:val="0047086D"/>
    <w:rsid w:val="00470AB8"/>
    <w:rsid w:val="00470C4D"/>
    <w:rsid w:val="00470E74"/>
    <w:rsid w:val="00470E7E"/>
    <w:rsid w:val="00471597"/>
    <w:rsid w:val="00471DA0"/>
    <w:rsid w:val="00472378"/>
    <w:rsid w:val="00472917"/>
    <w:rsid w:val="00472D7F"/>
    <w:rsid w:val="00472EDB"/>
    <w:rsid w:val="004739F3"/>
    <w:rsid w:val="00473B53"/>
    <w:rsid w:val="00473BA8"/>
    <w:rsid w:val="00474559"/>
    <w:rsid w:val="00474822"/>
    <w:rsid w:val="004752AE"/>
    <w:rsid w:val="00475740"/>
    <w:rsid w:val="0047589B"/>
    <w:rsid w:val="004759B5"/>
    <w:rsid w:val="00475E25"/>
    <w:rsid w:val="0047638C"/>
    <w:rsid w:val="004766F6"/>
    <w:rsid w:val="0047693F"/>
    <w:rsid w:val="00476EFB"/>
    <w:rsid w:val="00477978"/>
    <w:rsid w:val="00477C15"/>
    <w:rsid w:val="00477C3D"/>
    <w:rsid w:val="00477E91"/>
    <w:rsid w:val="0048036E"/>
    <w:rsid w:val="004804E8"/>
    <w:rsid w:val="00480AF3"/>
    <w:rsid w:val="00480D78"/>
    <w:rsid w:val="0048169C"/>
    <w:rsid w:val="00481719"/>
    <w:rsid w:val="004818AA"/>
    <w:rsid w:val="00481BEF"/>
    <w:rsid w:val="00481F96"/>
    <w:rsid w:val="004826CC"/>
    <w:rsid w:val="004828BC"/>
    <w:rsid w:val="004828E1"/>
    <w:rsid w:val="00482D55"/>
    <w:rsid w:val="0048311B"/>
    <w:rsid w:val="00483E46"/>
    <w:rsid w:val="00483EAD"/>
    <w:rsid w:val="004840B9"/>
    <w:rsid w:val="0048432D"/>
    <w:rsid w:val="0048438C"/>
    <w:rsid w:val="00484565"/>
    <w:rsid w:val="004848B2"/>
    <w:rsid w:val="00484BBB"/>
    <w:rsid w:val="00484E13"/>
    <w:rsid w:val="00484F84"/>
    <w:rsid w:val="00485EB3"/>
    <w:rsid w:val="00486493"/>
    <w:rsid w:val="004865B0"/>
    <w:rsid w:val="00486BCF"/>
    <w:rsid w:val="00486CA8"/>
    <w:rsid w:val="00487418"/>
    <w:rsid w:val="00487643"/>
    <w:rsid w:val="00487B55"/>
    <w:rsid w:val="00487C65"/>
    <w:rsid w:val="00487FFA"/>
    <w:rsid w:val="004903F7"/>
    <w:rsid w:val="00490B56"/>
    <w:rsid w:val="00490B69"/>
    <w:rsid w:val="00490F37"/>
    <w:rsid w:val="00491614"/>
    <w:rsid w:val="00491DFD"/>
    <w:rsid w:val="00491E10"/>
    <w:rsid w:val="004920B0"/>
    <w:rsid w:val="0049217F"/>
    <w:rsid w:val="00492206"/>
    <w:rsid w:val="0049227F"/>
    <w:rsid w:val="004926D2"/>
    <w:rsid w:val="00492AEB"/>
    <w:rsid w:val="00493698"/>
    <w:rsid w:val="00494210"/>
    <w:rsid w:val="00494A44"/>
    <w:rsid w:val="00494D8B"/>
    <w:rsid w:val="00494F11"/>
    <w:rsid w:val="004956B5"/>
    <w:rsid w:val="00495793"/>
    <w:rsid w:val="004959A1"/>
    <w:rsid w:val="00495BD6"/>
    <w:rsid w:val="00495C22"/>
    <w:rsid w:val="00495D6C"/>
    <w:rsid w:val="0049601B"/>
    <w:rsid w:val="00496218"/>
    <w:rsid w:val="004962F9"/>
    <w:rsid w:val="0049655C"/>
    <w:rsid w:val="00496736"/>
    <w:rsid w:val="00497290"/>
    <w:rsid w:val="0049795B"/>
    <w:rsid w:val="004A0544"/>
    <w:rsid w:val="004A0571"/>
    <w:rsid w:val="004A0713"/>
    <w:rsid w:val="004A0B1C"/>
    <w:rsid w:val="004A0CF8"/>
    <w:rsid w:val="004A1F27"/>
    <w:rsid w:val="004A302A"/>
    <w:rsid w:val="004A32E9"/>
    <w:rsid w:val="004A345B"/>
    <w:rsid w:val="004A346F"/>
    <w:rsid w:val="004A3506"/>
    <w:rsid w:val="004A3547"/>
    <w:rsid w:val="004A377D"/>
    <w:rsid w:val="004A4273"/>
    <w:rsid w:val="004A4462"/>
    <w:rsid w:val="004A49D8"/>
    <w:rsid w:val="004A4E7D"/>
    <w:rsid w:val="004A4F51"/>
    <w:rsid w:val="004A507D"/>
    <w:rsid w:val="004A50BD"/>
    <w:rsid w:val="004A517D"/>
    <w:rsid w:val="004A555F"/>
    <w:rsid w:val="004A568E"/>
    <w:rsid w:val="004A577C"/>
    <w:rsid w:val="004A587E"/>
    <w:rsid w:val="004A5940"/>
    <w:rsid w:val="004A5981"/>
    <w:rsid w:val="004A5A3A"/>
    <w:rsid w:val="004A5E93"/>
    <w:rsid w:val="004A6C72"/>
    <w:rsid w:val="004A77E7"/>
    <w:rsid w:val="004A7C2C"/>
    <w:rsid w:val="004A7E5F"/>
    <w:rsid w:val="004B083F"/>
    <w:rsid w:val="004B0A06"/>
    <w:rsid w:val="004B12B4"/>
    <w:rsid w:val="004B198E"/>
    <w:rsid w:val="004B1D63"/>
    <w:rsid w:val="004B2160"/>
    <w:rsid w:val="004B2722"/>
    <w:rsid w:val="004B2B37"/>
    <w:rsid w:val="004B2B51"/>
    <w:rsid w:val="004B2C71"/>
    <w:rsid w:val="004B2C74"/>
    <w:rsid w:val="004B30F8"/>
    <w:rsid w:val="004B3BBA"/>
    <w:rsid w:val="004B3F32"/>
    <w:rsid w:val="004B3F6D"/>
    <w:rsid w:val="004B4206"/>
    <w:rsid w:val="004B420E"/>
    <w:rsid w:val="004B422E"/>
    <w:rsid w:val="004B4421"/>
    <w:rsid w:val="004B4685"/>
    <w:rsid w:val="004B4A4A"/>
    <w:rsid w:val="004B4D6E"/>
    <w:rsid w:val="004B4FE0"/>
    <w:rsid w:val="004B54B9"/>
    <w:rsid w:val="004B56F2"/>
    <w:rsid w:val="004B5B15"/>
    <w:rsid w:val="004B5C4A"/>
    <w:rsid w:val="004B6322"/>
    <w:rsid w:val="004B6CD5"/>
    <w:rsid w:val="004B6D92"/>
    <w:rsid w:val="004B715D"/>
    <w:rsid w:val="004B7421"/>
    <w:rsid w:val="004B7B9A"/>
    <w:rsid w:val="004C0814"/>
    <w:rsid w:val="004C0983"/>
    <w:rsid w:val="004C0A56"/>
    <w:rsid w:val="004C0ACC"/>
    <w:rsid w:val="004C0CCE"/>
    <w:rsid w:val="004C1B13"/>
    <w:rsid w:val="004C1BFA"/>
    <w:rsid w:val="004C1CA7"/>
    <w:rsid w:val="004C1E4D"/>
    <w:rsid w:val="004C212E"/>
    <w:rsid w:val="004C276D"/>
    <w:rsid w:val="004C2A6A"/>
    <w:rsid w:val="004C2AEA"/>
    <w:rsid w:val="004C2E81"/>
    <w:rsid w:val="004C334C"/>
    <w:rsid w:val="004C39DB"/>
    <w:rsid w:val="004C3A3E"/>
    <w:rsid w:val="004C3B15"/>
    <w:rsid w:val="004C3DF7"/>
    <w:rsid w:val="004C43DB"/>
    <w:rsid w:val="004C4746"/>
    <w:rsid w:val="004C4946"/>
    <w:rsid w:val="004C4D90"/>
    <w:rsid w:val="004C5123"/>
    <w:rsid w:val="004C5593"/>
    <w:rsid w:val="004C55F7"/>
    <w:rsid w:val="004C5623"/>
    <w:rsid w:val="004C56E1"/>
    <w:rsid w:val="004C5771"/>
    <w:rsid w:val="004C5847"/>
    <w:rsid w:val="004C703D"/>
    <w:rsid w:val="004C7958"/>
    <w:rsid w:val="004C7BAA"/>
    <w:rsid w:val="004C7CE4"/>
    <w:rsid w:val="004D00A3"/>
    <w:rsid w:val="004D0157"/>
    <w:rsid w:val="004D05A6"/>
    <w:rsid w:val="004D0BD5"/>
    <w:rsid w:val="004D121C"/>
    <w:rsid w:val="004D1A79"/>
    <w:rsid w:val="004D26D7"/>
    <w:rsid w:val="004D2A22"/>
    <w:rsid w:val="004D2AD6"/>
    <w:rsid w:val="004D3624"/>
    <w:rsid w:val="004D3700"/>
    <w:rsid w:val="004D37E3"/>
    <w:rsid w:val="004D3978"/>
    <w:rsid w:val="004D3A84"/>
    <w:rsid w:val="004D3BBB"/>
    <w:rsid w:val="004D3C9A"/>
    <w:rsid w:val="004D4A03"/>
    <w:rsid w:val="004D4DC5"/>
    <w:rsid w:val="004D4EC2"/>
    <w:rsid w:val="004D57C5"/>
    <w:rsid w:val="004D5AAB"/>
    <w:rsid w:val="004D5C92"/>
    <w:rsid w:val="004D6013"/>
    <w:rsid w:val="004D629B"/>
    <w:rsid w:val="004D62C6"/>
    <w:rsid w:val="004D62CA"/>
    <w:rsid w:val="004D6379"/>
    <w:rsid w:val="004D6467"/>
    <w:rsid w:val="004D6940"/>
    <w:rsid w:val="004D7414"/>
    <w:rsid w:val="004D7AD4"/>
    <w:rsid w:val="004D7CFB"/>
    <w:rsid w:val="004D7E07"/>
    <w:rsid w:val="004E000C"/>
    <w:rsid w:val="004E04AE"/>
    <w:rsid w:val="004E0710"/>
    <w:rsid w:val="004E0BFD"/>
    <w:rsid w:val="004E0E9E"/>
    <w:rsid w:val="004E16AC"/>
    <w:rsid w:val="004E18C9"/>
    <w:rsid w:val="004E18DF"/>
    <w:rsid w:val="004E1936"/>
    <w:rsid w:val="004E1ADD"/>
    <w:rsid w:val="004E1EB4"/>
    <w:rsid w:val="004E2416"/>
    <w:rsid w:val="004E2C35"/>
    <w:rsid w:val="004E2FF2"/>
    <w:rsid w:val="004E30F0"/>
    <w:rsid w:val="004E36B8"/>
    <w:rsid w:val="004E3971"/>
    <w:rsid w:val="004E3D37"/>
    <w:rsid w:val="004E45F0"/>
    <w:rsid w:val="004E4690"/>
    <w:rsid w:val="004E4CE6"/>
    <w:rsid w:val="004E4D98"/>
    <w:rsid w:val="004E5249"/>
    <w:rsid w:val="004E53DB"/>
    <w:rsid w:val="004E563C"/>
    <w:rsid w:val="004E5B04"/>
    <w:rsid w:val="004E67F3"/>
    <w:rsid w:val="004E7BA9"/>
    <w:rsid w:val="004E7DB9"/>
    <w:rsid w:val="004F0137"/>
    <w:rsid w:val="004F0A00"/>
    <w:rsid w:val="004F0FC6"/>
    <w:rsid w:val="004F10A9"/>
    <w:rsid w:val="004F10D4"/>
    <w:rsid w:val="004F1499"/>
    <w:rsid w:val="004F19AF"/>
    <w:rsid w:val="004F1B11"/>
    <w:rsid w:val="004F1CB9"/>
    <w:rsid w:val="004F1D60"/>
    <w:rsid w:val="004F1EF9"/>
    <w:rsid w:val="004F209D"/>
    <w:rsid w:val="004F28A9"/>
    <w:rsid w:val="004F29A8"/>
    <w:rsid w:val="004F29BC"/>
    <w:rsid w:val="004F2C4C"/>
    <w:rsid w:val="004F2E41"/>
    <w:rsid w:val="004F3048"/>
    <w:rsid w:val="004F36E2"/>
    <w:rsid w:val="004F38D1"/>
    <w:rsid w:val="004F398B"/>
    <w:rsid w:val="004F3D4D"/>
    <w:rsid w:val="004F3EC4"/>
    <w:rsid w:val="004F4168"/>
    <w:rsid w:val="004F49CD"/>
    <w:rsid w:val="004F4DFC"/>
    <w:rsid w:val="004F4F24"/>
    <w:rsid w:val="004F5985"/>
    <w:rsid w:val="004F59FC"/>
    <w:rsid w:val="004F5A9C"/>
    <w:rsid w:val="004F5AE4"/>
    <w:rsid w:val="004F5CE1"/>
    <w:rsid w:val="004F606C"/>
    <w:rsid w:val="004F6086"/>
    <w:rsid w:val="004F647A"/>
    <w:rsid w:val="004F649D"/>
    <w:rsid w:val="004F67FC"/>
    <w:rsid w:val="004F6A7F"/>
    <w:rsid w:val="004F6B22"/>
    <w:rsid w:val="004F6CAF"/>
    <w:rsid w:val="004F6F9B"/>
    <w:rsid w:val="004F7BDB"/>
    <w:rsid w:val="005004A9"/>
    <w:rsid w:val="00500663"/>
    <w:rsid w:val="005007DA"/>
    <w:rsid w:val="00500CE1"/>
    <w:rsid w:val="00500D71"/>
    <w:rsid w:val="00500DE8"/>
    <w:rsid w:val="00501847"/>
    <w:rsid w:val="00501A4F"/>
    <w:rsid w:val="00501BB9"/>
    <w:rsid w:val="00502F60"/>
    <w:rsid w:val="00502F6A"/>
    <w:rsid w:val="005032E9"/>
    <w:rsid w:val="00503732"/>
    <w:rsid w:val="005038FD"/>
    <w:rsid w:val="005039EB"/>
    <w:rsid w:val="00503ACE"/>
    <w:rsid w:val="00504187"/>
    <w:rsid w:val="0050435C"/>
    <w:rsid w:val="00504B3F"/>
    <w:rsid w:val="00504C98"/>
    <w:rsid w:val="00504D46"/>
    <w:rsid w:val="00504EC4"/>
    <w:rsid w:val="0050506C"/>
    <w:rsid w:val="005056C3"/>
    <w:rsid w:val="0050591A"/>
    <w:rsid w:val="00505B64"/>
    <w:rsid w:val="00505C3B"/>
    <w:rsid w:val="00506181"/>
    <w:rsid w:val="0050621E"/>
    <w:rsid w:val="005064D5"/>
    <w:rsid w:val="0050657E"/>
    <w:rsid w:val="00506975"/>
    <w:rsid w:val="005069BF"/>
    <w:rsid w:val="00506D23"/>
    <w:rsid w:val="00506E78"/>
    <w:rsid w:val="005070E8"/>
    <w:rsid w:val="00507818"/>
    <w:rsid w:val="00507FE1"/>
    <w:rsid w:val="0051008D"/>
    <w:rsid w:val="0051044C"/>
    <w:rsid w:val="00510860"/>
    <w:rsid w:val="00510D06"/>
    <w:rsid w:val="0051105C"/>
    <w:rsid w:val="00511240"/>
    <w:rsid w:val="00511299"/>
    <w:rsid w:val="00511719"/>
    <w:rsid w:val="0051198C"/>
    <w:rsid w:val="00512CD1"/>
    <w:rsid w:val="005132AC"/>
    <w:rsid w:val="005132F7"/>
    <w:rsid w:val="00513933"/>
    <w:rsid w:val="00513F0D"/>
    <w:rsid w:val="00514438"/>
    <w:rsid w:val="0051462A"/>
    <w:rsid w:val="00515097"/>
    <w:rsid w:val="0051519C"/>
    <w:rsid w:val="0051590C"/>
    <w:rsid w:val="005163AD"/>
    <w:rsid w:val="00516A74"/>
    <w:rsid w:val="00516D89"/>
    <w:rsid w:val="00516FE9"/>
    <w:rsid w:val="00517027"/>
    <w:rsid w:val="005170CE"/>
    <w:rsid w:val="00517731"/>
    <w:rsid w:val="005201E7"/>
    <w:rsid w:val="00520591"/>
    <w:rsid w:val="00520B50"/>
    <w:rsid w:val="00520BF9"/>
    <w:rsid w:val="00521172"/>
    <w:rsid w:val="005212AB"/>
    <w:rsid w:val="0052159D"/>
    <w:rsid w:val="005217FB"/>
    <w:rsid w:val="00521A1C"/>
    <w:rsid w:val="00522AAB"/>
    <w:rsid w:val="00522C34"/>
    <w:rsid w:val="00522DA2"/>
    <w:rsid w:val="005234E4"/>
    <w:rsid w:val="00523BF6"/>
    <w:rsid w:val="00523EA6"/>
    <w:rsid w:val="00524338"/>
    <w:rsid w:val="0052444E"/>
    <w:rsid w:val="0052469A"/>
    <w:rsid w:val="005249C6"/>
    <w:rsid w:val="00524E6E"/>
    <w:rsid w:val="005250B4"/>
    <w:rsid w:val="00525478"/>
    <w:rsid w:val="00525841"/>
    <w:rsid w:val="00525B5B"/>
    <w:rsid w:val="00525C81"/>
    <w:rsid w:val="005260C4"/>
    <w:rsid w:val="00526186"/>
    <w:rsid w:val="00526282"/>
    <w:rsid w:val="005262CC"/>
    <w:rsid w:val="00526685"/>
    <w:rsid w:val="00527718"/>
    <w:rsid w:val="0052773B"/>
    <w:rsid w:val="00527895"/>
    <w:rsid w:val="00527F65"/>
    <w:rsid w:val="0053027E"/>
    <w:rsid w:val="00530492"/>
    <w:rsid w:val="00531A3D"/>
    <w:rsid w:val="00531B0C"/>
    <w:rsid w:val="00532114"/>
    <w:rsid w:val="00532217"/>
    <w:rsid w:val="0053226C"/>
    <w:rsid w:val="005323F4"/>
    <w:rsid w:val="005324AE"/>
    <w:rsid w:val="00532BD4"/>
    <w:rsid w:val="00532CF7"/>
    <w:rsid w:val="00532F0B"/>
    <w:rsid w:val="00533854"/>
    <w:rsid w:val="00533A8B"/>
    <w:rsid w:val="005348AC"/>
    <w:rsid w:val="00534EC1"/>
    <w:rsid w:val="0053502F"/>
    <w:rsid w:val="00535CC1"/>
    <w:rsid w:val="00535EBD"/>
    <w:rsid w:val="0053607C"/>
    <w:rsid w:val="00536246"/>
    <w:rsid w:val="00536428"/>
    <w:rsid w:val="0053654A"/>
    <w:rsid w:val="0053694C"/>
    <w:rsid w:val="00536C6A"/>
    <w:rsid w:val="00536C90"/>
    <w:rsid w:val="00536E11"/>
    <w:rsid w:val="00536F11"/>
    <w:rsid w:val="005370C8"/>
    <w:rsid w:val="0053721C"/>
    <w:rsid w:val="00537471"/>
    <w:rsid w:val="00537899"/>
    <w:rsid w:val="00537F00"/>
    <w:rsid w:val="0053FBDD"/>
    <w:rsid w:val="00540FB5"/>
    <w:rsid w:val="00541F2C"/>
    <w:rsid w:val="00541F68"/>
    <w:rsid w:val="00542C1C"/>
    <w:rsid w:val="00543D27"/>
    <w:rsid w:val="00544422"/>
    <w:rsid w:val="0054459C"/>
    <w:rsid w:val="005448B9"/>
    <w:rsid w:val="00544BA9"/>
    <w:rsid w:val="00545230"/>
    <w:rsid w:val="00545413"/>
    <w:rsid w:val="00545623"/>
    <w:rsid w:val="00545B00"/>
    <w:rsid w:val="00545CC3"/>
    <w:rsid w:val="005461E5"/>
    <w:rsid w:val="00546339"/>
    <w:rsid w:val="00546740"/>
    <w:rsid w:val="005471AB"/>
    <w:rsid w:val="005476BC"/>
    <w:rsid w:val="00547D35"/>
    <w:rsid w:val="00547FBE"/>
    <w:rsid w:val="00550A99"/>
    <w:rsid w:val="0055174F"/>
    <w:rsid w:val="00551CF5"/>
    <w:rsid w:val="00551DB8"/>
    <w:rsid w:val="00551E88"/>
    <w:rsid w:val="00551FA2"/>
    <w:rsid w:val="0055201B"/>
    <w:rsid w:val="00552021"/>
    <w:rsid w:val="00553106"/>
    <w:rsid w:val="00553A19"/>
    <w:rsid w:val="00553D55"/>
    <w:rsid w:val="00553EE0"/>
    <w:rsid w:val="00553F95"/>
    <w:rsid w:val="005543DB"/>
    <w:rsid w:val="00555310"/>
    <w:rsid w:val="00555381"/>
    <w:rsid w:val="0055605A"/>
    <w:rsid w:val="00556088"/>
    <w:rsid w:val="005562AC"/>
    <w:rsid w:val="00556391"/>
    <w:rsid w:val="005563C0"/>
    <w:rsid w:val="00556584"/>
    <w:rsid w:val="005571D3"/>
    <w:rsid w:val="005574F0"/>
    <w:rsid w:val="005577EE"/>
    <w:rsid w:val="00557D26"/>
    <w:rsid w:val="00557F24"/>
    <w:rsid w:val="005602EC"/>
    <w:rsid w:val="00560944"/>
    <w:rsid w:val="00561649"/>
    <w:rsid w:val="0056176E"/>
    <w:rsid w:val="005617A5"/>
    <w:rsid w:val="00561C37"/>
    <w:rsid w:val="00561DCB"/>
    <w:rsid w:val="0056256C"/>
    <w:rsid w:val="005629BA"/>
    <w:rsid w:val="00562B47"/>
    <w:rsid w:val="00562C96"/>
    <w:rsid w:val="00562E0B"/>
    <w:rsid w:val="00562E13"/>
    <w:rsid w:val="00562F07"/>
    <w:rsid w:val="00562FB4"/>
    <w:rsid w:val="0056361F"/>
    <w:rsid w:val="005642B6"/>
    <w:rsid w:val="00564321"/>
    <w:rsid w:val="00564598"/>
    <w:rsid w:val="00564B4D"/>
    <w:rsid w:val="00564BF1"/>
    <w:rsid w:val="00565F63"/>
    <w:rsid w:val="0056602F"/>
    <w:rsid w:val="0056615B"/>
    <w:rsid w:val="005661CE"/>
    <w:rsid w:val="00566802"/>
    <w:rsid w:val="005668C9"/>
    <w:rsid w:val="00566C2B"/>
    <w:rsid w:val="00566EAE"/>
    <w:rsid w:val="00566F78"/>
    <w:rsid w:val="00567223"/>
    <w:rsid w:val="00567783"/>
    <w:rsid w:val="00567C89"/>
    <w:rsid w:val="0057022B"/>
    <w:rsid w:val="00570F56"/>
    <w:rsid w:val="005714A6"/>
    <w:rsid w:val="00571887"/>
    <w:rsid w:val="00571A36"/>
    <w:rsid w:val="00571AC8"/>
    <w:rsid w:val="005726D6"/>
    <w:rsid w:val="00572CAA"/>
    <w:rsid w:val="0057365F"/>
    <w:rsid w:val="00573C80"/>
    <w:rsid w:val="0057425F"/>
    <w:rsid w:val="005749E1"/>
    <w:rsid w:val="00574F56"/>
    <w:rsid w:val="00575279"/>
    <w:rsid w:val="00575391"/>
    <w:rsid w:val="005757CC"/>
    <w:rsid w:val="00575F56"/>
    <w:rsid w:val="00576492"/>
    <w:rsid w:val="005766B3"/>
    <w:rsid w:val="00576E9C"/>
    <w:rsid w:val="0057711A"/>
    <w:rsid w:val="005775AD"/>
    <w:rsid w:val="005775F5"/>
    <w:rsid w:val="005776F6"/>
    <w:rsid w:val="005777BB"/>
    <w:rsid w:val="0058007A"/>
    <w:rsid w:val="0058032E"/>
    <w:rsid w:val="0058052A"/>
    <w:rsid w:val="005805CC"/>
    <w:rsid w:val="005806C4"/>
    <w:rsid w:val="005813F0"/>
    <w:rsid w:val="005815EE"/>
    <w:rsid w:val="0058214D"/>
    <w:rsid w:val="005822C8"/>
    <w:rsid w:val="005825EE"/>
    <w:rsid w:val="005827AC"/>
    <w:rsid w:val="00582B4E"/>
    <w:rsid w:val="005830A9"/>
    <w:rsid w:val="005832F4"/>
    <w:rsid w:val="00583CAE"/>
    <w:rsid w:val="00584040"/>
    <w:rsid w:val="0058423D"/>
    <w:rsid w:val="00584903"/>
    <w:rsid w:val="00584C45"/>
    <w:rsid w:val="00584CDD"/>
    <w:rsid w:val="00584EC5"/>
    <w:rsid w:val="005855CB"/>
    <w:rsid w:val="005857B2"/>
    <w:rsid w:val="00585926"/>
    <w:rsid w:val="00585B74"/>
    <w:rsid w:val="00585CA0"/>
    <w:rsid w:val="00585FFD"/>
    <w:rsid w:val="0058643F"/>
    <w:rsid w:val="00586936"/>
    <w:rsid w:val="00586E8D"/>
    <w:rsid w:val="00587084"/>
    <w:rsid w:val="0058736E"/>
    <w:rsid w:val="005878C8"/>
    <w:rsid w:val="0059008F"/>
    <w:rsid w:val="005903E3"/>
    <w:rsid w:val="00590661"/>
    <w:rsid w:val="0059084F"/>
    <w:rsid w:val="00590F26"/>
    <w:rsid w:val="005913F5"/>
    <w:rsid w:val="00591497"/>
    <w:rsid w:val="005916BD"/>
    <w:rsid w:val="005916F6"/>
    <w:rsid w:val="00591AA9"/>
    <w:rsid w:val="0059280F"/>
    <w:rsid w:val="00592FA9"/>
    <w:rsid w:val="0059328A"/>
    <w:rsid w:val="005934D6"/>
    <w:rsid w:val="005935AB"/>
    <w:rsid w:val="00593660"/>
    <w:rsid w:val="00593F5F"/>
    <w:rsid w:val="0059468E"/>
    <w:rsid w:val="005946F7"/>
    <w:rsid w:val="00594EC4"/>
    <w:rsid w:val="005951FC"/>
    <w:rsid w:val="005955A2"/>
    <w:rsid w:val="00595D73"/>
    <w:rsid w:val="00595F6B"/>
    <w:rsid w:val="005960DE"/>
    <w:rsid w:val="005969E9"/>
    <w:rsid w:val="00596C6B"/>
    <w:rsid w:val="00596C8A"/>
    <w:rsid w:val="00596EFF"/>
    <w:rsid w:val="005A0158"/>
    <w:rsid w:val="005A0561"/>
    <w:rsid w:val="005A0811"/>
    <w:rsid w:val="005A0979"/>
    <w:rsid w:val="005A0C6A"/>
    <w:rsid w:val="005A0DD3"/>
    <w:rsid w:val="005A1AA0"/>
    <w:rsid w:val="005A2853"/>
    <w:rsid w:val="005A2B1B"/>
    <w:rsid w:val="005A3168"/>
    <w:rsid w:val="005A347E"/>
    <w:rsid w:val="005A348D"/>
    <w:rsid w:val="005A3DC9"/>
    <w:rsid w:val="005A3E7C"/>
    <w:rsid w:val="005A4224"/>
    <w:rsid w:val="005A4B91"/>
    <w:rsid w:val="005A4E61"/>
    <w:rsid w:val="005A5287"/>
    <w:rsid w:val="005A580E"/>
    <w:rsid w:val="005A5991"/>
    <w:rsid w:val="005A6087"/>
    <w:rsid w:val="005A62F6"/>
    <w:rsid w:val="005A6354"/>
    <w:rsid w:val="005A6868"/>
    <w:rsid w:val="005A69AB"/>
    <w:rsid w:val="005A6F71"/>
    <w:rsid w:val="005A7320"/>
    <w:rsid w:val="005A7A9A"/>
    <w:rsid w:val="005A7DA6"/>
    <w:rsid w:val="005A7ECE"/>
    <w:rsid w:val="005B0047"/>
    <w:rsid w:val="005B091F"/>
    <w:rsid w:val="005B0AB6"/>
    <w:rsid w:val="005B0BC2"/>
    <w:rsid w:val="005B14A1"/>
    <w:rsid w:val="005B18D5"/>
    <w:rsid w:val="005B1C73"/>
    <w:rsid w:val="005B1F54"/>
    <w:rsid w:val="005B20E6"/>
    <w:rsid w:val="005B2440"/>
    <w:rsid w:val="005B2E5E"/>
    <w:rsid w:val="005B32F7"/>
    <w:rsid w:val="005B35E9"/>
    <w:rsid w:val="005B3886"/>
    <w:rsid w:val="005B38BD"/>
    <w:rsid w:val="005B390D"/>
    <w:rsid w:val="005B3C59"/>
    <w:rsid w:val="005B3D71"/>
    <w:rsid w:val="005B3D84"/>
    <w:rsid w:val="005B3F0B"/>
    <w:rsid w:val="005B3F81"/>
    <w:rsid w:val="005B4182"/>
    <w:rsid w:val="005B4235"/>
    <w:rsid w:val="005B4BC9"/>
    <w:rsid w:val="005B4CD1"/>
    <w:rsid w:val="005B73BA"/>
    <w:rsid w:val="005B7503"/>
    <w:rsid w:val="005B7D7F"/>
    <w:rsid w:val="005C053A"/>
    <w:rsid w:val="005C07D6"/>
    <w:rsid w:val="005C0DF8"/>
    <w:rsid w:val="005C1466"/>
    <w:rsid w:val="005C183F"/>
    <w:rsid w:val="005C1971"/>
    <w:rsid w:val="005C19C2"/>
    <w:rsid w:val="005C1FE1"/>
    <w:rsid w:val="005C2359"/>
    <w:rsid w:val="005C23F6"/>
    <w:rsid w:val="005C29DF"/>
    <w:rsid w:val="005C3976"/>
    <w:rsid w:val="005C3AB8"/>
    <w:rsid w:val="005C3B22"/>
    <w:rsid w:val="005C3B3E"/>
    <w:rsid w:val="005C41C2"/>
    <w:rsid w:val="005C4459"/>
    <w:rsid w:val="005C46C4"/>
    <w:rsid w:val="005C46E2"/>
    <w:rsid w:val="005C47F6"/>
    <w:rsid w:val="005C4C76"/>
    <w:rsid w:val="005C5ABC"/>
    <w:rsid w:val="005C629F"/>
    <w:rsid w:val="005C6BD1"/>
    <w:rsid w:val="005C6D76"/>
    <w:rsid w:val="005C700D"/>
    <w:rsid w:val="005C7185"/>
    <w:rsid w:val="005C79EF"/>
    <w:rsid w:val="005C7E2D"/>
    <w:rsid w:val="005D00F1"/>
    <w:rsid w:val="005D02F5"/>
    <w:rsid w:val="005D0356"/>
    <w:rsid w:val="005D0674"/>
    <w:rsid w:val="005D0EB1"/>
    <w:rsid w:val="005D0EB4"/>
    <w:rsid w:val="005D1429"/>
    <w:rsid w:val="005D22ED"/>
    <w:rsid w:val="005D2B61"/>
    <w:rsid w:val="005D2D49"/>
    <w:rsid w:val="005D3415"/>
    <w:rsid w:val="005D343F"/>
    <w:rsid w:val="005D3ADD"/>
    <w:rsid w:val="005D3B20"/>
    <w:rsid w:val="005D3D12"/>
    <w:rsid w:val="005D412D"/>
    <w:rsid w:val="005D4389"/>
    <w:rsid w:val="005D44AE"/>
    <w:rsid w:val="005D490F"/>
    <w:rsid w:val="005D4B1D"/>
    <w:rsid w:val="005D5930"/>
    <w:rsid w:val="005D5FC3"/>
    <w:rsid w:val="005D612A"/>
    <w:rsid w:val="005D6244"/>
    <w:rsid w:val="005D6CC5"/>
    <w:rsid w:val="005D6E32"/>
    <w:rsid w:val="005D71BE"/>
    <w:rsid w:val="005D7506"/>
    <w:rsid w:val="005D7D78"/>
    <w:rsid w:val="005E02AF"/>
    <w:rsid w:val="005E0624"/>
    <w:rsid w:val="005E06ED"/>
    <w:rsid w:val="005E08B5"/>
    <w:rsid w:val="005E0EDF"/>
    <w:rsid w:val="005E14A8"/>
    <w:rsid w:val="005E1A78"/>
    <w:rsid w:val="005E1F24"/>
    <w:rsid w:val="005E2D90"/>
    <w:rsid w:val="005E31BE"/>
    <w:rsid w:val="005E333D"/>
    <w:rsid w:val="005E365E"/>
    <w:rsid w:val="005E3A8B"/>
    <w:rsid w:val="005E3F87"/>
    <w:rsid w:val="005E43BE"/>
    <w:rsid w:val="005E47A9"/>
    <w:rsid w:val="005E4FB9"/>
    <w:rsid w:val="005E53EC"/>
    <w:rsid w:val="005E54C3"/>
    <w:rsid w:val="005E54DF"/>
    <w:rsid w:val="005E5C44"/>
    <w:rsid w:val="005E612A"/>
    <w:rsid w:val="005E62A8"/>
    <w:rsid w:val="005E77CD"/>
    <w:rsid w:val="005E785E"/>
    <w:rsid w:val="005E78C7"/>
    <w:rsid w:val="005E7EDB"/>
    <w:rsid w:val="005F0301"/>
    <w:rsid w:val="005F037D"/>
    <w:rsid w:val="005F0A28"/>
    <w:rsid w:val="005F0D3E"/>
    <w:rsid w:val="005F0DB6"/>
    <w:rsid w:val="005F1126"/>
    <w:rsid w:val="005F1319"/>
    <w:rsid w:val="005F19C0"/>
    <w:rsid w:val="005F23E5"/>
    <w:rsid w:val="005F2724"/>
    <w:rsid w:val="005F2EB8"/>
    <w:rsid w:val="005F3498"/>
    <w:rsid w:val="005F3AF9"/>
    <w:rsid w:val="005F4203"/>
    <w:rsid w:val="005F4340"/>
    <w:rsid w:val="005F49BA"/>
    <w:rsid w:val="005F4B27"/>
    <w:rsid w:val="005F4CD7"/>
    <w:rsid w:val="005F4E56"/>
    <w:rsid w:val="005F5A09"/>
    <w:rsid w:val="005F6A0C"/>
    <w:rsid w:val="005F6A17"/>
    <w:rsid w:val="005F6B2A"/>
    <w:rsid w:val="005F70C1"/>
    <w:rsid w:val="005F70CE"/>
    <w:rsid w:val="005F733B"/>
    <w:rsid w:val="005F7441"/>
    <w:rsid w:val="005F7792"/>
    <w:rsid w:val="005F7EF7"/>
    <w:rsid w:val="00600247"/>
    <w:rsid w:val="00600FFC"/>
    <w:rsid w:val="006016A7"/>
    <w:rsid w:val="00601D85"/>
    <w:rsid w:val="00601E3D"/>
    <w:rsid w:val="00601F24"/>
    <w:rsid w:val="006024BC"/>
    <w:rsid w:val="00602974"/>
    <w:rsid w:val="00602BEA"/>
    <w:rsid w:val="0060314F"/>
    <w:rsid w:val="00603513"/>
    <w:rsid w:val="00603EC3"/>
    <w:rsid w:val="0060405B"/>
    <w:rsid w:val="00604E2A"/>
    <w:rsid w:val="006057DF"/>
    <w:rsid w:val="00605804"/>
    <w:rsid w:val="00606FB5"/>
    <w:rsid w:val="006073E0"/>
    <w:rsid w:val="00607536"/>
    <w:rsid w:val="00607877"/>
    <w:rsid w:val="0061006C"/>
    <w:rsid w:val="006100B7"/>
    <w:rsid w:val="00610694"/>
    <w:rsid w:val="00610A02"/>
    <w:rsid w:val="0061102D"/>
    <w:rsid w:val="0061125B"/>
    <w:rsid w:val="00611702"/>
    <w:rsid w:val="00611785"/>
    <w:rsid w:val="00611CF5"/>
    <w:rsid w:val="00612214"/>
    <w:rsid w:val="00612238"/>
    <w:rsid w:val="0061265F"/>
    <w:rsid w:val="006127B0"/>
    <w:rsid w:val="00613106"/>
    <w:rsid w:val="00613881"/>
    <w:rsid w:val="00613991"/>
    <w:rsid w:val="00613BA8"/>
    <w:rsid w:val="006140E5"/>
    <w:rsid w:val="0061490D"/>
    <w:rsid w:val="00614A6E"/>
    <w:rsid w:val="00614C2B"/>
    <w:rsid w:val="00614C78"/>
    <w:rsid w:val="00615032"/>
    <w:rsid w:val="006152C4"/>
    <w:rsid w:val="00615651"/>
    <w:rsid w:val="00615B40"/>
    <w:rsid w:val="00615D49"/>
    <w:rsid w:val="00615D5D"/>
    <w:rsid w:val="00616110"/>
    <w:rsid w:val="00616371"/>
    <w:rsid w:val="006165D6"/>
    <w:rsid w:val="006166FE"/>
    <w:rsid w:val="00616806"/>
    <w:rsid w:val="00616929"/>
    <w:rsid w:val="00616D95"/>
    <w:rsid w:val="00617444"/>
    <w:rsid w:val="006176B3"/>
    <w:rsid w:val="00617883"/>
    <w:rsid w:val="00617966"/>
    <w:rsid w:val="00617AA4"/>
    <w:rsid w:val="00617B45"/>
    <w:rsid w:val="0062017D"/>
    <w:rsid w:val="00620378"/>
    <w:rsid w:val="006208C8"/>
    <w:rsid w:val="00620973"/>
    <w:rsid w:val="00620EF0"/>
    <w:rsid w:val="0062189B"/>
    <w:rsid w:val="006218E4"/>
    <w:rsid w:val="00622066"/>
    <w:rsid w:val="0062208A"/>
    <w:rsid w:val="006227E6"/>
    <w:rsid w:val="006228F1"/>
    <w:rsid w:val="00622CFF"/>
    <w:rsid w:val="00622D09"/>
    <w:rsid w:val="00623BA3"/>
    <w:rsid w:val="006246C7"/>
    <w:rsid w:val="00624C5F"/>
    <w:rsid w:val="00624E44"/>
    <w:rsid w:val="0062511A"/>
    <w:rsid w:val="00625152"/>
    <w:rsid w:val="00625194"/>
    <w:rsid w:val="006253F9"/>
    <w:rsid w:val="006257B2"/>
    <w:rsid w:val="00625CCE"/>
    <w:rsid w:val="00625F1A"/>
    <w:rsid w:val="0062649C"/>
    <w:rsid w:val="006267A7"/>
    <w:rsid w:val="00626807"/>
    <w:rsid w:val="006269C8"/>
    <w:rsid w:val="00626DA5"/>
    <w:rsid w:val="006275AB"/>
    <w:rsid w:val="0062762B"/>
    <w:rsid w:val="00627A1C"/>
    <w:rsid w:val="00627C83"/>
    <w:rsid w:val="00630F38"/>
    <w:rsid w:val="00631375"/>
    <w:rsid w:val="00631A2C"/>
    <w:rsid w:val="00631C7D"/>
    <w:rsid w:val="00631FAF"/>
    <w:rsid w:val="00632510"/>
    <w:rsid w:val="00632D33"/>
    <w:rsid w:val="00632E8E"/>
    <w:rsid w:val="006331DD"/>
    <w:rsid w:val="00633B54"/>
    <w:rsid w:val="00633ECA"/>
    <w:rsid w:val="00634CD4"/>
    <w:rsid w:val="0063547B"/>
    <w:rsid w:val="00635F81"/>
    <w:rsid w:val="006364DB"/>
    <w:rsid w:val="006365B8"/>
    <w:rsid w:val="00636D7F"/>
    <w:rsid w:val="00636FD3"/>
    <w:rsid w:val="006371C3"/>
    <w:rsid w:val="00640478"/>
    <w:rsid w:val="006406A5"/>
    <w:rsid w:val="00640897"/>
    <w:rsid w:val="00640F51"/>
    <w:rsid w:val="0064112C"/>
    <w:rsid w:val="00641184"/>
    <w:rsid w:val="00641189"/>
    <w:rsid w:val="0064143E"/>
    <w:rsid w:val="006414D4"/>
    <w:rsid w:val="00641784"/>
    <w:rsid w:val="00641AAA"/>
    <w:rsid w:val="00641E90"/>
    <w:rsid w:val="00641FF1"/>
    <w:rsid w:val="006421DA"/>
    <w:rsid w:val="0064226E"/>
    <w:rsid w:val="00642276"/>
    <w:rsid w:val="006424E4"/>
    <w:rsid w:val="006425A9"/>
    <w:rsid w:val="006425D8"/>
    <w:rsid w:val="00642AAB"/>
    <w:rsid w:val="0064305D"/>
    <w:rsid w:val="00643345"/>
    <w:rsid w:val="0064375E"/>
    <w:rsid w:val="00643B30"/>
    <w:rsid w:val="00643E9A"/>
    <w:rsid w:val="00643F46"/>
    <w:rsid w:val="006448DD"/>
    <w:rsid w:val="0064494D"/>
    <w:rsid w:val="00644D42"/>
    <w:rsid w:val="00644E45"/>
    <w:rsid w:val="00644FA6"/>
    <w:rsid w:val="006453CC"/>
    <w:rsid w:val="0064570F"/>
    <w:rsid w:val="00645F6D"/>
    <w:rsid w:val="00646D85"/>
    <w:rsid w:val="00646DBB"/>
    <w:rsid w:val="00646F3B"/>
    <w:rsid w:val="0064743A"/>
    <w:rsid w:val="00647E25"/>
    <w:rsid w:val="006510CD"/>
    <w:rsid w:val="00651141"/>
    <w:rsid w:val="00651427"/>
    <w:rsid w:val="00651785"/>
    <w:rsid w:val="006520FD"/>
    <w:rsid w:val="006521E2"/>
    <w:rsid w:val="00652654"/>
    <w:rsid w:val="0065293C"/>
    <w:rsid w:val="00653598"/>
    <w:rsid w:val="00653879"/>
    <w:rsid w:val="00653CE5"/>
    <w:rsid w:val="00653F56"/>
    <w:rsid w:val="006545C6"/>
    <w:rsid w:val="00654CB5"/>
    <w:rsid w:val="00654E82"/>
    <w:rsid w:val="00654EF5"/>
    <w:rsid w:val="006554CB"/>
    <w:rsid w:val="00655B02"/>
    <w:rsid w:val="0065688D"/>
    <w:rsid w:val="00656BE2"/>
    <w:rsid w:val="00657016"/>
    <w:rsid w:val="00657521"/>
    <w:rsid w:val="006575F9"/>
    <w:rsid w:val="00657990"/>
    <w:rsid w:val="00657D82"/>
    <w:rsid w:val="00660BA4"/>
    <w:rsid w:val="00660EBE"/>
    <w:rsid w:val="00660ECF"/>
    <w:rsid w:val="006612FB"/>
    <w:rsid w:val="00662226"/>
    <w:rsid w:val="00662375"/>
    <w:rsid w:val="006623BC"/>
    <w:rsid w:val="00662553"/>
    <w:rsid w:val="00663B7A"/>
    <w:rsid w:val="00664104"/>
    <w:rsid w:val="00664815"/>
    <w:rsid w:val="00664A68"/>
    <w:rsid w:val="00664D1B"/>
    <w:rsid w:val="00664E16"/>
    <w:rsid w:val="00664F88"/>
    <w:rsid w:val="006651F6"/>
    <w:rsid w:val="0066533B"/>
    <w:rsid w:val="0066547B"/>
    <w:rsid w:val="0066548B"/>
    <w:rsid w:val="006655B5"/>
    <w:rsid w:val="00665740"/>
    <w:rsid w:val="0066575C"/>
    <w:rsid w:val="00665D50"/>
    <w:rsid w:val="0066615F"/>
    <w:rsid w:val="006666C2"/>
    <w:rsid w:val="00666861"/>
    <w:rsid w:val="00666876"/>
    <w:rsid w:val="00667344"/>
    <w:rsid w:val="006674F2"/>
    <w:rsid w:val="00667621"/>
    <w:rsid w:val="00667CC1"/>
    <w:rsid w:val="00667D89"/>
    <w:rsid w:val="006703EC"/>
    <w:rsid w:val="006707A2"/>
    <w:rsid w:val="006709B1"/>
    <w:rsid w:val="00670CD9"/>
    <w:rsid w:val="00670CF1"/>
    <w:rsid w:val="00671144"/>
    <w:rsid w:val="0067277A"/>
    <w:rsid w:val="00672B81"/>
    <w:rsid w:val="00672BB7"/>
    <w:rsid w:val="00672BFD"/>
    <w:rsid w:val="0067347C"/>
    <w:rsid w:val="006740A8"/>
    <w:rsid w:val="006747AE"/>
    <w:rsid w:val="00674CBF"/>
    <w:rsid w:val="00674EC7"/>
    <w:rsid w:val="00675112"/>
    <w:rsid w:val="006758C7"/>
    <w:rsid w:val="006758D5"/>
    <w:rsid w:val="006759E9"/>
    <w:rsid w:val="00675A59"/>
    <w:rsid w:val="0067612A"/>
    <w:rsid w:val="00676704"/>
    <w:rsid w:val="00676E85"/>
    <w:rsid w:val="006773F1"/>
    <w:rsid w:val="00677554"/>
    <w:rsid w:val="00677920"/>
    <w:rsid w:val="00677FC8"/>
    <w:rsid w:val="006802BB"/>
    <w:rsid w:val="00680659"/>
    <w:rsid w:val="00680706"/>
    <w:rsid w:val="0068111C"/>
    <w:rsid w:val="00681257"/>
    <w:rsid w:val="006815FE"/>
    <w:rsid w:val="00682134"/>
    <w:rsid w:val="00682635"/>
    <w:rsid w:val="00682695"/>
    <w:rsid w:val="00683D3E"/>
    <w:rsid w:val="00683E67"/>
    <w:rsid w:val="00683EAD"/>
    <w:rsid w:val="00684467"/>
    <w:rsid w:val="00684950"/>
    <w:rsid w:val="00684977"/>
    <w:rsid w:val="00684F6D"/>
    <w:rsid w:val="00684FED"/>
    <w:rsid w:val="0068513E"/>
    <w:rsid w:val="006856E5"/>
    <w:rsid w:val="00685837"/>
    <w:rsid w:val="00685FF8"/>
    <w:rsid w:val="00686662"/>
    <w:rsid w:val="00686B47"/>
    <w:rsid w:val="00686BF2"/>
    <w:rsid w:val="0068707A"/>
    <w:rsid w:val="006873CD"/>
    <w:rsid w:val="0068748B"/>
    <w:rsid w:val="0068790F"/>
    <w:rsid w:val="00687CB5"/>
    <w:rsid w:val="00687F79"/>
    <w:rsid w:val="006903AE"/>
    <w:rsid w:val="006906D8"/>
    <w:rsid w:val="00690D42"/>
    <w:rsid w:val="00690F82"/>
    <w:rsid w:val="006913EA"/>
    <w:rsid w:val="00692120"/>
    <w:rsid w:val="0069269B"/>
    <w:rsid w:val="006926ED"/>
    <w:rsid w:val="0069270B"/>
    <w:rsid w:val="00692BF8"/>
    <w:rsid w:val="00692C3E"/>
    <w:rsid w:val="00692D62"/>
    <w:rsid w:val="006939D3"/>
    <w:rsid w:val="00693C57"/>
    <w:rsid w:val="006943D1"/>
    <w:rsid w:val="0069485D"/>
    <w:rsid w:val="00694DA5"/>
    <w:rsid w:val="00694F9D"/>
    <w:rsid w:val="006955D3"/>
    <w:rsid w:val="006958B0"/>
    <w:rsid w:val="006959B4"/>
    <w:rsid w:val="00695AE8"/>
    <w:rsid w:val="00695FCD"/>
    <w:rsid w:val="00695FF3"/>
    <w:rsid w:val="00696DB0"/>
    <w:rsid w:val="00696E18"/>
    <w:rsid w:val="00697279"/>
    <w:rsid w:val="00697357"/>
    <w:rsid w:val="00697817"/>
    <w:rsid w:val="0069788A"/>
    <w:rsid w:val="00697E67"/>
    <w:rsid w:val="00697F50"/>
    <w:rsid w:val="006A0371"/>
    <w:rsid w:val="006A05BA"/>
    <w:rsid w:val="006A0944"/>
    <w:rsid w:val="006A0D59"/>
    <w:rsid w:val="006A0FB4"/>
    <w:rsid w:val="006A12B9"/>
    <w:rsid w:val="006A1470"/>
    <w:rsid w:val="006A15FB"/>
    <w:rsid w:val="006A1ACE"/>
    <w:rsid w:val="006A1FF3"/>
    <w:rsid w:val="006A21EB"/>
    <w:rsid w:val="006A2228"/>
    <w:rsid w:val="006A26C3"/>
    <w:rsid w:val="006A27E1"/>
    <w:rsid w:val="006A2937"/>
    <w:rsid w:val="006A3EBC"/>
    <w:rsid w:val="006A41E3"/>
    <w:rsid w:val="006A46B9"/>
    <w:rsid w:val="006A4A97"/>
    <w:rsid w:val="006A4B3A"/>
    <w:rsid w:val="006A58D2"/>
    <w:rsid w:val="006A5A2B"/>
    <w:rsid w:val="006A5D10"/>
    <w:rsid w:val="006A6561"/>
    <w:rsid w:val="006B020F"/>
    <w:rsid w:val="006B06A3"/>
    <w:rsid w:val="006B0A34"/>
    <w:rsid w:val="006B0F8A"/>
    <w:rsid w:val="006B1389"/>
    <w:rsid w:val="006B1675"/>
    <w:rsid w:val="006B249C"/>
    <w:rsid w:val="006B2760"/>
    <w:rsid w:val="006B333B"/>
    <w:rsid w:val="006B35D4"/>
    <w:rsid w:val="006B38BC"/>
    <w:rsid w:val="006B3AEC"/>
    <w:rsid w:val="006B3D58"/>
    <w:rsid w:val="006B3EF6"/>
    <w:rsid w:val="006B4F1F"/>
    <w:rsid w:val="006B5AE2"/>
    <w:rsid w:val="006B5F50"/>
    <w:rsid w:val="006B617C"/>
    <w:rsid w:val="006B6568"/>
    <w:rsid w:val="006B65C9"/>
    <w:rsid w:val="006B68AB"/>
    <w:rsid w:val="006B75CC"/>
    <w:rsid w:val="006C02C8"/>
    <w:rsid w:val="006C07A4"/>
    <w:rsid w:val="006C0FD2"/>
    <w:rsid w:val="006C15EA"/>
    <w:rsid w:val="006C18BA"/>
    <w:rsid w:val="006C1995"/>
    <w:rsid w:val="006C1C86"/>
    <w:rsid w:val="006C1F05"/>
    <w:rsid w:val="006C206F"/>
    <w:rsid w:val="006C2079"/>
    <w:rsid w:val="006C245D"/>
    <w:rsid w:val="006C2841"/>
    <w:rsid w:val="006C29AF"/>
    <w:rsid w:val="006C2BA6"/>
    <w:rsid w:val="006C2E78"/>
    <w:rsid w:val="006C3115"/>
    <w:rsid w:val="006C32DF"/>
    <w:rsid w:val="006C347B"/>
    <w:rsid w:val="006C365F"/>
    <w:rsid w:val="006C3DEA"/>
    <w:rsid w:val="006C4212"/>
    <w:rsid w:val="006C4312"/>
    <w:rsid w:val="006C493E"/>
    <w:rsid w:val="006C50DD"/>
    <w:rsid w:val="006C54E5"/>
    <w:rsid w:val="006C5C71"/>
    <w:rsid w:val="006C5EBF"/>
    <w:rsid w:val="006C60FB"/>
    <w:rsid w:val="006C61C0"/>
    <w:rsid w:val="006C6CD1"/>
    <w:rsid w:val="006C707D"/>
    <w:rsid w:val="006C746C"/>
    <w:rsid w:val="006C74BA"/>
    <w:rsid w:val="006C7B4D"/>
    <w:rsid w:val="006C7CF2"/>
    <w:rsid w:val="006D058F"/>
    <w:rsid w:val="006D08D9"/>
    <w:rsid w:val="006D0B3E"/>
    <w:rsid w:val="006D110A"/>
    <w:rsid w:val="006D111B"/>
    <w:rsid w:val="006D121C"/>
    <w:rsid w:val="006D1468"/>
    <w:rsid w:val="006D171B"/>
    <w:rsid w:val="006D18F6"/>
    <w:rsid w:val="006D1D92"/>
    <w:rsid w:val="006D1DFF"/>
    <w:rsid w:val="006D2397"/>
    <w:rsid w:val="006D298B"/>
    <w:rsid w:val="006D30A6"/>
    <w:rsid w:val="006D33B2"/>
    <w:rsid w:val="006D36BD"/>
    <w:rsid w:val="006D3718"/>
    <w:rsid w:val="006D41E2"/>
    <w:rsid w:val="006D4380"/>
    <w:rsid w:val="006D46D9"/>
    <w:rsid w:val="006D4797"/>
    <w:rsid w:val="006D4EC1"/>
    <w:rsid w:val="006D4ED9"/>
    <w:rsid w:val="006D5001"/>
    <w:rsid w:val="006D594E"/>
    <w:rsid w:val="006D5AAC"/>
    <w:rsid w:val="006D603C"/>
    <w:rsid w:val="006D62E0"/>
    <w:rsid w:val="006D6485"/>
    <w:rsid w:val="006D6A91"/>
    <w:rsid w:val="006D70CB"/>
    <w:rsid w:val="006D70E4"/>
    <w:rsid w:val="006D7174"/>
    <w:rsid w:val="006D77C3"/>
    <w:rsid w:val="006E0A12"/>
    <w:rsid w:val="006E0A26"/>
    <w:rsid w:val="006E1136"/>
    <w:rsid w:val="006E19E8"/>
    <w:rsid w:val="006E1A8F"/>
    <w:rsid w:val="006E1CA8"/>
    <w:rsid w:val="006E1F19"/>
    <w:rsid w:val="006E210D"/>
    <w:rsid w:val="006E25CA"/>
    <w:rsid w:val="006E25D2"/>
    <w:rsid w:val="006E26C9"/>
    <w:rsid w:val="006E2B9A"/>
    <w:rsid w:val="006E2C1A"/>
    <w:rsid w:val="006E3493"/>
    <w:rsid w:val="006E372E"/>
    <w:rsid w:val="006E3843"/>
    <w:rsid w:val="006E4202"/>
    <w:rsid w:val="006E4A05"/>
    <w:rsid w:val="006E4C8E"/>
    <w:rsid w:val="006E4ED5"/>
    <w:rsid w:val="006E50B1"/>
    <w:rsid w:val="006E521F"/>
    <w:rsid w:val="006E559A"/>
    <w:rsid w:val="006E5956"/>
    <w:rsid w:val="006E5C05"/>
    <w:rsid w:val="006E5DDD"/>
    <w:rsid w:val="006E6114"/>
    <w:rsid w:val="006E6565"/>
    <w:rsid w:val="006E6BA0"/>
    <w:rsid w:val="006E77A8"/>
    <w:rsid w:val="006E77F9"/>
    <w:rsid w:val="006E7913"/>
    <w:rsid w:val="006F0429"/>
    <w:rsid w:val="006F0669"/>
    <w:rsid w:val="006F06C9"/>
    <w:rsid w:val="006F0C06"/>
    <w:rsid w:val="006F113C"/>
    <w:rsid w:val="006F157E"/>
    <w:rsid w:val="006F16AD"/>
    <w:rsid w:val="006F1A78"/>
    <w:rsid w:val="006F1D89"/>
    <w:rsid w:val="006F1F4A"/>
    <w:rsid w:val="006F2608"/>
    <w:rsid w:val="006F2B14"/>
    <w:rsid w:val="006F2B53"/>
    <w:rsid w:val="006F2D91"/>
    <w:rsid w:val="006F3046"/>
    <w:rsid w:val="006F4285"/>
    <w:rsid w:val="006F4376"/>
    <w:rsid w:val="006F472B"/>
    <w:rsid w:val="006F533D"/>
    <w:rsid w:val="006F5A2D"/>
    <w:rsid w:val="006F5C71"/>
    <w:rsid w:val="006F5DC3"/>
    <w:rsid w:val="006F5F4D"/>
    <w:rsid w:val="006F62FE"/>
    <w:rsid w:val="006F6778"/>
    <w:rsid w:val="006F6812"/>
    <w:rsid w:val="006F6852"/>
    <w:rsid w:val="006F6B60"/>
    <w:rsid w:val="006F72E4"/>
    <w:rsid w:val="006F74CB"/>
    <w:rsid w:val="006F7ECC"/>
    <w:rsid w:val="00700397"/>
    <w:rsid w:val="007007FC"/>
    <w:rsid w:val="0070112F"/>
    <w:rsid w:val="0070133C"/>
    <w:rsid w:val="00701695"/>
    <w:rsid w:val="0070172F"/>
    <w:rsid w:val="0070189A"/>
    <w:rsid w:val="007019F3"/>
    <w:rsid w:val="00701E50"/>
    <w:rsid w:val="00701E59"/>
    <w:rsid w:val="00701E6E"/>
    <w:rsid w:val="0070244A"/>
    <w:rsid w:val="00702551"/>
    <w:rsid w:val="00702573"/>
    <w:rsid w:val="00702899"/>
    <w:rsid w:val="00703516"/>
    <w:rsid w:val="00703534"/>
    <w:rsid w:val="00703851"/>
    <w:rsid w:val="007038AA"/>
    <w:rsid w:val="0070447D"/>
    <w:rsid w:val="007044A7"/>
    <w:rsid w:val="007046BF"/>
    <w:rsid w:val="007051D5"/>
    <w:rsid w:val="00705795"/>
    <w:rsid w:val="00705A01"/>
    <w:rsid w:val="00705D05"/>
    <w:rsid w:val="00706658"/>
    <w:rsid w:val="007067F3"/>
    <w:rsid w:val="0070683E"/>
    <w:rsid w:val="00706B61"/>
    <w:rsid w:val="00706D44"/>
    <w:rsid w:val="00706ECA"/>
    <w:rsid w:val="00706ED3"/>
    <w:rsid w:val="00707365"/>
    <w:rsid w:val="00707664"/>
    <w:rsid w:val="00707A62"/>
    <w:rsid w:val="007101B4"/>
    <w:rsid w:val="0071036C"/>
    <w:rsid w:val="007106A3"/>
    <w:rsid w:val="00710749"/>
    <w:rsid w:val="0071094C"/>
    <w:rsid w:val="00710A86"/>
    <w:rsid w:val="00710AD9"/>
    <w:rsid w:val="0071156F"/>
    <w:rsid w:val="00711C06"/>
    <w:rsid w:val="00711DA5"/>
    <w:rsid w:val="0071208F"/>
    <w:rsid w:val="00712273"/>
    <w:rsid w:val="00712406"/>
    <w:rsid w:val="0071331F"/>
    <w:rsid w:val="00713B31"/>
    <w:rsid w:val="00714033"/>
    <w:rsid w:val="00714567"/>
    <w:rsid w:val="007145CA"/>
    <w:rsid w:val="00714B65"/>
    <w:rsid w:val="00714B7F"/>
    <w:rsid w:val="0071514A"/>
    <w:rsid w:val="007152AC"/>
    <w:rsid w:val="0071530C"/>
    <w:rsid w:val="00715760"/>
    <w:rsid w:val="00715937"/>
    <w:rsid w:val="0071609A"/>
    <w:rsid w:val="007164FB"/>
    <w:rsid w:val="00716C77"/>
    <w:rsid w:val="00716E3A"/>
    <w:rsid w:val="00717770"/>
    <w:rsid w:val="00717820"/>
    <w:rsid w:val="00717DCE"/>
    <w:rsid w:val="00717EC9"/>
    <w:rsid w:val="007202E2"/>
    <w:rsid w:val="00720AB9"/>
    <w:rsid w:val="00720AC6"/>
    <w:rsid w:val="00720F9B"/>
    <w:rsid w:val="0072212B"/>
    <w:rsid w:val="007228DA"/>
    <w:rsid w:val="0072317E"/>
    <w:rsid w:val="007237E2"/>
    <w:rsid w:val="00723E61"/>
    <w:rsid w:val="00724168"/>
    <w:rsid w:val="00724273"/>
    <w:rsid w:val="00724951"/>
    <w:rsid w:val="00724A77"/>
    <w:rsid w:val="00724B59"/>
    <w:rsid w:val="00724EAB"/>
    <w:rsid w:val="007255F5"/>
    <w:rsid w:val="007258CD"/>
    <w:rsid w:val="00725C31"/>
    <w:rsid w:val="00726133"/>
    <w:rsid w:val="007267AC"/>
    <w:rsid w:val="007269EB"/>
    <w:rsid w:val="00726B7B"/>
    <w:rsid w:val="00726CF8"/>
    <w:rsid w:val="00727754"/>
    <w:rsid w:val="00727797"/>
    <w:rsid w:val="00727B9B"/>
    <w:rsid w:val="007307DF"/>
    <w:rsid w:val="00730F2B"/>
    <w:rsid w:val="00731582"/>
    <w:rsid w:val="00731DE4"/>
    <w:rsid w:val="007320A9"/>
    <w:rsid w:val="007321D3"/>
    <w:rsid w:val="0073238F"/>
    <w:rsid w:val="00732D8E"/>
    <w:rsid w:val="00732F6E"/>
    <w:rsid w:val="007330EA"/>
    <w:rsid w:val="0073331D"/>
    <w:rsid w:val="007336C4"/>
    <w:rsid w:val="0073436B"/>
    <w:rsid w:val="00734589"/>
    <w:rsid w:val="0073499D"/>
    <w:rsid w:val="007349D5"/>
    <w:rsid w:val="00734C77"/>
    <w:rsid w:val="00734DFD"/>
    <w:rsid w:val="00735817"/>
    <w:rsid w:val="007359BE"/>
    <w:rsid w:val="007361D5"/>
    <w:rsid w:val="007375C4"/>
    <w:rsid w:val="0073777B"/>
    <w:rsid w:val="00737A83"/>
    <w:rsid w:val="00737A9E"/>
    <w:rsid w:val="0074005C"/>
    <w:rsid w:val="0074018D"/>
    <w:rsid w:val="007411F5"/>
    <w:rsid w:val="0074194F"/>
    <w:rsid w:val="00741A1F"/>
    <w:rsid w:val="00741D5E"/>
    <w:rsid w:val="00741DF5"/>
    <w:rsid w:val="00741E71"/>
    <w:rsid w:val="00742A5D"/>
    <w:rsid w:val="00742D39"/>
    <w:rsid w:val="00743765"/>
    <w:rsid w:val="00743968"/>
    <w:rsid w:val="00744051"/>
    <w:rsid w:val="00744278"/>
    <w:rsid w:val="0074467E"/>
    <w:rsid w:val="0074490F"/>
    <w:rsid w:val="00744E81"/>
    <w:rsid w:val="00744ED8"/>
    <w:rsid w:val="00745299"/>
    <w:rsid w:val="007453F2"/>
    <w:rsid w:val="00745A27"/>
    <w:rsid w:val="00745E2B"/>
    <w:rsid w:val="00745FE6"/>
    <w:rsid w:val="0074622F"/>
    <w:rsid w:val="00746A7D"/>
    <w:rsid w:val="00746D17"/>
    <w:rsid w:val="00747727"/>
    <w:rsid w:val="00747A18"/>
    <w:rsid w:val="00747D00"/>
    <w:rsid w:val="0075049D"/>
    <w:rsid w:val="00750FBE"/>
    <w:rsid w:val="007510C6"/>
    <w:rsid w:val="0075125B"/>
    <w:rsid w:val="0075131B"/>
    <w:rsid w:val="0075188E"/>
    <w:rsid w:val="00751BEC"/>
    <w:rsid w:val="00751FB2"/>
    <w:rsid w:val="00751FFA"/>
    <w:rsid w:val="00752749"/>
    <w:rsid w:val="0075282C"/>
    <w:rsid w:val="00752B2D"/>
    <w:rsid w:val="00753085"/>
    <w:rsid w:val="007532F0"/>
    <w:rsid w:val="00753C0D"/>
    <w:rsid w:val="00754708"/>
    <w:rsid w:val="00755B9D"/>
    <w:rsid w:val="007562C2"/>
    <w:rsid w:val="007565D7"/>
    <w:rsid w:val="007565E0"/>
    <w:rsid w:val="00757115"/>
    <w:rsid w:val="00757A05"/>
    <w:rsid w:val="00757F4D"/>
    <w:rsid w:val="007605A9"/>
    <w:rsid w:val="007606FA"/>
    <w:rsid w:val="0076090A"/>
    <w:rsid w:val="00760A00"/>
    <w:rsid w:val="00760C4C"/>
    <w:rsid w:val="00761321"/>
    <w:rsid w:val="0076141A"/>
    <w:rsid w:val="007616A9"/>
    <w:rsid w:val="00761C0D"/>
    <w:rsid w:val="00761C62"/>
    <w:rsid w:val="0076205E"/>
    <w:rsid w:val="00762233"/>
    <w:rsid w:val="00762278"/>
    <w:rsid w:val="007628BB"/>
    <w:rsid w:val="0076297A"/>
    <w:rsid w:val="007629AB"/>
    <w:rsid w:val="007636D7"/>
    <w:rsid w:val="00763ACE"/>
    <w:rsid w:val="00763AF5"/>
    <w:rsid w:val="00763CC9"/>
    <w:rsid w:val="00764268"/>
    <w:rsid w:val="00764291"/>
    <w:rsid w:val="007645BD"/>
    <w:rsid w:val="00764A6B"/>
    <w:rsid w:val="00765347"/>
    <w:rsid w:val="007659C3"/>
    <w:rsid w:val="00766179"/>
    <w:rsid w:val="00766670"/>
    <w:rsid w:val="00767201"/>
    <w:rsid w:val="0076784A"/>
    <w:rsid w:val="007678EF"/>
    <w:rsid w:val="00767F4C"/>
    <w:rsid w:val="007707BD"/>
    <w:rsid w:val="0077094D"/>
    <w:rsid w:val="00770C5D"/>
    <w:rsid w:val="00770CCE"/>
    <w:rsid w:val="00770CD4"/>
    <w:rsid w:val="00771C15"/>
    <w:rsid w:val="00771D09"/>
    <w:rsid w:val="00771F1F"/>
    <w:rsid w:val="007724EF"/>
    <w:rsid w:val="00772904"/>
    <w:rsid w:val="00772BE4"/>
    <w:rsid w:val="00772BFF"/>
    <w:rsid w:val="007732F4"/>
    <w:rsid w:val="00773828"/>
    <w:rsid w:val="00773851"/>
    <w:rsid w:val="00773874"/>
    <w:rsid w:val="007738CA"/>
    <w:rsid w:val="00773A37"/>
    <w:rsid w:val="00773A5B"/>
    <w:rsid w:val="00773FFC"/>
    <w:rsid w:val="00774688"/>
    <w:rsid w:val="0077471E"/>
    <w:rsid w:val="00774AD4"/>
    <w:rsid w:val="007754E8"/>
    <w:rsid w:val="00775643"/>
    <w:rsid w:val="00775720"/>
    <w:rsid w:val="00775BB1"/>
    <w:rsid w:val="00775D40"/>
    <w:rsid w:val="00775D72"/>
    <w:rsid w:val="00775EFA"/>
    <w:rsid w:val="0077652D"/>
    <w:rsid w:val="007766D9"/>
    <w:rsid w:val="00776EE7"/>
    <w:rsid w:val="00777085"/>
    <w:rsid w:val="00777128"/>
    <w:rsid w:val="00777B43"/>
    <w:rsid w:val="00780213"/>
    <w:rsid w:val="0078081D"/>
    <w:rsid w:val="00780B1A"/>
    <w:rsid w:val="00780E68"/>
    <w:rsid w:val="00780E8C"/>
    <w:rsid w:val="00781025"/>
    <w:rsid w:val="007817CC"/>
    <w:rsid w:val="0078284E"/>
    <w:rsid w:val="00782C01"/>
    <w:rsid w:val="00783379"/>
    <w:rsid w:val="00783CB4"/>
    <w:rsid w:val="00783E9A"/>
    <w:rsid w:val="0078438D"/>
    <w:rsid w:val="007848D2"/>
    <w:rsid w:val="00784E11"/>
    <w:rsid w:val="00784F30"/>
    <w:rsid w:val="00785C50"/>
    <w:rsid w:val="00785C62"/>
    <w:rsid w:val="00785D1E"/>
    <w:rsid w:val="00785DA8"/>
    <w:rsid w:val="00785FDE"/>
    <w:rsid w:val="007865EE"/>
    <w:rsid w:val="00786EDB"/>
    <w:rsid w:val="00787172"/>
    <w:rsid w:val="007872A7"/>
    <w:rsid w:val="0078749F"/>
    <w:rsid w:val="007876EE"/>
    <w:rsid w:val="00790041"/>
    <w:rsid w:val="00790094"/>
    <w:rsid w:val="007904BF"/>
    <w:rsid w:val="007906BE"/>
    <w:rsid w:val="00790937"/>
    <w:rsid w:val="00790D05"/>
    <w:rsid w:val="0079108F"/>
    <w:rsid w:val="007912E1"/>
    <w:rsid w:val="00791477"/>
    <w:rsid w:val="007921A0"/>
    <w:rsid w:val="0079232A"/>
    <w:rsid w:val="00792369"/>
    <w:rsid w:val="007927E4"/>
    <w:rsid w:val="007929D9"/>
    <w:rsid w:val="00792B66"/>
    <w:rsid w:val="00793028"/>
    <w:rsid w:val="00793515"/>
    <w:rsid w:val="007936DA"/>
    <w:rsid w:val="00793757"/>
    <w:rsid w:val="0079391F"/>
    <w:rsid w:val="00793A2B"/>
    <w:rsid w:val="00793A5D"/>
    <w:rsid w:val="00793C57"/>
    <w:rsid w:val="00793D70"/>
    <w:rsid w:val="007949C9"/>
    <w:rsid w:val="00794D0B"/>
    <w:rsid w:val="00794D58"/>
    <w:rsid w:val="00795545"/>
    <w:rsid w:val="0079589B"/>
    <w:rsid w:val="007958F4"/>
    <w:rsid w:val="00796B08"/>
    <w:rsid w:val="00796DC7"/>
    <w:rsid w:val="007971B8"/>
    <w:rsid w:val="0079790A"/>
    <w:rsid w:val="00797CFE"/>
    <w:rsid w:val="00797D58"/>
    <w:rsid w:val="00797F1E"/>
    <w:rsid w:val="00797F20"/>
    <w:rsid w:val="007A0543"/>
    <w:rsid w:val="007A0BDD"/>
    <w:rsid w:val="007A0C5D"/>
    <w:rsid w:val="007A0E66"/>
    <w:rsid w:val="007A1203"/>
    <w:rsid w:val="007A1285"/>
    <w:rsid w:val="007A136A"/>
    <w:rsid w:val="007A15BF"/>
    <w:rsid w:val="007A1ED3"/>
    <w:rsid w:val="007A1F0C"/>
    <w:rsid w:val="007A255B"/>
    <w:rsid w:val="007A2DA1"/>
    <w:rsid w:val="007A2E2E"/>
    <w:rsid w:val="007A34E1"/>
    <w:rsid w:val="007A354D"/>
    <w:rsid w:val="007A36F1"/>
    <w:rsid w:val="007A3E05"/>
    <w:rsid w:val="007A3FEC"/>
    <w:rsid w:val="007A4375"/>
    <w:rsid w:val="007A4492"/>
    <w:rsid w:val="007A4495"/>
    <w:rsid w:val="007A47AE"/>
    <w:rsid w:val="007A49D1"/>
    <w:rsid w:val="007A55F8"/>
    <w:rsid w:val="007A633B"/>
    <w:rsid w:val="007A639A"/>
    <w:rsid w:val="007A6644"/>
    <w:rsid w:val="007A68FA"/>
    <w:rsid w:val="007A746C"/>
    <w:rsid w:val="007A748A"/>
    <w:rsid w:val="007A76F7"/>
    <w:rsid w:val="007A7765"/>
    <w:rsid w:val="007A786F"/>
    <w:rsid w:val="007B0297"/>
    <w:rsid w:val="007B03CD"/>
    <w:rsid w:val="007B0B22"/>
    <w:rsid w:val="007B0FCF"/>
    <w:rsid w:val="007B1219"/>
    <w:rsid w:val="007B14F8"/>
    <w:rsid w:val="007B205F"/>
    <w:rsid w:val="007B3796"/>
    <w:rsid w:val="007B384A"/>
    <w:rsid w:val="007B3932"/>
    <w:rsid w:val="007B3CA3"/>
    <w:rsid w:val="007B40E4"/>
    <w:rsid w:val="007B465C"/>
    <w:rsid w:val="007B46FB"/>
    <w:rsid w:val="007B4A4D"/>
    <w:rsid w:val="007B5169"/>
    <w:rsid w:val="007B5BD4"/>
    <w:rsid w:val="007B6E7D"/>
    <w:rsid w:val="007B7131"/>
    <w:rsid w:val="007B7358"/>
    <w:rsid w:val="007B770D"/>
    <w:rsid w:val="007B7C90"/>
    <w:rsid w:val="007B7E0D"/>
    <w:rsid w:val="007B7E93"/>
    <w:rsid w:val="007C01F5"/>
    <w:rsid w:val="007C0BB4"/>
    <w:rsid w:val="007C0D28"/>
    <w:rsid w:val="007C0EC3"/>
    <w:rsid w:val="007C0EFE"/>
    <w:rsid w:val="007C1169"/>
    <w:rsid w:val="007C12C9"/>
    <w:rsid w:val="007C16A8"/>
    <w:rsid w:val="007C1C50"/>
    <w:rsid w:val="007C20A8"/>
    <w:rsid w:val="007C20CB"/>
    <w:rsid w:val="007C289A"/>
    <w:rsid w:val="007C36D4"/>
    <w:rsid w:val="007C396D"/>
    <w:rsid w:val="007C3E29"/>
    <w:rsid w:val="007C4F0B"/>
    <w:rsid w:val="007C4F53"/>
    <w:rsid w:val="007C514C"/>
    <w:rsid w:val="007C5275"/>
    <w:rsid w:val="007C59C9"/>
    <w:rsid w:val="007C693D"/>
    <w:rsid w:val="007C6D61"/>
    <w:rsid w:val="007C6EE4"/>
    <w:rsid w:val="007C704D"/>
    <w:rsid w:val="007C7800"/>
    <w:rsid w:val="007C78C6"/>
    <w:rsid w:val="007D00E0"/>
    <w:rsid w:val="007D0105"/>
    <w:rsid w:val="007D01CA"/>
    <w:rsid w:val="007D06D8"/>
    <w:rsid w:val="007D0700"/>
    <w:rsid w:val="007D07FE"/>
    <w:rsid w:val="007D0874"/>
    <w:rsid w:val="007D0A72"/>
    <w:rsid w:val="007D0DF3"/>
    <w:rsid w:val="007D0F31"/>
    <w:rsid w:val="007D1ADB"/>
    <w:rsid w:val="007D2648"/>
    <w:rsid w:val="007D2CD7"/>
    <w:rsid w:val="007D2EDF"/>
    <w:rsid w:val="007D2FC3"/>
    <w:rsid w:val="007D3148"/>
    <w:rsid w:val="007D3251"/>
    <w:rsid w:val="007D3B39"/>
    <w:rsid w:val="007D3F8F"/>
    <w:rsid w:val="007D49B7"/>
    <w:rsid w:val="007D606F"/>
    <w:rsid w:val="007D6727"/>
    <w:rsid w:val="007D7042"/>
    <w:rsid w:val="007D70EE"/>
    <w:rsid w:val="007D76E7"/>
    <w:rsid w:val="007D776F"/>
    <w:rsid w:val="007D7DB3"/>
    <w:rsid w:val="007D7EDE"/>
    <w:rsid w:val="007E003D"/>
    <w:rsid w:val="007E0455"/>
    <w:rsid w:val="007E0556"/>
    <w:rsid w:val="007E067F"/>
    <w:rsid w:val="007E0906"/>
    <w:rsid w:val="007E0E22"/>
    <w:rsid w:val="007E10F6"/>
    <w:rsid w:val="007E15B4"/>
    <w:rsid w:val="007E15B8"/>
    <w:rsid w:val="007E2927"/>
    <w:rsid w:val="007E2A64"/>
    <w:rsid w:val="007E2BF6"/>
    <w:rsid w:val="007E4318"/>
    <w:rsid w:val="007E432E"/>
    <w:rsid w:val="007E43C1"/>
    <w:rsid w:val="007E44DE"/>
    <w:rsid w:val="007E465D"/>
    <w:rsid w:val="007E4A23"/>
    <w:rsid w:val="007E4C81"/>
    <w:rsid w:val="007E4E86"/>
    <w:rsid w:val="007E529E"/>
    <w:rsid w:val="007E53A3"/>
    <w:rsid w:val="007E5883"/>
    <w:rsid w:val="007E5E3A"/>
    <w:rsid w:val="007E60B6"/>
    <w:rsid w:val="007E6381"/>
    <w:rsid w:val="007E638F"/>
    <w:rsid w:val="007E700B"/>
    <w:rsid w:val="007E7139"/>
    <w:rsid w:val="007E7940"/>
    <w:rsid w:val="007E795D"/>
    <w:rsid w:val="007F0024"/>
    <w:rsid w:val="007F00E8"/>
    <w:rsid w:val="007F02A1"/>
    <w:rsid w:val="007F07C7"/>
    <w:rsid w:val="007F0992"/>
    <w:rsid w:val="007F0BB6"/>
    <w:rsid w:val="007F0C95"/>
    <w:rsid w:val="007F12B5"/>
    <w:rsid w:val="007F176D"/>
    <w:rsid w:val="007F1B44"/>
    <w:rsid w:val="007F1E97"/>
    <w:rsid w:val="007F1EBE"/>
    <w:rsid w:val="007F2486"/>
    <w:rsid w:val="007F275A"/>
    <w:rsid w:val="007F278E"/>
    <w:rsid w:val="007F27D3"/>
    <w:rsid w:val="007F2A56"/>
    <w:rsid w:val="007F2B29"/>
    <w:rsid w:val="007F3390"/>
    <w:rsid w:val="007F3559"/>
    <w:rsid w:val="007F3650"/>
    <w:rsid w:val="007F39D9"/>
    <w:rsid w:val="007F3D47"/>
    <w:rsid w:val="007F4058"/>
    <w:rsid w:val="007F43A1"/>
    <w:rsid w:val="007F43D1"/>
    <w:rsid w:val="007F45C8"/>
    <w:rsid w:val="007F493B"/>
    <w:rsid w:val="007F49C5"/>
    <w:rsid w:val="007F590E"/>
    <w:rsid w:val="007F5AD1"/>
    <w:rsid w:val="007F6364"/>
    <w:rsid w:val="007F683D"/>
    <w:rsid w:val="007F6CCE"/>
    <w:rsid w:val="007F7017"/>
    <w:rsid w:val="007F70CD"/>
    <w:rsid w:val="007F7578"/>
    <w:rsid w:val="007F757F"/>
    <w:rsid w:val="007F78A3"/>
    <w:rsid w:val="007F7AD7"/>
    <w:rsid w:val="00800957"/>
    <w:rsid w:val="0080123A"/>
    <w:rsid w:val="00801C79"/>
    <w:rsid w:val="00801C91"/>
    <w:rsid w:val="00801E26"/>
    <w:rsid w:val="008022B5"/>
    <w:rsid w:val="008025DD"/>
    <w:rsid w:val="00802A48"/>
    <w:rsid w:val="00802B52"/>
    <w:rsid w:val="008031A3"/>
    <w:rsid w:val="0080382E"/>
    <w:rsid w:val="00803B65"/>
    <w:rsid w:val="00803C72"/>
    <w:rsid w:val="00803F47"/>
    <w:rsid w:val="0080407A"/>
    <w:rsid w:val="008041C9"/>
    <w:rsid w:val="00804400"/>
    <w:rsid w:val="00805C97"/>
    <w:rsid w:val="00805E6C"/>
    <w:rsid w:val="0080600D"/>
    <w:rsid w:val="008062C5"/>
    <w:rsid w:val="008068B3"/>
    <w:rsid w:val="00806BE1"/>
    <w:rsid w:val="00810969"/>
    <w:rsid w:val="00810AB3"/>
    <w:rsid w:val="00810C86"/>
    <w:rsid w:val="00810CFB"/>
    <w:rsid w:val="0081112B"/>
    <w:rsid w:val="00811255"/>
    <w:rsid w:val="00811A08"/>
    <w:rsid w:val="00812657"/>
    <w:rsid w:val="008129B5"/>
    <w:rsid w:val="00812A9C"/>
    <w:rsid w:val="00813629"/>
    <w:rsid w:val="008136EC"/>
    <w:rsid w:val="008136FB"/>
    <w:rsid w:val="008138C7"/>
    <w:rsid w:val="0081407F"/>
    <w:rsid w:val="008141CC"/>
    <w:rsid w:val="008144B7"/>
    <w:rsid w:val="0081451C"/>
    <w:rsid w:val="00814A60"/>
    <w:rsid w:val="008165A7"/>
    <w:rsid w:val="008169F5"/>
    <w:rsid w:val="00816C6E"/>
    <w:rsid w:val="00816F82"/>
    <w:rsid w:val="008171B2"/>
    <w:rsid w:val="008173B0"/>
    <w:rsid w:val="0081747F"/>
    <w:rsid w:val="00817703"/>
    <w:rsid w:val="00817D09"/>
    <w:rsid w:val="00820042"/>
    <w:rsid w:val="00820391"/>
    <w:rsid w:val="008205F0"/>
    <w:rsid w:val="00821FDD"/>
    <w:rsid w:val="00822173"/>
    <w:rsid w:val="008224AE"/>
    <w:rsid w:val="00822554"/>
    <w:rsid w:val="00823703"/>
    <w:rsid w:val="008238E9"/>
    <w:rsid w:val="00823CCB"/>
    <w:rsid w:val="00823F2A"/>
    <w:rsid w:val="00823F41"/>
    <w:rsid w:val="008243C0"/>
    <w:rsid w:val="008243D5"/>
    <w:rsid w:val="00824DC6"/>
    <w:rsid w:val="0082522B"/>
    <w:rsid w:val="008266DD"/>
    <w:rsid w:val="00826CE5"/>
    <w:rsid w:val="00826CEE"/>
    <w:rsid w:val="0082705E"/>
    <w:rsid w:val="00827181"/>
    <w:rsid w:val="00827478"/>
    <w:rsid w:val="008307B1"/>
    <w:rsid w:val="0083080E"/>
    <w:rsid w:val="00830CE7"/>
    <w:rsid w:val="00830FEB"/>
    <w:rsid w:val="008312D7"/>
    <w:rsid w:val="00831484"/>
    <w:rsid w:val="00831511"/>
    <w:rsid w:val="008315F2"/>
    <w:rsid w:val="00831CF3"/>
    <w:rsid w:val="008327AE"/>
    <w:rsid w:val="00832A10"/>
    <w:rsid w:val="00833253"/>
    <w:rsid w:val="00833B95"/>
    <w:rsid w:val="00834333"/>
    <w:rsid w:val="0083479D"/>
    <w:rsid w:val="008348C7"/>
    <w:rsid w:val="00835090"/>
    <w:rsid w:val="00835BE9"/>
    <w:rsid w:val="008363D9"/>
    <w:rsid w:val="008365CC"/>
    <w:rsid w:val="008369BE"/>
    <w:rsid w:val="00836A79"/>
    <w:rsid w:val="008370A1"/>
    <w:rsid w:val="00837391"/>
    <w:rsid w:val="0083758F"/>
    <w:rsid w:val="0084009B"/>
    <w:rsid w:val="00840A6A"/>
    <w:rsid w:val="00840A74"/>
    <w:rsid w:val="00840F71"/>
    <w:rsid w:val="00841328"/>
    <w:rsid w:val="008417D3"/>
    <w:rsid w:val="008418BA"/>
    <w:rsid w:val="00841E2F"/>
    <w:rsid w:val="00841E81"/>
    <w:rsid w:val="00842480"/>
    <w:rsid w:val="008425E4"/>
    <w:rsid w:val="00842799"/>
    <w:rsid w:val="00842E73"/>
    <w:rsid w:val="008438CE"/>
    <w:rsid w:val="0084461E"/>
    <w:rsid w:val="00844AC0"/>
    <w:rsid w:val="00844EC1"/>
    <w:rsid w:val="00844FA1"/>
    <w:rsid w:val="008450B5"/>
    <w:rsid w:val="00845776"/>
    <w:rsid w:val="0084625B"/>
    <w:rsid w:val="00846608"/>
    <w:rsid w:val="00846639"/>
    <w:rsid w:val="00846651"/>
    <w:rsid w:val="0084679C"/>
    <w:rsid w:val="008471BE"/>
    <w:rsid w:val="00847768"/>
    <w:rsid w:val="00847C80"/>
    <w:rsid w:val="00847E06"/>
    <w:rsid w:val="008502A4"/>
    <w:rsid w:val="0085122A"/>
    <w:rsid w:val="008513D4"/>
    <w:rsid w:val="0085145E"/>
    <w:rsid w:val="008517B8"/>
    <w:rsid w:val="008518FD"/>
    <w:rsid w:val="00851951"/>
    <w:rsid w:val="00851D41"/>
    <w:rsid w:val="00852177"/>
    <w:rsid w:val="00852836"/>
    <w:rsid w:val="00852C12"/>
    <w:rsid w:val="00852EA7"/>
    <w:rsid w:val="0085303F"/>
    <w:rsid w:val="00853408"/>
    <w:rsid w:val="00853D59"/>
    <w:rsid w:val="00854634"/>
    <w:rsid w:val="00854809"/>
    <w:rsid w:val="00854D8E"/>
    <w:rsid w:val="00855100"/>
    <w:rsid w:val="008557F1"/>
    <w:rsid w:val="00855850"/>
    <w:rsid w:val="00856257"/>
    <w:rsid w:val="00856645"/>
    <w:rsid w:val="008566DF"/>
    <w:rsid w:val="00856C2E"/>
    <w:rsid w:val="00856C8B"/>
    <w:rsid w:val="00856EF4"/>
    <w:rsid w:val="00856F70"/>
    <w:rsid w:val="008575D7"/>
    <w:rsid w:val="008575EC"/>
    <w:rsid w:val="00857892"/>
    <w:rsid w:val="00857B59"/>
    <w:rsid w:val="008604C7"/>
    <w:rsid w:val="00860948"/>
    <w:rsid w:val="008614D4"/>
    <w:rsid w:val="008616C5"/>
    <w:rsid w:val="00861B7B"/>
    <w:rsid w:val="00862068"/>
    <w:rsid w:val="0086276D"/>
    <w:rsid w:val="00862D30"/>
    <w:rsid w:val="00863007"/>
    <w:rsid w:val="008633E4"/>
    <w:rsid w:val="00863529"/>
    <w:rsid w:val="00863A92"/>
    <w:rsid w:val="00863CCF"/>
    <w:rsid w:val="00864578"/>
    <w:rsid w:val="008647B8"/>
    <w:rsid w:val="00864F68"/>
    <w:rsid w:val="00865267"/>
    <w:rsid w:val="008655EE"/>
    <w:rsid w:val="0086587B"/>
    <w:rsid w:val="00865CAA"/>
    <w:rsid w:val="00865FE0"/>
    <w:rsid w:val="0086633F"/>
    <w:rsid w:val="00866433"/>
    <w:rsid w:val="00866DA4"/>
    <w:rsid w:val="00866E47"/>
    <w:rsid w:val="00866E84"/>
    <w:rsid w:val="00866F9D"/>
    <w:rsid w:val="008674E7"/>
    <w:rsid w:val="008677CA"/>
    <w:rsid w:val="00867C13"/>
    <w:rsid w:val="00867E88"/>
    <w:rsid w:val="00870548"/>
    <w:rsid w:val="0087076A"/>
    <w:rsid w:val="008713A7"/>
    <w:rsid w:val="00871B38"/>
    <w:rsid w:val="00871BAB"/>
    <w:rsid w:val="00871EAF"/>
    <w:rsid w:val="00872D86"/>
    <w:rsid w:val="0087307A"/>
    <w:rsid w:val="008730AB"/>
    <w:rsid w:val="008736A8"/>
    <w:rsid w:val="00873A62"/>
    <w:rsid w:val="00873E63"/>
    <w:rsid w:val="00873FBC"/>
    <w:rsid w:val="008740C2"/>
    <w:rsid w:val="008743DE"/>
    <w:rsid w:val="00874496"/>
    <w:rsid w:val="00874965"/>
    <w:rsid w:val="00874B80"/>
    <w:rsid w:val="00874B9A"/>
    <w:rsid w:val="00874C68"/>
    <w:rsid w:val="00874CC8"/>
    <w:rsid w:val="00874EF5"/>
    <w:rsid w:val="0087511B"/>
    <w:rsid w:val="008753A3"/>
    <w:rsid w:val="008755E9"/>
    <w:rsid w:val="00875B69"/>
    <w:rsid w:val="00875DE9"/>
    <w:rsid w:val="00875ED5"/>
    <w:rsid w:val="00876370"/>
    <w:rsid w:val="00876703"/>
    <w:rsid w:val="00876845"/>
    <w:rsid w:val="00876CB0"/>
    <w:rsid w:val="0087730D"/>
    <w:rsid w:val="008774DB"/>
    <w:rsid w:val="00877697"/>
    <w:rsid w:val="008803D2"/>
    <w:rsid w:val="0088085B"/>
    <w:rsid w:val="00880A97"/>
    <w:rsid w:val="00880B84"/>
    <w:rsid w:val="00880FAF"/>
    <w:rsid w:val="008816D5"/>
    <w:rsid w:val="00881A05"/>
    <w:rsid w:val="00881C09"/>
    <w:rsid w:val="0088216A"/>
    <w:rsid w:val="00882480"/>
    <w:rsid w:val="008829FC"/>
    <w:rsid w:val="00882A1C"/>
    <w:rsid w:val="00882D03"/>
    <w:rsid w:val="00882F04"/>
    <w:rsid w:val="00883453"/>
    <w:rsid w:val="0088414B"/>
    <w:rsid w:val="008846F6"/>
    <w:rsid w:val="00884934"/>
    <w:rsid w:val="008857CA"/>
    <w:rsid w:val="00885CC4"/>
    <w:rsid w:val="00885DA9"/>
    <w:rsid w:val="00886962"/>
    <w:rsid w:val="00886ABA"/>
    <w:rsid w:val="00886AF4"/>
    <w:rsid w:val="00886CAE"/>
    <w:rsid w:val="00886FA5"/>
    <w:rsid w:val="00887216"/>
    <w:rsid w:val="00887632"/>
    <w:rsid w:val="00887B89"/>
    <w:rsid w:val="00887CA6"/>
    <w:rsid w:val="00887CD4"/>
    <w:rsid w:val="00887E1C"/>
    <w:rsid w:val="00887F11"/>
    <w:rsid w:val="0089091B"/>
    <w:rsid w:val="00890AB2"/>
    <w:rsid w:val="00890D7A"/>
    <w:rsid w:val="00891461"/>
    <w:rsid w:val="00891647"/>
    <w:rsid w:val="00891761"/>
    <w:rsid w:val="00891E80"/>
    <w:rsid w:val="00891F5C"/>
    <w:rsid w:val="00892415"/>
    <w:rsid w:val="008924A6"/>
    <w:rsid w:val="0089257F"/>
    <w:rsid w:val="00892E62"/>
    <w:rsid w:val="00893530"/>
    <w:rsid w:val="00893944"/>
    <w:rsid w:val="00893ABB"/>
    <w:rsid w:val="00894583"/>
    <w:rsid w:val="00894A3C"/>
    <w:rsid w:val="0089507A"/>
    <w:rsid w:val="0089607E"/>
    <w:rsid w:val="0089624C"/>
    <w:rsid w:val="00896453"/>
    <w:rsid w:val="0089659F"/>
    <w:rsid w:val="00896DB9"/>
    <w:rsid w:val="008977EC"/>
    <w:rsid w:val="00897B1D"/>
    <w:rsid w:val="008A0352"/>
    <w:rsid w:val="008A03F6"/>
    <w:rsid w:val="008A0548"/>
    <w:rsid w:val="008A0B6E"/>
    <w:rsid w:val="008A1194"/>
    <w:rsid w:val="008A1932"/>
    <w:rsid w:val="008A1A97"/>
    <w:rsid w:val="008A1BE3"/>
    <w:rsid w:val="008A1F7E"/>
    <w:rsid w:val="008A2DAB"/>
    <w:rsid w:val="008A35A0"/>
    <w:rsid w:val="008A36F6"/>
    <w:rsid w:val="008A383F"/>
    <w:rsid w:val="008A3CF6"/>
    <w:rsid w:val="008A3DD3"/>
    <w:rsid w:val="008A41F1"/>
    <w:rsid w:val="008A4495"/>
    <w:rsid w:val="008A509D"/>
    <w:rsid w:val="008A51DB"/>
    <w:rsid w:val="008A533A"/>
    <w:rsid w:val="008A54AD"/>
    <w:rsid w:val="008A5631"/>
    <w:rsid w:val="008A5F3C"/>
    <w:rsid w:val="008A6125"/>
    <w:rsid w:val="008A62EE"/>
    <w:rsid w:val="008A642F"/>
    <w:rsid w:val="008A6750"/>
    <w:rsid w:val="008A6B78"/>
    <w:rsid w:val="008A70D7"/>
    <w:rsid w:val="008A77FD"/>
    <w:rsid w:val="008A7D59"/>
    <w:rsid w:val="008B01B7"/>
    <w:rsid w:val="008B0449"/>
    <w:rsid w:val="008B090D"/>
    <w:rsid w:val="008B095F"/>
    <w:rsid w:val="008B09EB"/>
    <w:rsid w:val="008B0FFF"/>
    <w:rsid w:val="008B12BD"/>
    <w:rsid w:val="008B2173"/>
    <w:rsid w:val="008B230A"/>
    <w:rsid w:val="008B30A2"/>
    <w:rsid w:val="008B3BBD"/>
    <w:rsid w:val="008B3D21"/>
    <w:rsid w:val="008B4261"/>
    <w:rsid w:val="008B4463"/>
    <w:rsid w:val="008B4C5A"/>
    <w:rsid w:val="008B4F9E"/>
    <w:rsid w:val="008B548F"/>
    <w:rsid w:val="008B54F9"/>
    <w:rsid w:val="008B5F8E"/>
    <w:rsid w:val="008B64D5"/>
    <w:rsid w:val="008B6517"/>
    <w:rsid w:val="008B6729"/>
    <w:rsid w:val="008B6A32"/>
    <w:rsid w:val="008B6F92"/>
    <w:rsid w:val="008B797D"/>
    <w:rsid w:val="008C00CE"/>
    <w:rsid w:val="008C0987"/>
    <w:rsid w:val="008C0EC7"/>
    <w:rsid w:val="008C13B8"/>
    <w:rsid w:val="008C1C43"/>
    <w:rsid w:val="008C22F7"/>
    <w:rsid w:val="008C26FB"/>
    <w:rsid w:val="008C28B6"/>
    <w:rsid w:val="008C2AB8"/>
    <w:rsid w:val="008C30C7"/>
    <w:rsid w:val="008C31EE"/>
    <w:rsid w:val="008C3822"/>
    <w:rsid w:val="008C400F"/>
    <w:rsid w:val="008C4094"/>
    <w:rsid w:val="008C4962"/>
    <w:rsid w:val="008C4DB2"/>
    <w:rsid w:val="008C4DD0"/>
    <w:rsid w:val="008C5832"/>
    <w:rsid w:val="008C586F"/>
    <w:rsid w:val="008C5883"/>
    <w:rsid w:val="008C5A89"/>
    <w:rsid w:val="008C63D1"/>
    <w:rsid w:val="008C68EB"/>
    <w:rsid w:val="008C6BE9"/>
    <w:rsid w:val="008C6F2A"/>
    <w:rsid w:val="008C75EF"/>
    <w:rsid w:val="008C7B64"/>
    <w:rsid w:val="008D0112"/>
    <w:rsid w:val="008D05D1"/>
    <w:rsid w:val="008D0F51"/>
    <w:rsid w:val="008D1FD0"/>
    <w:rsid w:val="008D22C7"/>
    <w:rsid w:val="008D26AD"/>
    <w:rsid w:val="008D2E61"/>
    <w:rsid w:val="008D30B8"/>
    <w:rsid w:val="008D310C"/>
    <w:rsid w:val="008D32C5"/>
    <w:rsid w:val="008D3962"/>
    <w:rsid w:val="008D3E58"/>
    <w:rsid w:val="008D3E80"/>
    <w:rsid w:val="008D4795"/>
    <w:rsid w:val="008D4959"/>
    <w:rsid w:val="008D4D19"/>
    <w:rsid w:val="008D4D86"/>
    <w:rsid w:val="008D4DD0"/>
    <w:rsid w:val="008D557A"/>
    <w:rsid w:val="008D5740"/>
    <w:rsid w:val="008D586D"/>
    <w:rsid w:val="008D594F"/>
    <w:rsid w:val="008D6066"/>
    <w:rsid w:val="008D636B"/>
    <w:rsid w:val="008D6812"/>
    <w:rsid w:val="008D7030"/>
    <w:rsid w:val="008D7484"/>
    <w:rsid w:val="008D7D6E"/>
    <w:rsid w:val="008D7DB5"/>
    <w:rsid w:val="008E017C"/>
    <w:rsid w:val="008E0C3F"/>
    <w:rsid w:val="008E0E00"/>
    <w:rsid w:val="008E17FE"/>
    <w:rsid w:val="008E1819"/>
    <w:rsid w:val="008E1EE3"/>
    <w:rsid w:val="008E231F"/>
    <w:rsid w:val="008E2636"/>
    <w:rsid w:val="008E32CA"/>
    <w:rsid w:val="008E34BA"/>
    <w:rsid w:val="008E3AC7"/>
    <w:rsid w:val="008E3CC8"/>
    <w:rsid w:val="008E45A4"/>
    <w:rsid w:val="008E47A3"/>
    <w:rsid w:val="008E4A86"/>
    <w:rsid w:val="008E4B1F"/>
    <w:rsid w:val="008E4D60"/>
    <w:rsid w:val="008E53C6"/>
    <w:rsid w:val="008E54A6"/>
    <w:rsid w:val="008E56DA"/>
    <w:rsid w:val="008E57C9"/>
    <w:rsid w:val="008E58D3"/>
    <w:rsid w:val="008E58E1"/>
    <w:rsid w:val="008E5CC7"/>
    <w:rsid w:val="008E5D3C"/>
    <w:rsid w:val="008E5DEF"/>
    <w:rsid w:val="008E60A0"/>
    <w:rsid w:val="008E6B95"/>
    <w:rsid w:val="008E6C43"/>
    <w:rsid w:val="008E6CA4"/>
    <w:rsid w:val="008E779C"/>
    <w:rsid w:val="008E7A07"/>
    <w:rsid w:val="008E7B70"/>
    <w:rsid w:val="008F02C7"/>
    <w:rsid w:val="008F03F9"/>
    <w:rsid w:val="008F0454"/>
    <w:rsid w:val="008F0469"/>
    <w:rsid w:val="008F097F"/>
    <w:rsid w:val="008F0B7B"/>
    <w:rsid w:val="008F0D4B"/>
    <w:rsid w:val="008F10E8"/>
    <w:rsid w:val="008F1980"/>
    <w:rsid w:val="008F1B04"/>
    <w:rsid w:val="008F22FA"/>
    <w:rsid w:val="008F25A0"/>
    <w:rsid w:val="008F284F"/>
    <w:rsid w:val="008F309C"/>
    <w:rsid w:val="008F362A"/>
    <w:rsid w:val="008F3B9E"/>
    <w:rsid w:val="008F3FF0"/>
    <w:rsid w:val="008F409C"/>
    <w:rsid w:val="008F432F"/>
    <w:rsid w:val="008F43EB"/>
    <w:rsid w:val="008F5036"/>
    <w:rsid w:val="008F51BD"/>
    <w:rsid w:val="008F5635"/>
    <w:rsid w:val="008F57AA"/>
    <w:rsid w:val="008F5835"/>
    <w:rsid w:val="008F58C4"/>
    <w:rsid w:val="008F5CC1"/>
    <w:rsid w:val="008F5F0F"/>
    <w:rsid w:val="008F6481"/>
    <w:rsid w:val="008F692A"/>
    <w:rsid w:val="008F6BAF"/>
    <w:rsid w:val="008F6F5B"/>
    <w:rsid w:val="008F6FC3"/>
    <w:rsid w:val="008F70A9"/>
    <w:rsid w:val="0090002B"/>
    <w:rsid w:val="00900181"/>
    <w:rsid w:val="00900788"/>
    <w:rsid w:val="00900BE2"/>
    <w:rsid w:val="00900D63"/>
    <w:rsid w:val="00901367"/>
    <w:rsid w:val="009013AD"/>
    <w:rsid w:val="00901A86"/>
    <w:rsid w:val="00901C9D"/>
    <w:rsid w:val="009022B2"/>
    <w:rsid w:val="009027D3"/>
    <w:rsid w:val="00902EC5"/>
    <w:rsid w:val="00903352"/>
    <w:rsid w:val="0090357D"/>
    <w:rsid w:val="009038F7"/>
    <w:rsid w:val="00903EC2"/>
    <w:rsid w:val="0090411A"/>
    <w:rsid w:val="0090458B"/>
    <w:rsid w:val="0090463E"/>
    <w:rsid w:val="0090469D"/>
    <w:rsid w:val="0090493B"/>
    <w:rsid w:val="00904A85"/>
    <w:rsid w:val="00904B26"/>
    <w:rsid w:val="00904C7C"/>
    <w:rsid w:val="00904E26"/>
    <w:rsid w:val="0090529E"/>
    <w:rsid w:val="00905514"/>
    <w:rsid w:val="00905794"/>
    <w:rsid w:val="009059C5"/>
    <w:rsid w:val="00905A6B"/>
    <w:rsid w:val="00905D4A"/>
    <w:rsid w:val="00905DDB"/>
    <w:rsid w:val="00906157"/>
    <w:rsid w:val="009068C2"/>
    <w:rsid w:val="00906D12"/>
    <w:rsid w:val="00906E6C"/>
    <w:rsid w:val="00906F53"/>
    <w:rsid w:val="00906FD4"/>
    <w:rsid w:val="00907692"/>
    <w:rsid w:val="0090782D"/>
    <w:rsid w:val="00910AB7"/>
    <w:rsid w:val="009110A2"/>
    <w:rsid w:val="009110EE"/>
    <w:rsid w:val="0091147C"/>
    <w:rsid w:val="00911C16"/>
    <w:rsid w:val="0091245B"/>
    <w:rsid w:val="009125BE"/>
    <w:rsid w:val="00912E2B"/>
    <w:rsid w:val="0091326B"/>
    <w:rsid w:val="00913D72"/>
    <w:rsid w:val="00914D3C"/>
    <w:rsid w:val="00914F93"/>
    <w:rsid w:val="00915008"/>
    <w:rsid w:val="009157C6"/>
    <w:rsid w:val="00915F2A"/>
    <w:rsid w:val="009164A0"/>
    <w:rsid w:val="00916791"/>
    <w:rsid w:val="00916840"/>
    <w:rsid w:val="00916AAD"/>
    <w:rsid w:val="00916ABD"/>
    <w:rsid w:val="00916E1A"/>
    <w:rsid w:val="00916F9D"/>
    <w:rsid w:val="0091762D"/>
    <w:rsid w:val="00917652"/>
    <w:rsid w:val="00917B94"/>
    <w:rsid w:val="00917C2D"/>
    <w:rsid w:val="00917EE5"/>
    <w:rsid w:val="0091C3ED"/>
    <w:rsid w:val="009202BA"/>
    <w:rsid w:val="00920F58"/>
    <w:rsid w:val="00920FC0"/>
    <w:rsid w:val="009213B7"/>
    <w:rsid w:val="00921572"/>
    <w:rsid w:val="009218F9"/>
    <w:rsid w:val="00921B69"/>
    <w:rsid w:val="00921D67"/>
    <w:rsid w:val="0092212E"/>
    <w:rsid w:val="00922247"/>
    <w:rsid w:val="00922790"/>
    <w:rsid w:val="00922850"/>
    <w:rsid w:val="00922F9A"/>
    <w:rsid w:val="00923372"/>
    <w:rsid w:val="00923404"/>
    <w:rsid w:val="009239A6"/>
    <w:rsid w:val="00923B66"/>
    <w:rsid w:val="009249CF"/>
    <w:rsid w:val="00924F4F"/>
    <w:rsid w:val="009250D7"/>
    <w:rsid w:val="009257DF"/>
    <w:rsid w:val="00925C57"/>
    <w:rsid w:val="00925E23"/>
    <w:rsid w:val="00926097"/>
    <w:rsid w:val="009263C0"/>
    <w:rsid w:val="00926842"/>
    <w:rsid w:val="009271C7"/>
    <w:rsid w:val="00927947"/>
    <w:rsid w:val="00927DCC"/>
    <w:rsid w:val="009304C3"/>
    <w:rsid w:val="0093091F"/>
    <w:rsid w:val="00930B54"/>
    <w:rsid w:val="00930CED"/>
    <w:rsid w:val="00930E57"/>
    <w:rsid w:val="009322B3"/>
    <w:rsid w:val="009326B5"/>
    <w:rsid w:val="00932719"/>
    <w:rsid w:val="00932F96"/>
    <w:rsid w:val="00933145"/>
    <w:rsid w:val="009336D2"/>
    <w:rsid w:val="009339F6"/>
    <w:rsid w:val="00933E03"/>
    <w:rsid w:val="00933F11"/>
    <w:rsid w:val="00934C4B"/>
    <w:rsid w:val="009350BD"/>
    <w:rsid w:val="00935290"/>
    <w:rsid w:val="00935300"/>
    <w:rsid w:val="009357E6"/>
    <w:rsid w:val="009359A8"/>
    <w:rsid w:val="009360D1"/>
    <w:rsid w:val="0093616F"/>
    <w:rsid w:val="00936266"/>
    <w:rsid w:val="0093641C"/>
    <w:rsid w:val="00936449"/>
    <w:rsid w:val="00936761"/>
    <w:rsid w:val="00936DE0"/>
    <w:rsid w:val="00937D8F"/>
    <w:rsid w:val="00937DA2"/>
    <w:rsid w:val="009404E3"/>
    <w:rsid w:val="00940B08"/>
    <w:rsid w:val="009410D4"/>
    <w:rsid w:val="00941995"/>
    <w:rsid w:val="00942684"/>
    <w:rsid w:val="00942A90"/>
    <w:rsid w:val="00942BE2"/>
    <w:rsid w:val="00942DFD"/>
    <w:rsid w:val="00943948"/>
    <w:rsid w:val="00943F7F"/>
    <w:rsid w:val="009445A3"/>
    <w:rsid w:val="00944682"/>
    <w:rsid w:val="00944978"/>
    <w:rsid w:val="00944AA4"/>
    <w:rsid w:val="00944AB3"/>
    <w:rsid w:val="00944B24"/>
    <w:rsid w:val="00944C11"/>
    <w:rsid w:val="00944C83"/>
    <w:rsid w:val="00944E1B"/>
    <w:rsid w:val="0094503A"/>
    <w:rsid w:val="0094504C"/>
    <w:rsid w:val="009452FE"/>
    <w:rsid w:val="0094536C"/>
    <w:rsid w:val="00945735"/>
    <w:rsid w:val="00945835"/>
    <w:rsid w:val="00945F2A"/>
    <w:rsid w:val="00945F41"/>
    <w:rsid w:val="009460B0"/>
    <w:rsid w:val="00946573"/>
    <w:rsid w:val="009465BC"/>
    <w:rsid w:val="00946A49"/>
    <w:rsid w:val="00946D28"/>
    <w:rsid w:val="00947000"/>
    <w:rsid w:val="009472E5"/>
    <w:rsid w:val="0094733B"/>
    <w:rsid w:val="009473EB"/>
    <w:rsid w:val="0094793D"/>
    <w:rsid w:val="0095026B"/>
    <w:rsid w:val="009504C1"/>
    <w:rsid w:val="00950678"/>
    <w:rsid w:val="0095068A"/>
    <w:rsid w:val="00950C08"/>
    <w:rsid w:val="00951723"/>
    <w:rsid w:val="00951B46"/>
    <w:rsid w:val="00951C68"/>
    <w:rsid w:val="00951FDB"/>
    <w:rsid w:val="00952A28"/>
    <w:rsid w:val="00952A2D"/>
    <w:rsid w:val="00952D18"/>
    <w:rsid w:val="00952F22"/>
    <w:rsid w:val="00953098"/>
    <w:rsid w:val="00953E2D"/>
    <w:rsid w:val="0095476A"/>
    <w:rsid w:val="00954936"/>
    <w:rsid w:val="00954B13"/>
    <w:rsid w:val="00954E82"/>
    <w:rsid w:val="009550CE"/>
    <w:rsid w:val="00955122"/>
    <w:rsid w:val="0095543C"/>
    <w:rsid w:val="0095583A"/>
    <w:rsid w:val="00956B60"/>
    <w:rsid w:val="00956D8B"/>
    <w:rsid w:val="00956E42"/>
    <w:rsid w:val="00957806"/>
    <w:rsid w:val="00957E48"/>
    <w:rsid w:val="00957F2E"/>
    <w:rsid w:val="009600DD"/>
    <w:rsid w:val="00960225"/>
    <w:rsid w:val="009605EA"/>
    <w:rsid w:val="00960C7D"/>
    <w:rsid w:val="00960EE8"/>
    <w:rsid w:val="00961260"/>
    <w:rsid w:val="00961289"/>
    <w:rsid w:val="00961E35"/>
    <w:rsid w:val="00962526"/>
    <w:rsid w:val="0096376A"/>
    <w:rsid w:val="00964230"/>
    <w:rsid w:val="00964425"/>
    <w:rsid w:val="00965584"/>
    <w:rsid w:val="0096594F"/>
    <w:rsid w:val="00965A7A"/>
    <w:rsid w:val="00965D3E"/>
    <w:rsid w:val="009663D9"/>
    <w:rsid w:val="00966E97"/>
    <w:rsid w:val="00967328"/>
    <w:rsid w:val="0096742D"/>
    <w:rsid w:val="0096744D"/>
    <w:rsid w:val="009675AA"/>
    <w:rsid w:val="009677EC"/>
    <w:rsid w:val="00967881"/>
    <w:rsid w:val="00970146"/>
    <w:rsid w:val="009703FE"/>
    <w:rsid w:val="00970997"/>
    <w:rsid w:val="00970A5F"/>
    <w:rsid w:val="00970DE1"/>
    <w:rsid w:val="00970F71"/>
    <w:rsid w:val="009710CB"/>
    <w:rsid w:val="009711BB"/>
    <w:rsid w:val="00971AB1"/>
    <w:rsid w:val="00971FDB"/>
    <w:rsid w:val="00972498"/>
    <w:rsid w:val="00972F58"/>
    <w:rsid w:val="00973140"/>
    <w:rsid w:val="0097345B"/>
    <w:rsid w:val="00973717"/>
    <w:rsid w:val="00973C86"/>
    <w:rsid w:val="00973D7C"/>
    <w:rsid w:val="009741C0"/>
    <w:rsid w:val="00974690"/>
    <w:rsid w:val="00974867"/>
    <w:rsid w:val="0097579E"/>
    <w:rsid w:val="00975B5A"/>
    <w:rsid w:val="00975DE6"/>
    <w:rsid w:val="00976470"/>
    <w:rsid w:val="009766A5"/>
    <w:rsid w:val="009768C1"/>
    <w:rsid w:val="00977202"/>
    <w:rsid w:val="0097749E"/>
    <w:rsid w:val="00977548"/>
    <w:rsid w:val="00977AC0"/>
    <w:rsid w:val="00980037"/>
    <w:rsid w:val="00980055"/>
    <w:rsid w:val="00980292"/>
    <w:rsid w:val="009804D6"/>
    <w:rsid w:val="00981043"/>
    <w:rsid w:val="00981045"/>
    <w:rsid w:val="009814E4"/>
    <w:rsid w:val="009816F2"/>
    <w:rsid w:val="00981B96"/>
    <w:rsid w:val="00981DD7"/>
    <w:rsid w:val="00982089"/>
    <w:rsid w:val="00982094"/>
    <w:rsid w:val="009822A4"/>
    <w:rsid w:val="00982941"/>
    <w:rsid w:val="009834EC"/>
    <w:rsid w:val="00983AC8"/>
    <w:rsid w:val="00983AD6"/>
    <w:rsid w:val="00983B05"/>
    <w:rsid w:val="009845D0"/>
    <w:rsid w:val="00984C52"/>
    <w:rsid w:val="00984FDD"/>
    <w:rsid w:val="00985117"/>
    <w:rsid w:val="0098549C"/>
    <w:rsid w:val="00985FD3"/>
    <w:rsid w:val="009861EC"/>
    <w:rsid w:val="00986388"/>
    <w:rsid w:val="0098640D"/>
    <w:rsid w:val="00986730"/>
    <w:rsid w:val="00986FBE"/>
    <w:rsid w:val="009878C8"/>
    <w:rsid w:val="00987A8C"/>
    <w:rsid w:val="00987D25"/>
    <w:rsid w:val="00987E96"/>
    <w:rsid w:val="00990A2D"/>
    <w:rsid w:val="009911BA"/>
    <w:rsid w:val="0099148D"/>
    <w:rsid w:val="00992F23"/>
    <w:rsid w:val="0099450A"/>
    <w:rsid w:val="009948BC"/>
    <w:rsid w:val="00994A24"/>
    <w:rsid w:val="009954BF"/>
    <w:rsid w:val="0099560C"/>
    <w:rsid w:val="00995824"/>
    <w:rsid w:val="009959C8"/>
    <w:rsid w:val="00995ADE"/>
    <w:rsid w:val="009965CD"/>
    <w:rsid w:val="0099687C"/>
    <w:rsid w:val="00996977"/>
    <w:rsid w:val="0099729E"/>
    <w:rsid w:val="009973E9"/>
    <w:rsid w:val="009976A9"/>
    <w:rsid w:val="009A0641"/>
    <w:rsid w:val="009A087C"/>
    <w:rsid w:val="009A0A9F"/>
    <w:rsid w:val="009A0CC4"/>
    <w:rsid w:val="009A0D91"/>
    <w:rsid w:val="009A0D97"/>
    <w:rsid w:val="009A117A"/>
    <w:rsid w:val="009A1227"/>
    <w:rsid w:val="009A168C"/>
    <w:rsid w:val="009A18AB"/>
    <w:rsid w:val="009A2241"/>
    <w:rsid w:val="009A226A"/>
    <w:rsid w:val="009A2645"/>
    <w:rsid w:val="009A2789"/>
    <w:rsid w:val="009A2E2B"/>
    <w:rsid w:val="009A3356"/>
    <w:rsid w:val="009A3460"/>
    <w:rsid w:val="009A38FE"/>
    <w:rsid w:val="009A3A07"/>
    <w:rsid w:val="009A3A0A"/>
    <w:rsid w:val="009A3AA5"/>
    <w:rsid w:val="009A3C04"/>
    <w:rsid w:val="009A3CEF"/>
    <w:rsid w:val="009A4526"/>
    <w:rsid w:val="009A49DF"/>
    <w:rsid w:val="009A49F4"/>
    <w:rsid w:val="009A4CCC"/>
    <w:rsid w:val="009A4D93"/>
    <w:rsid w:val="009A4DBB"/>
    <w:rsid w:val="009A516D"/>
    <w:rsid w:val="009A5A87"/>
    <w:rsid w:val="009A63C7"/>
    <w:rsid w:val="009A6FF8"/>
    <w:rsid w:val="009A720C"/>
    <w:rsid w:val="009A7493"/>
    <w:rsid w:val="009A74C7"/>
    <w:rsid w:val="009A7B90"/>
    <w:rsid w:val="009B0235"/>
    <w:rsid w:val="009B04D8"/>
    <w:rsid w:val="009B05BE"/>
    <w:rsid w:val="009B0F0E"/>
    <w:rsid w:val="009B15A8"/>
    <w:rsid w:val="009B16A2"/>
    <w:rsid w:val="009B1773"/>
    <w:rsid w:val="009B2024"/>
    <w:rsid w:val="009B2A5B"/>
    <w:rsid w:val="009B2F8A"/>
    <w:rsid w:val="009B3054"/>
    <w:rsid w:val="009B44A0"/>
    <w:rsid w:val="009B45A6"/>
    <w:rsid w:val="009B491D"/>
    <w:rsid w:val="009B49AC"/>
    <w:rsid w:val="009B4C01"/>
    <w:rsid w:val="009B5AEE"/>
    <w:rsid w:val="009B5FBC"/>
    <w:rsid w:val="009B6069"/>
    <w:rsid w:val="009B60FB"/>
    <w:rsid w:val="009B6E9B"/>
    <w:rsid w:val="009B709D"/>
    <w:rsid w:val="009B7285"/>
    <w:rsid w:val="009B7F0B"/>
    <w:rsid w:val="009B7FC4"/>
    <w:rsid w:val="009C0098"/>
    <w:rsid w:val="009C01F7"/>
    <w:rsid w:val="009C084E"/>
    <w:rsid w:val="009C09E1"/>
    <w:rsid w:val="009C0C1C"/>
    <w:rsid w:val="009C0C72"/>
    <w:rsid w:val="009C0F4C"/>
    <w:rsid w:val="009C110A"/>
    <w:rsid w:val="009C126F"/>
    <w:rsid w:val="009C16BA"/>
    <w:rsid w:val="009C174A"/>
    <w:rsid w:val="009C1769"/>
    <w:rsid w:val="009C1BC3"/>
    <w:rsid w:val="009C1C87"/>
    <w:rsid w:val="009C233C"/>
    <w:rsid w:val="009C2616"/>
    <w:rsid w:val="009C2738"/>
    <w:rsid w:val="009C2CAA"/>
    <w:rsid w:val="009C3883"/>
    <w:rsid w:val="009C43D5"/>
    <w:rsid w:val="009C46D6"/>
    <w:rsid w:val="009C4936"/>
    <w:rsid w:val="009C49B7"/>
    <w:rsid w:val="009C55DF"/>
    <w:rsid w:val="009C57A6"/>
    <w:rsid w:val="009C5C25"/>
    <w:rsid w:val="009C5F4E"/>
    <w:rsid w:val="009C6487"/>
    <w:rsid w:val="009C6816"/>
    <w:rsid w:val="009C6832"/>
    <w:rsid w:val="009C6E4B"/>
    <w:rsid w:val="009C6E78"/>
    <w:rsid w:val="009C7059"/>
    <w:rsid w:val="009C7331"/>
    <w:rsid w:val="009C756F"/>
    <w:rsid w:val="009C7DF3"/>
    <w:rsid w:val="009C7E6C"/>
    <w:rsid w:val="009C7E95"/>
    <w:rsid w:val="009D06D5"/>
    <w:rsid w:val="009D08D1"/>
    <w:rsid w:val="009D0F07"/>
    <w:rsid w:val="009D1093"/>
    <w:rsid w:val="009D136B"/>
    <w:rsid w:val="009D23AB"/>
    <w:rsid w:val="009D28C5"/>
    <w:rsid w:val="009D2A21"/>
    <w:rsid w:val="009D2D42"/>
    <w:rsid w:val="009D2F81"/>
    <w:rsid w:val="009D31B4"/>
    <w:rsid w:val="009D3DE6"/>
    <w:rsid w:val="009D4042"/>
    <w:rsid w:val="009D5040"/>
    <w:rsid w:val="009D534B"/>
    <w:rsid w:val="009D5C30"/>
    <w:rsid w:val="009D5F8F"/>
    <w:rsid w:val="009D6094"/>
    <w:rsid w:val="009D6C22"/>
    <w:rsid w:val="009D6F65"/>
    <w:rsid w:val="009D783C"/>
    <w:rsid w:val="009D7CBD"/>
    <w:rsid w:val="009D7F07"/>
    <w:rsid w:val="009D7F95"/>
    <w:rsid w:val="009E06AB"/>
    <w:rsid w:val="009E0B2A"/>
    <w:rsid w:val="009E0CBE"/>
    <w:rsid w:val="009E0D19"/>
    <w:rsid w:val="009E0FE0"/>
    <w:rsid w:val="009E1482"/>
    <w:rsid w:val="009E1CFE"/>
    <w:rsid w:val="009E2219"/>
    <w:rsid w:val="009E2634"/>
    <w:rsid w:val="009E2A07"/>
    <w:rsid w:val="009E2BE7"/>
    <w:rsid w:val="009E320C"/>
    <w:rsid w:val="009E376A"/>
    <w:rsid w:val="009E39E9"/>
    <w:rsid w:val="009E3A09"/>
    <w:rsid w:val="009E3AD2"/>
    <w:rsid w:val="009E3FDD"/>
    <w:rsid w:val="009E4129"/>
    <w:rsid w:val="009E4F12"/>
    <w:rsid w:val="009E53DD"/>
    <w:rsid w:val="009E5955"/>
    <w:rsid w:val="009E5DA9"/>
    <w:rsid w:val="009E5DF5"/>
    <w:rsid w:val="009E60B5"/>
    <w:rsid w:val="009E6DB7"/>
    <w:rsid w:val="009E7A40"/>
    <w:rsid w:val="009E7B88"/>
    <w:rsid w:val="009F0A0B"/>
    <w:rsid w:val="009F0B4C"/>
    <w:rsid w:val="009F152B"/>
    <w:rsid w:val="009F1599"/>
    <w:rsid w:val="009F1E07"/>
    <w:rsid w:val="009F1F86"/>
    <w:rsid w:val="009F2188"/>
    <w:rsid w:val="009F2189"/>
    <w:rsid w:val="009F26B6"/>
    <w:rsid w:val="009F26CD"/>
    <w:rsid w:val="009F28EB"/>
    <w:rsid w:val="009F29CC"/>
    <w:rsid w:val="009F2CF4"/>
    <w:rsid w:val="009F2EB4"/>
    <w:rsid w:val="009F3011"/>
    <w:rsid w:val="009F3338"/>
    <w:rsid w:val="009F352D"/>
    <w:rsid w:val="009F3557"/>
    <w:rsid w:val="009F3759"/>
    <w:rsid w:val="009F4658"/>
    <w:rsid w:val="009F5031"/>
    <w:rsid w:val="009F54BC"/>
    <w:rsid w:val="009F5C5A"/>
    <w:rsid w:val="009F5D6A"/>
    <w:rsid w:val="009F5E56"/>
    <w:rsid w:val="009F61B1"/>
    <w:rsid w:val="009F6323"/>
    <w:rsid w:val="009F6F44"/>
    <w:rsid w:val="009F7041"/>
    <w:rsid w:val="009F70F2"/>
    <w:rsid w:val="00A00734"/>
    <w:rsid w:val="00A00B17"/>
    <w:rsid w:val="00A01BF8"/>
    <w:rsid w:val="00A01FEA"/>
    <w:rsid w:val="00A01FEC"/>
    <w:rsid w:val="00A0205D"/>
    <w:rsid w:val="00A02249"/>
    <w:rsid w:val="00A02476"/>
    <w:rsid w:val="00A02653"/>
    <w:rsid w:val="00A02B9D"/>
    <w:rsid w:val="00A02F2F"/>
    <w:rsid w:val="00A0320C"/>
    <w:rsid w:val="00A0360F"/>
    <w:rsid w:val="00A0379A"/>
    <w:rsid w:val="00A0478C"/>
    <w:rsid w:val="00A04DE6"/>
    <w:rsid w:val="00A04EE7"/>
    <w:rsid w:val="00A051C0"/>
    <w:rsid w:val="00A053AF"/>
    <w:rsid w:val="00A055B7"/>
    <w:rsid w:val="00A05695"/>
    <w:rsid w:val="00A057F5"/>
    <w:rsid w:val="00A0582B"/>
    <w:rsid w:val="00A05A7C"/>
    <w:rsid w:val="00A05C49"/>
    <w:rsid w:val="00A05D77"/>
    <w:rsid w:val="00A0625B"/>
    <w:rsid w:val="00A067AF"/>
    <w:rsid w:val="00A06930"/>
    <w:rsid w:val="00A07457"/>
    <w:rsid w:val="00A077DB"/>
    <w:rsid w:val="00A07BDF"/>
    <w:rsid w:val="00A07CD3"/>
    <w:rsid w:val="00A100C7"/>
    <w:rsid w:val="00A10217"/>
    <w:rsid w:val="00A105C1"/>
    <w:rsid w:val="00A10878"/>
    <w:rsid w:val="00A10951"/>
    <w:rsid w:val="00A10E0C"/>
    <w:rsid w:val="00A11131"/>
    <w:rsid w:val="00A11843"/>
    <w:rsid w:val="00A11A0E"/>
    <w:rsid w:val="00A11BB7"/>
    <w:rsid w:val="00A12484"/>
    <w:rsid w:val="00A127F0"/>
    <w:rsid w:val="00A1285D"/>
    <w:rsid w:val="00A138DB"/>
    <w:rsid w:val="00A139AA"/>
    <w:rsid w:val="00A144AA"/>
    <w:rsid w:val="00A14890"/>
    <w:rsid w:val="00A1491C"/>
    <w:rsid w:val="00A150D0"/>
    <w:rsid w:val="00A1513C"/>
    <w:rsid w:val="00A1519C"/>
    <w:rsid w:val="00A1531F"/>
    <w:rsid w:val="00A15996"/>
    <w:rsid w:val="00A15E11"/>
    <w:rsid w:val="00A15E3A"/>
    <w:rsid w:val="00A16009"/>
    <w:rsid w:val="00A160D7"/>
    <w:rsid w:val="00A16417"/>
    <w:rsid w:val="00A165B5"/>
    <w:rsid w:val="00A169B0"/>
    <w:rsid w:val="00A16B71"/>
    <w:rsid w:val="00A16EF8"/>
    <w:rsid w:val="00A172B2"/>
    <w:rsid w:val="00A17948"/>
    <w:rsid w:val="00A17C5E"/>
    <w:rsid w:val="00A17DEC"/>
    <w:rsid w:val="00A20211"/>
    <w:rsid w:val="00A20EBA"/>
    <w:rsid w:val="00A21457"/>
    <w:rsid w:val="00A215EA"/>
    <w:rsid w:val="00A21A41"/>
    <w:rsid w:val="00A21AE4"/>
    <w:rsid w:val="00A21B0A"/>
    <w:rsid w:val="00A21E0B"/>
    <w:rsid w:val="00A22424"/>
    <w:rsid w:val="00A22453"/>
    <w:rsid w:val="00A225A2"/>
    <w:rsid w:val="00A22DC4"/>
    <w:rsid w:val="00A231B5"/>
    <w:rsid w:val="00A23518"/>
    <w:rsid w:val="00A23A30"/>
    <w:rsid w:val="00A23B1D"/>
    <w:rsid w:val="00A23C56"/>
    <w:rsid w:val="00A23FE8"/>
    <w:rsid w:val="00A2412E"/>
    <w:rsid w:val="00A242AD"/>
    <w:rsid w:val="00A24378"/>
    <w:rsid w:val="00A24507"/>
    <w:rsid w:val="00A25021"/>
    <w:rsid w:val="00A255B0"/>
    <w:rsid w:val="00A256A8"/>
    <w:rsid w:val="00A25A2E"/>
    <w:rsid w:val="00A26438"/>
    <w:rsid w:val="00A26C35"/>
    <w:rsid w:val="00A271F5"/>
    <w:rsid w:val="00A27615"/>
    <w:rsid w:val="00A2765E"/>
    <w:rsid w:val="00A27F55"/>
    <w:rsid w:val="00A300F8"/>
    <w:rsid w:val="00A301AE"/>
    <w:rsid w:val="00A3032A"/>
    <w:rsid w:val="00A30AEC"/>
    <w:rsid w:val="00A310F3"/>
    <w:rsid w:val="00A31198"/>
    <w:rsid w:val="00A31C9E"/>
    <w:rsid w:val="00A320A5"/>
    <w:rsid w:val="00A32530"/>
    <w:rsid w:val="00A32F59"/>
    <w:rsid w:val="00A3303C"/>
    <w:rsid w:val="00A3400E"/>
    <w:rsid w:val="00A34090"/>
    <w:rsid w:val="00A3470F"/>
    <w:rsid w:val="00A34AA3"/>
    <w:rsid w:val="00A353C1"/>
    <w:rsid w:val="00A3545F"/>
    <w:rsid w:val="00A35ECB"/>
    <w:rsid w:val="00A36375"/>
    <w:rsid w:val="00A365F4"/>
    <w:rsid w:val="00A37131"/>
    <w:rsid w:val="00A37A1E"/>
    <w:rsid w:val="00A37E3A"/>
    <w:rsid w:val="00A37FCB"/>
    <w:rsid w:val="00A40F10"/>
    <w:rsid w:val="00A41086"/>
    <w:rsid w:val="00A41878"/>
    <w:rsid w:val="00A41E4A"/>
    <w:rsid w:val="00A4230D"/>
    <w:rsid w:val="00A42862"/>
    <w:rsid w:val="00A42B5B"/>
    <w:rsid w:val="00A43441"/>
    <w:rsid w:val="00A436FA"/>
    <w:rsid w:val="00A4370A"/>
    <w:rsid w:val="00A43AAC"/>
    <w:rsid w:val="00A43C43"/>
    <w:rsid w:val="00A4444B"/>
    <w:rsid w:val="00A44460"/>
    <w:rsid w:val="00A444F7"/>
    <w:rsid w:val="00A44556"/>
    <w:rsid w:val="00A445AA"/>
    <w:rsid w:val="00A44887"/>
    <w:rsid w:val="00A450D5"/>
    <w:rsid w:val="00A45B60"/>
    <w:rsid w:val="00A45DF0"/>
    <w:rsid w:val="00A45FFF"/>
    <w:rsid w:val="00A46C11"/>
    <w:rsid w:val="00A47078"/>
    <w:rsid w:val="00A4789D"/>
    <w:rsid w:val="00A47B3F"/>
    <w:rsid w:val="00A501FD"/>
    <w:rsid w:val="00A5065B"/>
    <w:rsid w:val="00A50CAE"/>
    <w:rsid w:val="00A5159B"/>
    <w:rsid w:val="00A5168D"/>
    <w:rsid w:val="00A5177C"/>
    <w:rsid w:val="00A52D4D"/>
    <w:rsid w:val="00A52E1F"/>
    <w:rsid w:val="00A52F60"/>
    <w:rsid w:val="00A532E1"/>
    <w:rsid w:val="00A5334E"/>
    <w:rsid w:val="00A5337B"/>
    <w:rsid w:val="00A534FE"/>
    <w:rsid w:val="00A53645"/>
    <w:rsid w:val="00A5399E"/>
    <w:rsid w:val="00A544DB"/>
    <w:rsid w:val="00A54716"/>
    <w:rsid w:val="00A54879"/>
    <w:rsid w:val="00A54D0E"/>
    <w:rsid w:val="00A54ED6"/>
    <w:rsid w:val="00A54EFD"/>
    <w:rsid w:val="00A5553D"/>
    <w:rsid w:val="00A55956"/>
    <w:rsid w:val="00A55B54"/>
    <w:rsid w:val="00A55D52"/>
    <w:rsid w:val="00A5603C"/>
    <w:rsid w:val="00A560CB"/>
    <w:rsid w:val="00A561E8"/>
    <w:rsid w:val="00A56435"/>
    <w:rsid w:val="00A5652B"/>
    <w:rsid w:val="00A5733F"/>
    <w:rsid w:val="00A57942"/>
    <w:rsid w:val="00A57DD3"/>
    <w:rsid w:val="00A5BD7E"/>
    <w:rsid w:val="00A60254"/>
    <w:rsid w:val="00A60308"/>
    <w:rsid w:val="00A60659"/>
    <w:rsid w:val="00A6087B"/>
    <w:rsid w:val="00A60EC0"/>
    <w:rsid w:val="00A6150E"/>
    <w:rsid w:val="00A61568"/>
    <w:rsid w:val="00A61D81"/>
    <w:rsid w:val="00A61F39"/>
    <w:rsid w:val="00A62289"/>
    <w:rsid w:val="00A623A0"/>
    <w:rsid w:val="00A62650"/>
    <w:rsid w:val="00A63113"/>
    <w:rsid w:val="00A631FB"/>
    <w:rsid w:val="00A63282"/>
    <w:rsid w:val="00A63580"/>
    <w:rsid w:val="00A63984"/>
    <w:rsid w:val="00A63B86"/>
    <w:rsid w:val="00A63C18"/>
    <w:rsid w:val="00A640BB"/>
    <w:rsid w:val="00A6415E"/>
    <w:rsid w:val="00A64FA5"/>
    <w:rsid w:val="00A650B6"/>
    <w:rsid w:val="00A6517B"/>
    <w:rsid w:val="00A6527E"/>
    <w:rsid w:val="00A652E7"/>
    <w:rsid w:val="00A655E9"/>
    <w:rsid w:val="00A65812"/>
    <w:rsid w:val="00A65F8D"/>
    <w:rsid w:val="00A66074"/>
    <w:rsid w:val="00A674AD"/>
    <w:rsid w:val="00A67C0C"/>
    <w:rsid w:val="00A67D94"/>
    <w:rsid w:val="00A7056D"/>
    <w:rsid w:val="00A70B14"/>
    <w:rsid w:val="00A71686"/>
    <w:rsid w:val="00A71B77"/>
    <w:rsid w:val="00A72116"/>
    <w:rsid w:val="00A72133"/>
    <w:rsid w:val="00A73614"/>
    <w:rsid w:val="00A73787"/>
    <w:rsid w:val="00A73906"/>
    <w:rsid w:val="00A74AE1"/>
    <w:rsid w:val="00A75193"/>
    <w:rsid w:val="00A751FD"/>
    <w:rsid w:val="00A754FA"/>
    <w:rsid w:val="00A7552F"/>
    <w:rsid w:val="00A756CB"/>
    <w:rsid w:val="00A75739"/>
    <w:rsid w:val="00A75F33"/>
    <w:rsid w:val="00A76DEE"/>
    <w:rsid w:val="00A76EF5"/>
    <w:rsid w:val="00A770A3"/>
    <w:rsid w:val="00A772F0"/>
    <w:rsid w:val="00A77328"/>
    <w:rsid w:val="00A774C8"/>
    <w:rsid w:val="00A776B9"/>
    <w:rsid w:val="00A777F1"/>
    <w:rsid w:val="00A77825"/>
    <w:rsid w:val="00A77D37"/>
    <w:rsid w:val="00A8020D"/>
    <w:rsid w:val="00A80312"/>
    <w:rsid w:val="00A80B8C"/>
    <w:rsid w:val="00A80BCF"/>
    <w:rsid w:val="00A80EEF"/>
    <w:rsid w:val="00A80FAD"/>
    <w:rsid w:val="00A8165A"/>
    <w:rsid w:val="00A81903"/>
    <w:rsid w:val="00A81FAA"/>
    <w:rsid w:val="00A8210E"/>
    <w:rsid w:val="00A82969"/>
    <w:rsid w:val="00A82A16"/>
    <w:rsid w:val="00A82C71"/>
    <w:rsid w:val="00A82CC1"/>
    <w:rsid w:val="00A82FBB"/>
    <w:rsid w:val="00A832E1"/>
    <w:rsid w:val="00A83797"/>
    <w:rsid w:val="00A837AD"/>
    <w:rsid w:val="00A83A90"/>
    <w:rsid w:val="00A8420B"/>
    <w:rsid w:val="00A84225"/>
    <w:rsid w:val="00A84260"/>
    <w:rsid w:val="00A847E5"/>
    <w:rsid w:val="00A849D9"/>
    <w:rsid w:val="00A84BAC"/>
    <w:rsid w:val="00A84F11"/>
    <w:rsid w:val="00A85238"/>
    <w:rsid w:val="00A855D9"/>
    <w:rsid w:val="00A85602"/>
    <w:rsid w:val="00A85619"/>
    <w:rsid w:val="00A8627A"/>
    <w:rsid w:val="00A86334"/>
    <w:rsid w:val="00A87971"/>
    <w:rsid w:val="00A87A30"/>
    <w:rsid w:val="00A87D64"/>
    <w:rsid w:val="00A87DFC"/>
    <w:rsid w:val="00A87FDC"/>
    <w:rsid w:val="00A901DA"/>
    <w:rsid w:val="00A9042D"/>
    <w:rsid w:val="00A90AB2"/>
    <w:rsid w:val="00A910D1"/>
    <w:rsid w:val="00A9140C"/>
    <w:rsid w:val="00A92C53"/>
    <w:rsid w:val="00A9314F"/>
    <w:rsid w:val="00A93CAB"/>
    <w:rsid w:val="00A93EE6"/>
    <w:rsid w:val="00A93F39"/>
    <w:rsid w:val="00A94147"/>
    <w:rsid w:val="00A943F9"/>
    <w:rsid w:val="00A944BF"/>
    <w:rsid w:val="00A946DA"/>
    <w:rsid w:val="00A94827"/>
    <w:rsid w:val="00A94869"/>
    <w:rsid w:val="00A94B6A"/>
    <w:rsid w:val="00A94CD8"/>
    <w:rsid w:val="00A94E9C"/>
    <w:rsid w:val="00A94F2A"/>
    <w:rsid w:val="00A95333"/>
    <w:rsid w:val="00A95733"/>
    <w:rsid w:val="00A958A0"/>
    <w:rsid w:val="00A95A81"/>
    <w:rsid w:val="00A95C32"/>
    <w:rsid w:val="00A96B79"/>
    <w:rsid w:val="00A96DB8"/>
    <w:rsid w:val="00A975D3"/>
    <w:rsid w:val="00A97B34"/>
    <w:rsid w:val="00A97DCB"/>
    <w:rsid w:val="00AA011B"/>
    <w:rsid w:val="00AA05C1"/>
    <w:rsid w:val="00AA0AF3"/>
    <w:rsid w:val="00AA1051"/>
    <w:rsid w:val="00AA1580"/>
    <w:rsid w:val="00AA18F4"/>
    <w:rsid w:val="00AA1E27"/>
    <w:rsid w:val="00AA205D"/>
    <w:rsid w:val="00AA21F4"/>
    <w:rsid w:val="00AA2219"/>
    <w:rsid w:val="00AA248F"/>
    <w:rsid w:val="00AA2EF2"/>
    <w:rsid w:val="00AA3874"/>
    <w:rsid w:val="00AA4086"/>
    <w:rsid w:val="00AA41E9"/>
    <w:rsid w:val="00AA423E"/>
    <w:rsid w:val="00AA4B5C"/>
    <w:rsid w:val="00AA4CB0"/>
    <w:rsid w:val="00AA4FC1"/>
    <w:rsid w:val="00AA50AE"/>
    <w:rsid w:val="00AA5CE4"/>
    <w:rsid w:val="00AA6075"/>
    <w:rsid w:val="00AA65AC"/>
    <w:rsid w:val="00AA6A2C"/>
    <w:rsid w:val="00AA6A79"/>
    <w:rsid w:val="00AA6FF3"/>
    <w:rsid w:val="00AA71C1"/>
    <w:rsid w:val="00AA751C"/>
    <w:rsid w:val="00AA7AA3"/>
    <w:rsid w:val="00AA7FB4"/>
    <w:rsid w:val="00AB00BE"/>
    <w:rsid w:val="00AB04FF"/>
    <w:rsid w:val="00AB050C"/>
    <w:rsid w:val="00AB0A87"/>
    <w:rsid w:val="00AB0B1F"/>
    <w:rsid w:val="00AB0C6C"/>
    <w:rsid w:val="00AB0C89"/>
    <w:rsid w:val="00AB150E"/>
    <w:rsid w:val="00AB2A9E"/>
    <w:rsid w:val="00AB2B0E"/>
    <w:rsid w:val="00AB2D0B"/>
    <w:rsid w:val="00AB397C"/>
    <w:rsid w:val="00AB4036"/>
    <w:rsid w:val="00AB4278"/>
    <w:rsid w:val="00AB42E0"/>
    <w:rsid w:val="00AB439A"/>
    <w:rsid w:val="00AB44F0"/>
    <w:rsid w:val="00AB47E6"/>
    <w:rsid w:val="00AB4DC7"/>
    <w:rsid w:val="00AB537D"/>
    <w:rsid w:val="00AB54E2"/>
    <w:rsid w:val="00AB58D2"/>
    <w:rsid w:val="00AB61C7"/>
    <w:rsid w:val="00AB65EE"/>
    <w:rsid w:val="00AB6636"/>
    <w:rsid w:val="00AB6893"/>
    <w:rsid w:val="00AB6A4B"/>
    <w:rsid w:val="00AB6C76"/>
    <w:rsid w:val="00AB7A33"/>
    <w:rsid w:val="00AC0298"/>
    <w:rsid w:val="00AC06EC"/>
    <w:rsid w:val="00AC0905"/>
    <w:rsid w:val="00AC0980"/>
    <w:rsid w:val="00AC0A3B"/>
    <w:rsid w:val="00AC0BE8"/>
    <w:rsid w:val="00AC0BFA"/>
    <w:rsid w:val="00AC10DA"/>
    <w:rsid w:val="00AC12DF"/>
    <w:rsid w:val="00AC130C"/>
    <w:rsid w:val="00AC1572"/>
    <w:rsid w:val="00AC1B84"/>
    <w:rsid w:val="00AC21A1"/>
    <w:rsid w:val="00AC2257"/>
    <w:rsid w:val="00AC22F0"/>
    <w:rsid w:val="00AC2412"/>
    <w:rsid w:val="00AC26C5"/>
    <w:rsid w:val="00AC326E"/>
    <w:rsid w:val="00AC37AE"/>
    <w:rsid w:val="00AC3942"/>
    <w:rsid w:val="00AC4134"/>
    <w:rsid w:val="00AC434E"/>
    <w:rsid w:val="00AC45F9"/>
    <w:rsid w:val="00AC484B"/>
    <w:rsid w:val="00AC4AC8"/>
    <w:rsid w:val="00AC4CE5"/>
    <w:rsid w:val="00AC539C"/>
    <w:rsid w:val="00AC54EA"/>
    <w:rsid w:val="00AC55D7"/>
    <w:rsid w:val="00AC5AE3"/>
    <w:rsid w:val="00AC5C3E"/>
    <w:rsid w:val="00AC5E96"/>
    <w:rsid w:val="00AC6681"/>
    <w:rsid w:val="00AC67E6"/>
    <w:rsid w:val="00AC707E"/>
    <w:rsid w:val="00AC737F"/>
    <w:rsid w:val="00AC74D0"/>
    <w:rsid w:val="00AC7E98"/>
    <w:rsid w:val="00AD0154"/>
    <w:rsid w:val="00AD0C2D"/>
    <w:rsid w:val="00AD0D6A"/>
    <w:rsid w:val="00AD0F22"/>
    <w:rsid w:val="00AD18D8"/>
    <w:rsid w:val="00AD26CD"/>
    <w:rsid w:val="00AD270C"/>
    <w:rsid w:val="00AD30DD"/>
    <w:rsid w:val="00AD34DA"/>
    <w:rsid w:val="00AD3BBC"/>
    <w:rsid w:val="00AD3CAF"/>
    <w:rsid w:val="00AD3DC6"/>
    <w:rsid w:val="00AD3EA5"/>
    <w:rsid w:val="00AD4442"/>
    <w:rsid w:val="00AD4855"/>
    <w:rsid w:val="00AD532A"/>
    <w:rsid w:val="00AD56E9"/>
    <w:rsid w:val="00AD58FB"/>
    <w:rsid w:val="00AD5BDC"/>
    <w:rsid w:val="00AD5D06"/>
    <w:rsid w:val="00AD6320"/>
    <w:rsid w:val="00AD6368"/>
    <w:rsid w:val="00AD64D5"/>
    <w:rsid w:val="00AD770E"/>
    <w:rsid w:val="00AD7C39"/>
    <w:rsid w:val="00AD7CE2"/>
    <w:rsid w:val="00AD7E4C"/>
    <w:rsid w:val="00AE0999"/>
    <w:rsid w:val="00AE09E3"/>
    <w:rsid w:val="00AE0AC2"/>
    <w:rsid w:val="00AE0DDE"/>
    <w:rsid w:val="00AE0F4F"/>
    <w:rsid w:val="00AE11C6"/>
    <w:rsid w:val="00AE123E"/>
    <w:rsid w:val="00AE128B"/>
    <w:rsid w:val="00AE166E"/>
    <w:rsid w:val="00AE177C"/>
    <w:rsid w:val="00AE18BE"/>
    <w:rsid w:val="00AE1A26"/>
    <w:rsid w:val="00AE25E4"/>
    <w:rsid w:val="00AE279C"/>
    <w:rsid w:val="00AE2955"/>
    <w:rsid w:val="00AE2DF7"/>
    <w:rsid w:val="00AE2E90"/>
    <w:rsid w:val="00AE3233"/>
    <w:rsid w:val="00AE33B9"/>
    <w:rsid w:val="00AE43DC"/>
    <w:rsid w:val="00AE48B3"/>
    <w:rsid w:val="00AE4E52"/>
    <w:rsid w:val="00AE5503"/>
    <w:rsid w:val="00AE5769"/>
    <w:rsid w:val="00AE5D36"/>
    <w:rsid w:val="00AE6DD7"/>
    <w:rsid w:val="00AE6F0F"/>
    <w:rsid w:val="00AE7510"/>
    <w:rsid w:val="00AE7C01"/>
    <w:rsid w:val="00AF0391"/>
    <w:rsid w:val="00AF09DE"/>
    <w:rsid w:val="00AF0A26"/>
    <w:rsid w:val="00AF0B1F"/>
    <w:rsid w:val="00AF0DEA"/>
    <w:rsid w:val="00AF0E48"/>
    <w:rsid w:val="00AF1B5D"/>
    <w:rsid w:val="00AF1DBB"/>
    <w:rsid w:val="00AF24AE"/>
    <w:rsid w:val="00AF2694"/>
    <w:rsid w:val="00AF2ABB"/>
    <w:rsid w:val="00AF2B19"/>
    <w:rsid w:val="00AF3185"/>
    <w:rsid w:val="00AF4029"/>
    <w:rsid w:val="00AF428F"/>
    <w:rsid w:val="00AF42C7"/>
    <w:rsid w:val="00AF4983"/>
    <w:rsid w:val="00AF4EB8"/>
    <w:rsid w:val="00AF5375"/>
    <w:rsid w:val="00AF5A51"/>
    <w:rsid w:val="00AF5C84"/>
    <w:rsid w:val="00AF5E8B"/>
    <w:rsid w:val="00AF6542"/>
    <w:rsid w:val="00AF6949"/>
    <w:rsid w:val="00AF7D8F"/>
    <w:rsid w:val="00AF7EC3"/>
    <w:rsid w:val="00B00215"/>
    <w:rsid w:val="00B005BC"/>
    <w:rsid w:val="00B006D0"/>
    <w:rsid w:val="00B00930"/>
    <w:rsid w:val="00B00C86"/>
    <w:rsid w:val="00B01251"/>
    <w:rsid w:val="00B01B40"/>
    <w:rsid w:val="00B01BF0"/>
    <w:rsid w:val="00B01F9E"/>
    <w:rsid w:val="00B021E2"/>
    <w:rsid w:val="00B02357"/>
    <w:rsid w:val="00B0286C"/>
    <w:rsid w:val="00B02884"/>
    <w:rsid w:val="00B03324"/>
    <w:rsid w:val="00B051E5"/>
    <w:rsid w:val="00B05BDE"/>
    <w:rsid w:val="00B05DE7"/>
    <w:rsid w:val="00B060EA"/>
    <w:rsid w:val="00B062F3"/>
    <w:rsid w:val="00B06406"/>
    <w:rsid w:val="00B068E2"/>
    <w:rsid w:val="00B06A44"/>
    <w:rsid w:val="00B06D2F"/>
    <w:rsid w:val="00B06D4D"/>
    <w:rsid w:val="00B06EA7"/>
    <w:rsid w:val="00B07059"/>
    <w:rsid w:val="00B0792A"/>
    <w:rsid w:val="00B07AC0"/>
    <w:rsid w:val="00B07C5C"/>
    <w:rsid w:val="00B07E31"/>
    <w:rsid w:val="00B07F4C"/>
    <w:rsid w:val="00B102A8"/>
    <w:rsid w:val="00B10A19"/>
    <w:rsid w:val="00B10B2A"/>
    <w:rsid w:val="00B11B5E"/>
    <w:rsid w:val="00B11B95"/>
    <w:rsid w:val="00B123C7"/>
    <w:rsid w:val="00B1258B"/>
    <w:rsid w:val="00B126FC"/>
    <w:rsid w:val="00B12B06"/>
    <w:rsid w:val="00B12DE2"/>
    <w:rsid w:val="00B1382E"/>
    <w:rsid w:val="00B13A7F"/>
    <w:rsid w:val="00B143F5"/>
    <w:rsid w:val="00B14B61"/>
    <w:rsid w:val="00B15127"/>
    <w:rsid w:val="00B16377"/>
    <w:rsid w:val="00B16BE1"/>
    <w:rsid w:val="00B16E72"/>
    <w:rsid w:val="00B16ED8"/>
    <w:rsid w:val="00B16F80"/>
    <w:rsid w:val="00B17374"/>
    <w:rsid w:val="00B17775"/>
    <w:rsid w:val="00B177E7"/>
    <w:rsid w:val="00B207F5"/>
    <w:rsid w:val="00B207FF"/>
    <w:rsid w:val="00B20A25"/>
    <w:rsid w:val="00B20A8A"/>
    <w:rsid w:val="00B20D3C"/>
    <w:rsid w:val="00B21141"/>
    <w:rsid w:val="00B2183C"/>
    <w:rsid w:val="00B21943"/>
    <w:rsid w:val="00B21B19"/>
    <w:rsid w:val="00B22092"/>
    <w:rsid w:val="00B22723"/>
    <w:rsid w:val="00B22F12"/>
    <w:rsid w:val="00B22FBB"/>
    <w:rsid w:val="00B23A07"/>
    <w:rsid w:val="00B23B50"/>
    <w:rsid w:val="00B24537"/>
    <w:rsid w:val="00B250EC"/>
    <w:rsid w:val="00B25127"/>
    <w:rsid w:val="00B25144"/>
    <w:rsid w:val="00B25307"/>
    <w:rsid w:val="00B255F2"/>
    <w:rsid w:val="00B25AA5"/>
    <w:rsid w:val="00B260DC"/>
    <w:rsid w:val="00B26E77"/>
    <w:rsid w:val="00B274B0"/>
    <w:rsid w:val="00B275FF"/>
    <w:rsid w:val="00B276C9"/>
    <w:rsid w:val="00B278E7"/>
    <w:rsid w:val="00B30019"/>
    <w:rsid w:val="00B30077"/>
    <w:rsid w:val="00B30C31"/>
    <w:rsid w:val="00B30D8F"/>
    <w:rsid w:val="00B31326"/>
    <w:rsid w:val="00B315B5"/>
    <w:rsid w:val="00B31B4A"/>
    <w:rsid w:val="00B325E8"/>
    <w:rsid w:val="00B327A9"/>
    <w:rsid w:val="00B32BFB"/>
    <w:rsid w:val="00B32FF0"/>
    <w:rsid w:val="00B3350E"/>
    <w:rsid w:val="00B33648"/>
    <w:rsid w:val="00B33682"/>
    <w:rsid w:val="00B338BB"/>
    <w:rsid w:val="00B33A8B"/>
    <w:rsid w:val="00B33AF1"/>
    <w:rsid w:val="00B33C6B"/>
    <w:rsid w:val="00B34551"/>
    <w:rsid w:val="00B34990"/>
    <w:rsid w:val="00B359FD"/>
    <w:rsid w:val="00B35C8F"/>
    <w:rsid w:val="00B36E15"/>
    <w:rsid w:val="00B3754A"/>
    <w:rsid w:val="00B37952"/>
    <w:rsid w:val="00B37A23"/>
    <w:rsid w:val="00B37B0D"/>
    <w:rsid w:val="00B37BE2"/>
    <w:rsid w:val="00B37D08"/>
    <w:rsid w:val="00B40BDA"/>
    <w:rsid w:val="00B40E01"/>
    <w:rsid w:val="00B41B86"/>
    <w:rsid w:val="00B41F54"/>
    <w:rsid w:val="00B42483"/>
    <w:rsid w:val="00B4255E"/>
    <w:rsid w:val="00B427AD"/>
    <w:rsid w:val="00B42BFE"/>
    <w:rsid w:val="00B42FB2"/>
    <w:rsid w:val="00B43136"/>
    <w:rsid w:val="00B438F0"/>
    <w:rsid w:val="00B43ACE"/>
    <w:rsid w:val="00B43ADA"/>
    <w:rsid w:val="00B43C29"/>
    <w:rsid w:val="00B43DED"/>
    <w:rsid w:val="00B43F2A"/>
    <w:rsid w:val="00B44776"/>
    <w:rsid w:val="00B449BC"/>
    <w:rsid w:val="00B44A83"/>
    <w:rsid w:val="00B44E77"/>
    <w:rsid w:val="00B450AB"/>
    <w:rsid w:val="00B455D8"/>
    <w:rsid w:val="00B45C6C"/>
    <w:rsid w:val="00B4663C"/>
    <w:rsid w:val="00B46A2C"/>
    <w:rsid w:val="00B46AB1"/>
    <w:rsid w:val="00B46E09"/>
    <w:rsid w:val="00B5019C"/>
    <w:rsid w:val="00B50346"/>
    <w:rsid w:val="00B50500"/>
    <w:rsid w:val="00B50D1F"/>
    <w:rsid w:val="00B50D9F"/>
    <w:rsid w:val="00B51107"/>
    <w:rsid w:val="00B516AD"/>
    <w:rsid w:val="00B516DF"/>
    <w:rsid w:val="00B5207C"/>
    <w:rsid w:val="00B521E4"/>
    <w:rsid w:val="00B522C8"/>
    <w:rsid w:val="00B52EF4"/>
    <w:rsid w:val="00B53437"/>
    <w:rsid w:val="00B53860"/>
    <w:rsid w:val="00B53BB3"/>
    <w:rsid w:val="00B53D7E"/>
    <w:rsid w:val="00B53EEF"/>
    <w:rsid w:val="00B53FAC"/>
    <w:rsid w:val="00B5512D"/>
    <w:rsid w:val="00B551E6"/>
    <w:rsid w:val="00B55268"/>
    <w:rsid w:val="00B55293"/>
    <w:rsid w:val="00B559E1"/>
    <w:rsid w:val="00B55C5F"/>
    <w:rsid w:val="00B562D7"/>
    <w:rsid w:val="00B56708"/>
    <w:rsid w:val="00B56F50"/>
    <w:rsid w:val="00B5761C"/>
    <w:rsid w:val="00B5790D"/>
    <w:rsid w:val="00B60739"/>
    <w:rsid w:val="00B60C5B"/>
    <w:rsid w:val="00B61688"/>
    <w:rsid w:val="00B618CC"/>
    <w:rsid w:val="00B61989"/>
    <w:rsid w:val="00B6230B"/>
    <w:rsid w:val="00B62535"/>
    <w:rsid w:val="00B6310C"/>
    <w:rsid w:val="00B63243"/>
    <w:rsid w:val="00B63C66"/>
    <w:rsid w:val="00B63DAE"/>
    <w:rsid w:val="00B64A58"/>
    <w:rsid w:val="00B64E2A"/>
    <w:rsid w:val="00B65165"/>
    <w:rsid w:val="00B6538B"/>
    <w:rsid w:val="00B66195"/>
    <w:rsid w:val="00B6687C"/>
    <w:rsid w:val="00B66EFD"/>
    <w:rsid w:val="00B66FD9"/>
    <w:rsid w:val="00B67A97"/>
    <w:rsid w:val="00B67DE9"/>
    <w:rsid w:val="00B70A17"/>
    <w:rsid w:val="00B71181"/>
    <w:rsid w:val="00B7125A"/>
    <w:rsid w:val="00B719C1"/>
    <w:rsid w:val="00B72109"/>
    <w:rsid w:val="00B72135"/>
    <w:rsid w:val="00B72695"/>
    <w:rsid w:val="00B72AD6"/>
    <w:rsid w:val="00B72CFF"/>
    <w:rsid w:val="00B72DCB"/>
    <w:rsid w:val="00B72E38"/>
    <w:rsid w:val="00B73461"/>
    <w:rsid w:val="00B73D0E"/>
    <w:rsid w:val="00B73DE9"/>
    <w:rsid w:val="00B74197"/>
    <w:rsid w:val="00B7441D"/>
    <w:rsid w:val="00B745C1"/>
    <w:rsid w:val="00B746E3"/>
    <w:rsid w:val="00B74A2A"/>
    <w:rsid w:val="00B74C23"/>
    <w:rsid w:val="00B74D91"/>
    <w:rsid w:val="00B75656"/>
    <w:rsid w:val="00B766F0"/>
    <w:rsid w:val="00B76A2A"/>
    <w:rsid w:val="00B76CC5"/>
    <w:rsid w:val="00B77055"/>
    <w:rsid w:val="00B772D0"/>
    <w:rsid w:val="00B774AB"/>
    <w:rsid w:val="00B77A8E"/>
    <w:rsid w:val="00B77B4D"/>
    <w:rsid w:val="00B77C90"/>
    <w:rsid w:val="00B77CCB"/>
    <w:rsid w:val="00B77E7C"/>
    <w:rsid w:val="00B77FC4"/>
    <w:rsid w:val="00B80377"/>
    <w:rsid w:val="00B80646"/>
    <w:rsid w:val="00B813F0"/>
    <w:rsid w:val="00B814B0"/>
    <w:rsid w:val="00B81BCF"/>
    <w:rsid w:val="00B821A8"/>
    <w:rsid w:val="00B8249B"/>
    <w:rsid w:val="00B82DD7"/>
    <w:rsid w:val="00B83B60"/>
    <w:rsid w:val="00B842CB"/>
    <w:rsid w:val="00B84479"/>
    <w:rsid w:val="00B8471C"/>
    <w:rsid w:val="00B8495A"/>
    <w:rsid w:val="00B852D4"/>
    <w:rsid w:val="00B852DE"/>
    <w:rsid w:val="00B85595"/>
    <w:rsid w:val="00B857CA"/>
    <w:rsid w:val="00B85F15"/>
    <w:rsid w:val="00B86420"/>
    <w:rsid w:val="00B86BBE"/>
    <w:rsid w:val="00B86C86"/>
    <w:rsid w:val="00B86D4D"/>
    <w:rsid w:val="00B86FFD"/>
    <w:rsid w:val="00B87A40"/>
    <w:rsid w:val="00B87A6D"/>
    <w:rsid w:val="00B90047"/>
    <w:rsid w:val="00B907A8"/>
    <w:rsid w:val="00B90A41"/>
    <w:rsid w:val="00B914FE"/>
    <w:rsid w:val="00B91E11"/>
    <w:rsid w:val="00B92655"/>
    <w:rsid w:val="00B92815"/>
    <w:rsid w:val="00B92B0D"/>
    <w:rsid w:val="00B92D4E"/>
    <w:rsid w:val="00B93215"/>
    <w:rsid w:val="00B936D0"/>
    <w:rsid w:val="00B94636"/>
    <w:rsid w:val="00B94880"/>
    <w:rsid w:val="00B94B20"/>
    <w:rsid w:val="00B94C54"/>
    <w:rsid w:val="00B94CB2"/>
    <w:rsid w:val="00B95779"/>
    <w:rsid w:val="00B95A79"/>
    <w:rsid w:val="00B96156"/>
    <w:rsid w:val="00B96327"/>
    <w:rsid w:val="00B9657B"/>
    <w:rsid w:val="00B96670"/>
    <w:rsid w:val="00B968E0"/>
    <w:rsid w:val="00B96AAE"/>
    <w:rsid w:val="00B96CE7"/>
    <w:rsid w:val="00B96D77"/>
    <w:rsid w:val="00B97043"/>
    <w:rsid w:val="00B97AB2"/>
    <w:rsid w:val="00B97C9E"/>
    <w:rsid w:val="00B97CB8"/>
    <w:rsid w:val="00BA04A8"/>
    <w:rsid w:val="00BA066B"/>
    <w:rsid w:val="00BA097D"/>
    <w:rsid w:val="00BA0C4F"/>
    <w:rsid w:val="00BA0DA7"/>
    <w:rsid w:val="00BA0F06"/>
    <w:rsid w:val="00BA1073"/>
    <w:rsid w:val="00BA1107"/>
    <w:rsid w:val="00BA2116"/>
    <w:rsid w:val="00BA23A3"/>
    <w:rsid w:val="00BA23BD"/>
    <w:rsid w:val="00BA2875"/>
    <w:rsid w:val="00BA2D50"/>
    <w:rsid w:val="00BA2F55"/>
    <w:rsid w:val="00BA320F"/>
    <w:rsid w:val="00BA3DBF"/>
    <w:rsid w:val="00BA3E35"/>
    <w:rsid w:val="00BA4503"/>
    <w:rsid w:val="00BA499D"/>
    <w:rsid w:val="00BA5248"/>
    <w:rsid w:val="00BA57CC"/>
    <w:rsid w:val="00BA5BC1"/>
    <w:rsid w:val="00BA5C4F"/>
    <w:rsid w:val="00BA5DEB"/>
    <w:rsid w:val="00BA6150"/>
    <w:rsid w:val="00BA7507"/>
    <w:rsid w:val="00BA7517"/>
    <w:rsid w:val="00BA768D"/>
    <w:rsid w:val="00BA79D7"/>
    <w:rsid w:val="00BA79E1"/>
    <w:rsid w:val="00BA7A9B"/>
    <w:rsid w:val="00BB0F47"/>
    <w:rsid w:val="00BB114B"/>
    <w:rsid w:val="00BB1C89"/>
    <w:rsid w:val="00BB1CBC"/>
    <w:rsid w:val="00BB231E"/>
    <w:rsid w:val="00BB2C69"/>
    <w:rsid w:val="00BB3183"/>
    <w:rsid w:val="00BB3614"/>
    <w:rsid w:val="00BB3634"/>
    <w:rsid w:val="00BB3BB0"/>
    <w:rsid w:val="00BB3F3C"/>
    <w:rsid w:val="00BB3F53"/>
    <w:rsid w:val="00BB4594"/>
    <w:rsid w:val="00BB470B"/>
    <w:rsid w:val="00BB5303"/>
    <w:rsid w:val="00BB53BE"/>
    <w:rsid w:val="00BB550C"/>
    <w:rsid w:val="00BB5CD2"/>
    <w:rsid w:val="00BB5D27"/>
    <w:rsid w:val="00BB6583"/>
    <w:rsid w:val="00BB7106"/>
    <w:rsid w:val="00BB75AA"/>
    <w:rsid w:val="00BB7C87"/>
    <w:rsid w:val="00BC0035"/>
    <w:rsid w:val="00BC087B"/>
    <w:rsid w:val="00BC0A2B"/>
    <w:rsid w:val="00BC0B35"/>
    <w:rsid w:val="00BC0BC4"/>
    <w:rsid w:val="00BC0CFE"/>
    <w:rsid w:val="00BC1163"/>
    <w:rsid w:val="00BC1889"/>
    <w:rsid w:val="00BC18F3"/>
    <w:rsid w:val="00BC1B5D"/>
    <w:rsid w:val="00BC2311"/>
    <w:rsid w:val="00BC26D8"/>
    <w:rsid w:val="00BC27A5"/>
    <w:rsid w:val="00BC2AEB"/>
    <w:rsid w:val="00BC2D4B"/>
    <w:rsid w:val="00BC3205"/>
    <w:rsid w:val="00BC3F8D"/>
    <w:rsid w:val="00BC4938"/>
    <w:rsid w:val="00BC4B6B"/>
    <w:rsid w:val="00BC4C32"/>
    <w:rsid w:val="00BC4DC2"/>
    <w:rsid w:val="00BC523A"/>
    <w:rsid w:val="00BC592C"/>
    <w:rsid w:val="00BC5943"/>
    <w:rsid w:val="00BC5C15"/>
    <w:rsid w:val="00BC624D"/>
    <w:rsid w:val="00BC6283"/>
    <w:rsid w:val="00BC646F"/>
    <w:rsid w:val="00BC6632"/>
    <w:rsid w:val="00BC6B21"/>
    <w:rsid w:val="00BC6FF1"/>
    <w:rsid w:val="00BC7981"/>
    <w:rsid w:val="00BC7BF9"/>
    <w:rsid w:val="00BD01A9"/>
    <w:rsid w:val="00BD0311"/>
    <w:rsid w:val="00BD044F"/>
    <w:rsid w:val="00BD04EE"/>
    <w:rsid w:val="00BD0B72"/>
    <w:rsid w:val="00BD0BB9"/>
    <w:rsid w:val="00BD0D81"/>
    <w:rsid w:val="00BD117D"/>
    <w:rsid w:val="00BD11D9"/>
    <w:rsid w:val="00BD17BE"/>
    <w:rsid w:val="00BD183F"/>
    <w:rsid w:val="00BD1D67"/>
    <w:rsid w:val="00BD1DA9"/>
    <w:rsid w:val="00BD2137"/>
    <w:rsid w:val="00BD21D6"/>
    <w:rsid w:val="00BD2544"/>
    <w:rsid w:val="00BD2812"/>
    <w:rsid w:val="00BD295D"/>
    <w:rsid w:val="00BD2AF5"/>
    <w:rsid w:val="00BD2F22"/>
    <w:rsid w:val="00BD32F5"/>
    <w:rsid w:val="00BD3BC6"/>
    <w:rsid w:val="00BD416C"/>
    <w:rsid w:val="00BD4DDA"/>
    <w:rsid w:val="00BD4DE3"/>
    <w:rsid w:val="00BD5332"/>
    <w:rsid w:val="00BD5647"/>
    <w:rsid w:val="00BD5778"/>
    <w:rsid w:val="00BD595C"/>
    <w:rsid w:val="00BD5F3A"/>
    <w:rsid w:val="00BD69B6"/>
    <w:rsid w:val="00BD6B02"/>
    <w:rsid w:val="00BD6E91"/>
    <w:rsid w:val="00BD7384"/>
    <w:rsid w:val="00BD7599"/>
    <w:rsid w:val="00BE053B"/>
    <w:rsid w:val="00BE07AF"/>
    <w:rsid w:val="00BE07CF"/>
    <w:rsid w:val="00BE07F5"/>
    <w:rsid w:val="00BE08FA"/>
    <w:rsid w:val="00BE107E"/>
    <w:rsid w:val="00BE13A4"/>
    <w:rsid w:val="00BE21BD"/>
    <w:rsid w:val="00BE2475"/>
    <w:rsid w:val="00BE3800"/>
    <w:rsid w:val="00BE3ECB"/>
    <w:rsid w:val="00BE4384"/>
    <w:rsid w:val="00BE49F7"/>
    <w:rsid w:val="00BE4AD0"/>
    <w:rsid w:val="00BE514B"/>
    <w:rsid w:val="00BE5A8D"/>
    <w:rsid w:val="00BE5EED"/>
    <w:rsid w:val="00BE66B4"/>
    <w:rsid w:val="00BE697C"/>
    <w:rsid w:val="00BE6B94"/>
    <w:rsid w:val="00BE761F"/>
    <w:rsid w:val="00BE798D"/>
    <w:rsid w:val="00BE7FC6"/>
    <w:rsid w:val="00BF0245"/>
    <w:rsid w:val="00BF029D"/>
    <w:rsid w:val="00BF0410"/>
    <w:rsid w:val="00BF0598"/>
    <w:rsid w:val="00BF082C"/>
    <w:rsid w:val="00BF0D98"/>
    <w:rsid w:val="00BF116B"/>
    <w:rsid w:val="00BF15BE"/>
    <w:rsid w:val="00BF1BCA"/>
    <w:rsid w:val="00BF1FA8"/>
    <w:rsid w:val="00BF203E"/>
    <w:rsid w:val="00BF20FF"/>
    <w:rsid w:val="00BF28FA"/>
    <w:rsid w:val="00BF2A09"/>
    <w:rsid w:val="00BF2E4E"/>
    <w:rsid w:val="00BF3FC1"/>
    <w:rsid w:val="00BF429F"/>
    <w:rsid w:val="00BF4FB9"/>
    <w:rsid w:val="00BF6B49"/>
    <w:rsid w:val="00BF6F4F"/>
    <w:rsid w:val="00BF7670"/>
    <w:rsid w:val="00BF7907"/>
    <w:rsid w:val="00BF7924"/>
    <w:rsid w:val="00BF7E60"/>
    <w:rsid w:val="00BF7F70"/>
    <w:rsid w:val="00C00010"/>
    <w:rsid w:val="00C00335"/>
    <w:rsid w:val="00C005E0"/>
    <w:rsid w:val="00C007C9"/>
    <w:rsid w:val="00C01743"/>
    <w:rsid w:val="00C026DA"/>
    <w:rsid w:val="00C02C9F"/>
    <w:rsid w:val="00C033FB"/>
    <w:rsid w:val="00C0369D"/>
    <w:rsid w:val="00C03A85"/>
    <w:rsid w:val="00C03E06"/>
    <w:rsid w:val="00C040F0"/>
    <w:rsid w:val="00C044B3"/>
    <w:rsid w:val="00C04F19"/>
    <w:rsid w:val="00C05759"/>
    <w:rsid w:val="00C059A6"/>
    <w:rsid w:val="00C06172"/>
    <w:rsid w:val="00C0679B"/>
    <w:rsid w:val="00C06925"/>
    <w:rsid w:val="00C069D6"/>
    <w:rsid w:val="00C06ADA"/>
    <w:rsid w:val="00C07A65"/>
    <w:rsid w:val="00C07CE0"/>
    <w:rsid w:val="00C07D32"/>
    <w:rsid w:val="00C07FB3"/>
    <w:rsid w:val="00C10394"/>
    <w:rsid w:val="00C107B4"/>
    <w:rsid w:val="00C10938"/>
    <w:rsid w:val="00C10996"/>
    <w:rsid w:val="00C10B68"/>
    <w:rsid w:val="00C10EEB"/>
    <w:rsid w:val="00C11265"/>
    <w:rsid w:val="00C112D5"/>
    <w:rsid w:val="00C11513"/>
    <w:rsid w:val="00C11797"/>
    <w:rsid w:val="00C11CA7"/>
    <w:rsid w:val="00C11F77"/>
    <w:rsid w:val="00C11F91"/>
    <w:rsid w:val="00C12EB5"/>
    <w:rsid w:val="00C1331F"/>
    <w:rsid w:val="00C13ABD"/>
    <w:rsid w:val="00C14124"/>
    <w:rsid w:val="00C1447D"/>
    <w:rsid w:val="00C15575"/>
    <w:rsid w:val="00C15E01"/>
    <w:rsid w:val="00C16289"/>
    <w:rsid w:val="00C16371"/>
    <w:rsid w:val="00C1658B"/>
    <w:rsid w:val="00C1664E"/>
    <w:rsid w:val="00C16950"/>
    <w:rsid w:val="00C1783B"/>
    <w:rsid w:val="00C17940"/>
    <w:rsid w:val="00C17A38"/>
    <w:rsid w:val="00C17AAA"/>
    <w:rsid w:val="00C17D2F"/>
    <w:rsid w:val="00C206BB"/>
    <w:rsid w:val="00C20943"/>
    <w:rsid w:val="00C20C6C"/>
    <w:rsid w:val="00C21748"/>
    <w:rsid w:val="00C21DD8"/>
    <w:rsid w:val="00C21E1C"/>
    <w:rsid w:val="00C22204"/>
    <w:rsid w:val="00C222CA"/>
    <w:rsid w:val="00C229EE"/>
    <w:rsid w:val="00C22B74"/>
    <w:rsid w:val="00C22D02"/>
    <w:rsid w:val="00C23322"/>
    <w:rsid w:val="00C23A2B"/>
    <w:rsid w:val="00C24136"/>
    <w:rsid w:val="00C246BF"/>
    <w:rsid w:val="00C247CB"/>
    <w:rsid w:val="00C24AB3"/>
    <w:rsid w:val="00C24D84"/>
    <w:rsid w:val="00C24F72"/>
    <w:rsid w:val="00C253E5"/>
    <w:rsid w:val="00C25B54"/>
    <w:rsid w:val="00C26C11"/>
    <w:rsid w:val="00C26DEA"/>
    <w:rsid w:val="00C26EA4"/>
    <w:rsid w:val="00C2724E"/>
    <w:rsid w:val="00C27C72"/>
    <w:rsid w:val="00C27D44"/>
    <w:rsid w:val="00C30157"/>
    <w:rsid w:val="00C30C63"/>
    <w:rsid w:val="00C31828"/>
    <w:rsid w:val="00C31BFA"/>
    <w:rsid w:val="00C3247F"/>
    <w:rsid w:val="00C324FB"/>
    <w:rsid w:val="00C32F11"/>
    <w:rsid w:val="00C32FA3"/>
    <w:rsid w:val="00C330C6"/>
    <w:rsid w:val="00C33713"/>
    <w:rsid w:val="00C346FC"/>
    <w:rsid w:val="00C34BB7"/>
    <w:rsid w:val="00C354E4"/>
    <w:rsid w:val="00C359AD"/>
    <w:rsid w:val="00C35F55"/>
    <w:rsid w:val="00C362D1"/>
    <w:rsid w:val="00C36356"/>
    <w:rsid w:val="00C36BB1"/>
    <w:rsid w:val="00C36C9C"/>
    <w:rsid w:val="00C37388"/>
    <w:rsid w:val="00C373F1"/>
    <w:rsid w:val="00C376E4"/>
    <w:rsid w:val="00C37A2E"/>
    <w:rsid w:val="00C40085"/>
    <w:rsid w:val="00C400B4"/>
    <w:rsid w:val="00C407A9"/>
    <w:rsid w:val="00C407FC"/>
    <w:rsid w:val="00C4084D"/>
    <w:rsid w:val="00C40B8B"/>
    <w:rsid w:val="00C41814"/>
    <w:rsid w:val="00C41A04"/>
    <w:rsid w:val="00C420AD"/>
    <w:rsid w:val="00C42213"/>
    <w:rsid w:val="00C42C61"/>
    <w:rsid w:val="00C43086"/>
    <w:rsid w:val="00C43539"/>
    <w:rsid w:val="00C43905"/>
    <w:rsid w:val="00C43AA3"/>
    <w:rsid w:val="00C43AB7"/>
    <w:rsid w:val="00C43C89"/>
    <w:rsid w:val="00C43CF0"/>
    <w:rsid w:val="00C43D8D"/>
    <w:rsid w:val="00C44CB3"/>
    <w:rsid w:val="00C44F50"/>
    <w:rsid w:val="00C453DE"/>
    <w:rsid w:val="00C4598A"/>
    <w:rsid w:val="00C45B7B"/>
    <w:rsid w:val="00C45E9B"/>
    <w:rsid w:val="00C45F46"/>
    <w:rsid w:val="00C460FF"/>
    <w:rsid w:val="00C4650B"/>
    <w:rsid w:val="00C46583"/>
    <w:rsid w:val="00C46967"/>
    <w:rsid w:val="00C5017E"/>
    <w:rsid w:val="00C501C3"/>
    <w:rsid w:val="00C501EB"/>
    <w:rsid w:val="00C50242"/>
    <w:rsid w:val="00C503E9"/>
    <w:rsid w:val="00C5104C"/>
    <w:rsid w:val="00C51145"/>
    <w:rsid w:val="00C51198"/>
    <w:rsid w:val="00C515DF"/>
    <w:rsid w:val="00C51C05"/>
    <w:rsid w:val="00C51C1A"/>
    <w:rsid w:val="00C5255D"/>
    <w:rsid w:val="00C52BCA"/>
    <w:rsid w:val="00C52DED"/>
    <w:rsid w:val="00C53A12"/>
    <w:rsid w:val="00C54068"/>
    <w:rsid w:val="00C542B0"/>
    <w:rsid w:val="00C5430D"/>
    <w:rsid w:val="00C54937"/>
    <w:rsid w:val="00C54EC2"/>
    <w:rsid w:val="00C54FF5"/>
    <w:rsid w:val="00C55270"/>
    <w:rsid w:val="00C55366"/>
    <w:rsid w:val="00C5565B"/>
    <w:rsid w:val="00C55686"/>
    <w:rsid w:val="00C55ECE"/>
    <w:rsid w:val="00C56118"/>
    <w:rsid w:val="00C566A4"/>
    <w:rsid w:val="00C56A57"/>
    <w:rsid w:val="00C56E2B"/>
    <w:rsid w:val="00C56EFB"/>
    <w:rsid w:val="00C57269"/>
    <w:rsid w:val="00C5770D"/>
    <w:rsid w:val="00C57C5F"/>
    <w:rsid w:val="00C60610"/>
    <w:rsid w:val="00C60CFB"/>
    <w:rsid w:val="00C60D2E"/>
    <w:rsid w:val="00C618A2"/>
    <w:rsid w:val="00C621C9"/>
    <w:rsid w:val="00C62578"/>
    <w:rsid w:val="00C6297D"/>
    <w:rsid w:val="00C62BC6"/>
    <w:rsid w:val="00C62D2D"/>
    <w:rsid w:val="00C62E1A"/>
    <w:rsid w:val="00C632C1"/>
    <w:rsid w:val="00C63764"/>
    <w:rsid w:val="00C63F03"/>
    <w:rsid w:val="00C640B7"/>
    <w:rsid w:val="00C6437A"/>
    <w:rsid w:val="00C64599"/>
    <w:rsid w:val="00C648FA"/>
    <w:rsid w:val="00C64905"/>
    <w:rsid w:val="00C64FE3"/>
    <w:rsid w:val="00C65D65"/>
    <w:rsid w:val="00C65F99"/>
    <w:rsid w:val="00C66246"/>
    <w:rsid w:val="00C66D21"/>
    <w:rsid w:val="00C66E62"/>
    <w:rsid w:val="00C6738F"/>
    <w:rsid w:val="00C674BA"/>
    <w:rsid w:val="00C67D83"/>
    <w:rsid w:val="00C700C9"/>
    <w:rsid w:val="00C70237"/>
    <w:rsid w:val="00C70941"/>
    <w:rsid w:val="00C70ABE"/>
    <w:rsid w:val="00C70AD7"/>
    <w:rsid w:val="00C70C46"/>
    <w:rsid w:val="00C71774"/>
    <w:rsid w:val="00C71CA9"/>
    <w:rsid w:val="00C71E59"/>
    <w:rsid w:val="00C7211D"/>
    <w:rsid w:val="00C72404"/>
    <w:rsid w:val="00C72433"/>
    <w:rsid w:val="00C72666"/>
    <w:rsid w:val="00C7282F"/>
    <w:rsid w:val="00C7292D"/>
    <w:rsid w:val="00C72DF3"/>
    <w:rsid w:val="00C73169"/>
    <w:rsid w:val="00C7338B"/>
    <w:rsid w:val="00C733D0"/>
    <w:rsid w:val="00C73960"/>
    <w:rsid w:val="00C73C2F"/>
    <w:rsid w:val="00C74835"/>
    <w:rsid w:val="00C74846"/>
    <w:rsid w:val="00C74F08"/>
    <w:rsid w:val="00C74F2D"/>
    <w:rsid w:val="00C74FFE"/>
    <w:rsid w:val="00C75028"/>
    <w:rsid w:val="00C75193"/>
    <w:rsid w:val="00C7537A"/>
    <w:rsid w:val="00C75AC0"/>
    <w:rsid w:val="00C75E97"/>
    <w:rsid w:val="00C7683D"/>
    <w:rsid w:val="00C76899"/>
    <w:rsid w:val="00C769D8"/>
    <w:rsid w:val="00C76CF7"/>
    <w:rsid w:val="00C770E9"/>
    <w:rsid w:val="00C77CDC"/>
    <w:rsid w:val="00C77D50"/>
    <w:rsid w:val="00C77FBD"/>
    <w:rsid w:val="00C80278"/>
    <w:rsid w:val="00C8027E"/>
    <w:rsid w:val="00C804D7"/>
    <w:rsid w:val="00C80ECC"/>
    <w:rsid w:val="00C8137C"/>
    <w:rsid w:val="00C81AF8"/>
    <w:rsid w:val="00C81EFF"/>
    <w:rsid w:val="00C81F53"/>
    <w:rsid w:val="00C822EB"/>
    <w:rsid w:val="00C823AB"/>
    <w:rsid w:val="00C82E9A"/>
    <w:rsid w:val="00C8313B"/>
    <w:rsid w:val="00C832CE"/>
    <w:rsid w:val="00C83443"/>
    <w:rsid w:val="00C83892"/>
    <w:rsid w:val="00C8391D"/>
    <w:rsid w:val="00C83BE2"/>
    <w:rsid w:val="00C83FCF"/>
    <w:rsid w:val="00C84644"/>
    <w:rsid w:val="00C847E4"/>
    <w:rsid w:val="00C84B3D"/>
    <w:rsid w:val="00C84CE6"/>
    <w:rsid w:val="00C857BC"/>
    <w:rsid w:val="00C85CE1"/>
    <w:rsid w:val="00C85D44"/>
    <w:rsid w:val="00C85F23"/>
    <w:rsid w:val="00C86537"/>
    <w:rsid w:val="00C86586"/>
    <w:rsid w:val="00C8681B"/>
    <w:rsid w:val="00C86D4C"/>
    <w:rsid w:val="00C86DC5"/>
    <w:rsid w:val="00C8723F"/>
    <w:rsid w:val="00C87724"/>
    <w:rsid w:val="00C87B27"/>
    <w:rsid w:val="00C9047D"/>
    <w:rsid w:val="00C9068C"/>
    <w:rsid w:val="00C90906"/>
    <w:rsid w:val="00C9115C"/>
    <w:rsid w:val="00C9119A"/>
    <w:rsid w:val="00C911E1"/>
    <w:rsid w:val="00C916A3"/>
    <w:rsid w:val="00C91B4F"/>
    <w:rsid w:val="00C920C1"/>
    <w:rsid w:val="00C923FE"/>
    <w:rsid w:val="00C9248B"/>
    <w:rsid w:val="00C92A7F"/>
    <w:rsid w:val="00C92BFE"/>
    <w:rsid w:val="00C9342E"/>
    <w:rsid w:val="00C93669"/>
    <w:rsid w:val="00C93AA5"/>
    <w:rsid w:val="00C93CDF"/>
    <w:rsid w:val="00C93DAF"/>
    <w:rsid w:val="00C93E0D"/>
    <w:rsid w:val="00C94019"/>
    <w:rsid w:val="00C940E3"/>
    <w:rsid w:val="00C94914"/>
    <w:rsid w:val="00C94D40"/>
    <w:rsid w:val="00C956D8"/>
    <w:rsid w:val="00C958F8"/>
    <w:rsid w:val="00C95E92"/>
    <w:rsid w:val="00C962A9"/>
    <w:rsid w:val="00C96531"/>
    <w:rsid w:val="00C96AA8"/>
    <w:rsid w:val="00C96C90"/>
    <w:rsid w:val="00C96E66"/>
    <w:rsid w:val="00C970F2"/>
    <w:rsid w:val="00C97914"/>
    <w:rsid w:val="00C97DE5"/>
    <w:rsid w:val="00CA0670"/>
    <w:rsid w:val="00CA0738"/>
    <w:rsid w:val="00CA0A8A"/>
    <w:rsid w:val="00CA110F"/>
    <w:rsid w:val="00CA1566"/>
    <w:rsid w:val="00CA1735"/>
    <w:rsid w:val="00CA1C4D"/>
    <w:rsid w:val="00CA2108"/>
    <w:rsid w:val="00CA27AB"/>
    <w:rsid w:val="00CA27DF"/>
    <w:rsid w:val="00CA29DC"/>
    <w:rsid w:val="00CA2E88"/>
    <w:rsid w:val="00CA419D"/>
    <w:rsid w:val="00CA44E5"/>
    <w:rsid w:val="00CA5738"/>
    <w:rsid w:val="00CA576C"/>
    <w:rsid w:val="00CA5ED1"/>
    <w:rsid w:val="00CA5FC3"/>
    <w:rsid w:val="00CA6640"/>
    <w:rsid w:val="00CA6669"/>
    <w:rsid w:val="00CA6A1F"/>
    <w:rsid w:val="00CA6DEC"/>
    <w:rsid w:val="00CA70E9"/>
    <w:rsid w:val="00CA755F"/>
    <w:rsid w:val="00CA759E"/>
    <w:rsid w:val="00CA7750"/>
    <w:rsid w:val="00CA77A6"/>
    <w:rsid w:val="00CA7DA0"/>
    <w:rsid w:val="00CB0369"/>
    <w:rsid w:val="00CB0425"/>
    <w:rsid w:val="00CB0C01"/>
    <w:rsid w:val="00CB1754"/>
    <w:rsid w:val="00CB1BC8"/>
    <w:rsid w:val="00CB2454"/>
    <w:rsid w:val="00CB2815"/>
    <w:rsid w:val="00CB296B"/>
    <w:rsid w:val="00CB29CC"/>
    <w:rsid w:val="00CB2ABC"/>
    <w:rsid w:val="00CB2FE0"/>
    <w:rsid w:val="00CB3428"/>
    <w:rsid w:val="00CB3572"/>
    <w:rsid w:val="00CB393C"/>
    <w:rsid w:val="00CB3C1D"/>
    <w:rsid w:val="00CB3C46"/>
    <w:rsid w:val="00CB3D49"/>
    <w:rsid w:val="00CB3D69"/>
    <w:rsid w:val="00CB40BF"/>
    <w:rsid w:val="00CB4308"/>
    <w:rsid w:val="00CB50AD"/>
    <w:rsid w:val="00CB52DF"/>
    <w:rsid w:val="00CB531E"/>
    <w:rsid w:val="00CB549B"/>
    <w:rsid w:val="00CB57A5"/>
    <w:rsid w:val="00CB5865"/>
    <w:rsid w:val="00CB5A62"/>
    <w:rsid w:val="00CB6099"/>
    <w:rsid w:val="00CB615D"/>
    <w:rsid w:val="00CB6517"/>
    <w:rsid w:val="00CB6823"/>
    <w:rsid w:val="00CB79F3"/>
    <w:rsid w:val="00CB7AD7"/>
    <w:rsid w:val="00CC01D8"/>
    <w:rsid w:val="00CC022D"/>
    <w:rsid w:val="00CC0A3F"/>
    <w:rsid w:val="00CC0A66"/>
    <w:rsid w:val="00CC0B19"/>
    <w:rsid w:val="00CC0D33"/>
    <w:rsid w:val="00CC1080"/>
    <w:rsid w:val="00CC1150"/>
    <w:rsid w:val="00CC1699"/>
    <w:rsid w:val="00CC1974"/>
    <w:rsid w:val="00CC1AC0"/>
    <w:rsid w:val="00CC21BC"/>
    <w:rsid w:val="00CC23F0"/>
    <w:rsid w:val="00CC32F3"/>
    <w:rsid w:val="00CC3303"/>
    <w:rsid w:val="00CC3B38"/>
    <w:rsid w:val="00CC46D8"/>
    <w:rsid w:val="00CC575C"/>
    <w:rsid w:val="00CC5A96"/>
    <w:rsid w:val="00CC5DCD"/>
    <w:rsid w:val="00CC5F9A"/>
    <w:rsid w:val="00CC6007"/>
    <w:rsid w:val="00CC6BB7"/>
    <w:rsid w:val="00CC6ED8"/>
    <w:rsid w:val="00CC716F"/>
    <w:rsid w:val="00CC7505"/>
    <w:rsid w:val="00CC78F4"/>
    <w:rsid w:val="00CC79A2"/>
    <w:rsid w:val="00CC7B3B"/>
    <w:rsid w:val="00CC7BE6"/>
    <w:rsid w:val="00CD02D7"/>
    <w:rsid w:val="00CD08E5"/>
    <w:rsid w:val="00CD0B3C"/>
    <w:rsid w:val="00CD0B62"/>
    <w:rsid w:val="00CD0D0C"/>
    <w:rsid w:val="00CD12F9"/>
    <w:rsid w:val="00CD1576"/>
    <w:rsid w:val="00CD167A"/>
    <w:rsid w:val="00CD1B26"/>
    <w:rsid w:val="00CD1C19"/>
    <w:rsid w:val="00CD21D0"/>
    <w:rsid w:val="00CD236A"/>
    <w:rsid w:val="00CD3176"/>
    <w:rsid w:val="00CD35C6"/>
    <w:rsid w:val="00CD380B"/>
    <w:rsid w:val="00CD3856"/>
    <w:rsid w:val="00CD3A0D"/>
    <w:rsid w:val="00CD4339"/>
    <w:rsid w:val="00CD4A4D"/>
    <w:rsid w:val="00CD4F50"/>
    <w:rsid w:val="00CD527A"/>
    <w:rsid w:val="00CD5C47"/>
    <w:rsid w:val="00CD5F86"/>
    <w:rsid w:val="00CD6136"/>
    <w:rsid w:val="00CD65C8"/>
    <w:rsid w:val="00CD6B79"/>
    <w:rsid w:val="00CD730E"/>
    <w:rsid w:val="00CD78CA"/>
    <w:rsid w:val="00CD7BE0"/>
    <w:rsid w:val="00CE00FE"/>
    <w:rsid w:val="00CE0439"/>
    <w:rsid w:val="00CE060D"/>
    <w:rsid w:val="00CE0814"/>
    <w:rsid w:val="00CE0DE5"/>
    <w:rsid w:val="00CE0EC8"/>
    <w:rsid w:val="00CE118E"/>
    <w:rsid w:val="00CE11BE"/>
    <w:rsid w:val="00CE12A7"/>
    <w:rsid w:val="00CE216E"/>
    <w:rsid w:val="00CE2C77"/>
    <w:rsid w:val="00CE351D"/>
    <w:rsid w:val="00CE3991"/>
    <w:rsid w:val="00CE3A3F"/>
    <w:rsid w:val="00CE3D7D"/>
    <w:rsid w:val="00CE41AE"/>
    <w:rsid w:val="00CE4449"/>
    <w:rsid w:val="00CE51E6"/>
    <w:rsid w:val="00CE55CF"/>
    <w:rsid w:val="00CE5BD5"/>
    <w:rsid w:val="00CE5C0C"/>
    <w:rsid w:val="00CE6160"/>
    <w:rsid w:val="00CE626D"/>
    <w:rsid w:val="00CE64A3"/>
    <w:rsid w:val="00CE67A8"/>
    <w:rsid w:val="00CE709C"/>
    <w:rsid w:val="00CE7ABE"/>
    <w:rsid w:val="00CE7F2F"/>
    <w:rsid w:val="00CF03C4"/>
    <w:rsid w:val="00CF0642"/>
    <w:rsid w:val="00CF0971"/>
    <w:rsid w:val="00CF0F32"/>
    <w:rsid w:val="00CF10D4"/>
    <w:rsid w:val="00CF113D"/>
    <w:rsid w:val="00CF1522"/>
    <w:rsid w:val="00CF16E0"/>
    <w:rsid w:val="00CF19B9"/>
    <w:rsid w:val="00CF26D5"/>
    <w:rsid w:val="00CF27FE"/>
    <w:rsid w:val="00CF2E3D"/>
    <w:rsid w:val="00CF35BB"/>
    <w:rsid w:val="00CF411D"/>
    <w:rsid w:val="00CF4232"/>
    <w:rsid w:val="00CF4727"/>
    <w:rsid w:val="00CF4ECF"/>
    <w:rsid w:val="00CF510F"/>
    <w:rsid w:val="00CF5AE5"/>
    <w:rsid w:val="00CF5DF3"/>
    <w:rsid w:val="00CF6553"/>
    <w:rsid w:val="00CF67BB"/>
    <w:rsid w:val="00CF6880"/>
    <w:rsid w:val="00CF6B62"/>
    <w:rsid w:val="00CF6C8F"/>
    <w:rsid w:val="00CF6D54"/>
    <w:rsid w:val="00CF7175"/>
    <w:rsid w:val="00D0005B"/>
    <w:rsid w:val="00D00103"/>
    <w:rsid w:val="00D006B4"/>
    <w:rsid w:val="00D00C1A"/>
    <w:rsid w:val="00D00E05"/>
    <w:rsid w:val="00D00E65"/>
    <w:rsid w:val="00D01AAA"/>
    <w:rsid w:val="00D0220A"/>
    <w:rsid w:val="00D0227B"/>
    <w:rsid w:val="00D02844"/>
    <w:rsid w:val="00D02866"/>
    <w:rsid w:val="00D0286C"/>
    <w:rsid w:val="00D02E98"/>
    <w:rsid w:val="00D037BD"/>
    <w:rsid w:val="00D046AC"/>
    <w:rsid w:val="00D048E9"/>
    <w:rsid w:val="00D04E3E"/>
    <w:rsid w:val="00D05318"/>
    <w:rsid w:val="00D05C8E"/>
    <w:rsid w:val="00D05CFA"/>
    <w:rsid w:val="00D05DE7"/>
    <w:rsid w:val="00D06120"/>
    <w:rsid w:val="00D063AD"/>
    <w:rsid w:val="00D06D4C"/>
    <w:rsid w:val="00D06E00"/>
    <w:rsid w:val="00D06EB8"/>
    <w:rsid w:val="00D07064"/>
    <w:rsid w:val="00D0707F"/>
    <w:rsid w:val="00D07A1C"/>
    <w:rsid w:val="00D10AAB"/>
    <w:rsid w:val="00D11222"/>
    <w:rsid w:val="00D1131E"/>
    <w:rsid w:val="00D1164E"/>
    <w:rsid w:val="00D11A2D"/>
    <w:rsid w:val="00D11A73"/>
    <w:rsid w:val="00D12061"/>
    <w:rsid w:val="00D12E47"/>
    <w:rsid w:val="00D13223"/>
    <w:rsid w:val="00D139D7"/>
    <w:rsid w:val="00D140E3"/>
    <w:rsid w:val="00D14130"/>
    <w:rsid w:val="00D14686"/>
    <w:rsid w:val="00D14B09"/>
    <w:rsid w:val="00D14D7C"/>
    <w:rsid w:val="00D15070"/>
    <w:rsid w:val="00D1512C"/>
    <w:rsid w:val="00D15478"/>
    <w:rsid w:val="00D1560D"/>
    <w:rsid w:val="00D160DB"/>
    <w:rsid w:val="00D16364"/>
    <w:rsid w:val="00D16705"/>
    <w:rsid w:val="00D16B81"/>
    <w:rsid w:val="00D16DCA"/>
    <w:rsid w:val="00D16E6B"/>
    <w:rsid w:val="00D16F04"/>
    <w:rsid w:val="00D16FDB"/>
    <w:rsid w:val="00D170B8"/>
    <w:rsid w:val="00D173E5"/>
    <w:rsid w:val="00D17698"/>
    <w:rsid w:val="00D20018"/>
    <w:rsid w:val="00D200F6"/>
    <w:rsid w:val="00D2025E"/>
    <w:rsid w:val="00D206B0"/>
    <w:rsid w:val="00D20956"/>
    <w:rsid w:val="00D20BF4"/>
    <w:rsid w:val="00D20ED6"/>
    <w:rsid w:val="00D2107D"/>
    <w:rsid w:val="00D21360"/>
    <w:rsid w:val="00D21381"/>
    <w:rsid w:val="00D215DD"/>
    <w:rsid w:val="00D21660"/>
    <w:rsid w:val="00D216C4"/>
    <w:rsid w:val="00D21805"/>
    <w:rsid w:val="00D21A3A"/>
    <w:rsid w:val="00D21ABD"/>
    <w:rsid w:val="00D21C36"/>
    <w:rsid w:val="00D21EE9"/>
    <w:rsid w:val="00D21EFB"/>
    <w:rsid w:val="00D221C5"/>
    <w:rsid w:val="00D2247B"/>
    <w:rsid w:val="00D22908"/>
    <w:rsid w:val="00D22938"/>
    <w:rsid w:val="00D2353D"/>
    <w:rsid w:val="00D23876"/>
    <w:rsid w:val="00D23919"/>
    <w:rsid w:val="00D23B71"/>
    <w:rsid w:val="00D251A7"/>
    <w:rsid w:val="00D268B7"/>
    <w:rsid w:val="00D26D60"/>
    <w:rsid w:val="00D27598"/>
    <w:rsid w:val="00D277C0"/>
    <w:rsid w:val="00D301CF"/>
    <w:rsid w:val="00D30783"/>
    <w:rsid w:val="00D307AB"/>
    <w:rsid w:val="00D308DB"/>
    <w:rsid w:val="00D30DD5"/>
    <w:rsid w:val="00D312D8"/>
    <w:rsid w:val="00D31855"/>
    <w:rsid w:val="00D31DB0"/>
    <w:rsid w:val="00D31EBE"/>
    <w:rsid w:val="00D32A6E"/>
    <w:rsid w:val="00D32E0D"/>
    <w:rsid w:val="00D32F92"/>
    <w:rsid w:val="00D3445B"/>
    <w:rsid w:val="00D3445F"/>
    <w:rsid w:val="00D344F9"/>
    <w:rsid w:val="00D34667"/>
    <w:rsid w:val="00D34746"/>
    <w:rsid w:val="00D34CC6"/>
    <w:rsid w:val="00D34FCA"/>
    <w:rsid w:val="00D35210"/>
    <w:rsid w:val="00D3534B"/>
    <w:rsid w:val="00D358AF"/>
    <w:rsid w:val="00D35FFB"/>
    <w:rsid w:val="00D36231"/>
    <w:rsid w:val="00D366EE"/>
    <w:rsid w:val="00D3696C"/>
    <w:rsid w:val="00D36BB9"/>
    <w:rsid w:val="00D37037"/>
    <w:rsid w:val="00D3728F"/>
    <w:rsid w:val="00D377E4"/>
    <w:rsid w:val="00D37A28"/>
    <w:rsid w:val="00D37E6A"/>
    <w:rsid w:val="00D37EFC"/>
    <w:rsid w:val="00D4122D"/>
    <w:rsid w:val="00D41290"/>
    <w:rsid w:val="00D41A47"/>
    <w:rsid w:val="00D41B94"/>
    <w:rsid w:val="00D41BAC"/>
    <w:rsid w:val="00D42921"/>
    <w:rsid w:val="00D42962"/>
    <w:rsid w:val="00D43786"/>
    <w:rsid w:val="00D4384D"/>
    <w:rsid w:val="00D43B68"/>
    <w:rsid w:val="00D43FAC"/>
    <w:rsid w:val="00D4484F"/>
    <w:rsid w:val="00D449C1"/>
    <w:rsid w:val="00D44FA1"/>
    <w:rsid w:val="00D45A36"/>
    <w:rsid w:val="00D45B96"/>
    <w:rsid w:val="00D462CA"/>
    <w:rsid w:val="00D470B9"/>
    <w:rsid w:val="00D471F5"/>
    <w:rsid w:val="00D47481"/>
    <w:rsid w:val="00D47516"/>
    <w:rsid w:val="00D478F7"/>
    <w:rsid w:val="00D47944"/>
    <w:rsid w:val="00D47E10"/>
    <w:rsid w:val="00D47E5F"/>
    <w:rsid w:val="00D50007"/>
    <w:rsid w:val="00D5044F"/>
    <w:rsid w:val="00D507AA"/>
    <w:rsid w:val="00D5086F"/>
    <w:rsid w:val="00D50F26"/>
    <w:rsid w:val="00D51A18"/>
    <w:rsid w:val="00D52071"/>
    <w:rsid w:val="00D5214E"/>
    <w:rsid w:val="00D522A6"/>
    <w:rsid w:val="00D5238C"/>
    <w:rsid w:val="00D5255B"/>
    <w:rsid w:val="00D529D4"/>
    <w:rsid w:val="00D538EB"/>
    <w:rsid w:val="00D53B62"/>
    <w:rsid w:val="00D54346"/>
    <w:rsid w:val="00D551EE"/>
    <w:rsid w:val="00D552C2"/>
    <w:rsid w:val="00D5535C"/>
    <w:rsid w:val="00D55486"/>
    <w:rsid w:val="00D55DE2"/>
    <w:rsid w:val="00D5642B"/>
    <w:rsid w:val="00D56C7F"/>
    <w:rsid w:val="00D56F4E"/>
    <w:rsid w:val="00D56FCF"/>
    <w:rsid w:val="00D570A7"/>
    <w:rsid w:val="00D5740B"/>
    <w:rsid w:val="00D575D4"/>
    <w:rsid w:val="00D57BCE"/>
    <w:rsid w:val="00D57D20"/>
    <w:rsid w:val="00D60572"/>
    <w:rsid w:val="00D60BDC"/>
    <w:rsid w:val="00D60E9B"/>
    <w:rsid w:val="00D61145"/>
    <w:rsid w:val="00D61DC3"/>
    <w:rsid w:val="00D61F1A"/>
    <w:rsid w:val="00D61FAB"/>
    <w:rsid w:val="00D627F1"/>
    <w:rsid w:val="00D62C1A"/>
    <w:rsid w:val="00D62D76"/>
    <w:rsid w:val="00D6327C"/>
    <w:rsid w:val="00D633A3"/>
    <w:rsid w:val="00D63620"/>
    <w:rsid w:val="00D63770"/>
    <w:rsid w:val="00D63CBB"/>
    <w:rsid w:val="00D63EAE"/>
    <w:rsid w:val="00D63F42"/>
    <w:rsid w:val="00D6413B"/>
    <w:rsid w:val="00D64FC7"/>
    <w:rsid w:val="00D65066"/>
    <w:rsid w:val="00D650D5"/>
    <w:rsid w:val="00D65164"/>
    <w:rsid w:val="00D65DC7"/>
    <w:rsid w:val="00D65F2E"/>
    <w:rsid w:val="00D66162"/>
    <w:rsid w:val="00D66AD0"/>
    <w:rsid w:val="00D66CF7"/>
    <w:rsid w:val="00D66F08"/>
    <w:rsid w:val="00D678D8"/>
    <w:rsid w:val="00D67913"/>
    <w:rsid w:val="00D67EE2"/>
    <w:rsid w:val="00D704C9"/>
    <w:rsid w:val="00D719FB"/>
    <w:rsid w:val="00D71C2D"/>
    <w:rsid w:val="00D71FFB"/>
    <w:rsid w:val="00D72109"/>
    <w:rsid w:val="00D72122"/>
    <w:rsid w:val="00D72194"/>
    <w:rsid w:val="00D724C9"/>
    <w:rsid w:val="00D7293C"/>
    <w:rsid w:val="00D7298C"/>
    <w:rsid w:val="00D72A9A"/>
    <w:rsid w:val="00D72C6D"/>
    <w:rsid w:val="00D73493"/>
    <w:rsid w:val="00D736B6"/>
    <w:rsid w:val="00D73729"/>
    <w:rsid w:val="00D73D1E"/>
    <w:rsid w:val="00D74015"/>
    <w:rsid w:val="00D74674"/>
    <w:rsid w:val="00D753CF"/>
    <w:rsid w:val="00D757BF"/>
    <w:rsid w:val="00D75867"/>
    <w:rsid w:val="00D75BCD"/>
    <w:rsid w:val="00D75E2C"/>
    <w:rsid w:val="00D75F1F"/>
    <w:rsid w:val="00D762D2"/>
    <w:rsid w:val="00D762DC"/>
    <w:rsid w:val="00D764F1"/>
    <w:rsid w:val="00D76A27"/>
    <w:rsid w:val="00D76AAF"/>
    <w:rsid w:val="00D76C16"/>
    <w:rsid w:val="00D76D72"/>
    <w:rsid w:val="00D77229"/>
    <w:rsid w:val="00D773BF"/>
    <w:rsid w:val="00D77941"/>
    <w:rsid w:val="00D77A13"/>
    <w:rsid w:val="00D80D0A"/>
    <w:rsid w:val="00D81072"/>
    <w:rsid w:val="00D813C6"/>
    <w:rsid w:val="00D814AC"/>
    <w:rsid w:val="00D81DA9"/>
    <w:rsid w:val="00D81DDE"/>
    <w:rsid w:val="00D82456"/>
    <w:rsid w:val="00D82528"/>
    <w:rsid w:val="00D82A88"/>
    <w:rsid w:val="00D8309B"/>
    <w:rsid w:val="00D83243"/>
    <w:rsid w:val="00D83B84"/>
    <w:rsid w:val="00D83DA0"/>
    <w:rsid w:val="00D83FFB"/>
    <w:rsid w:val="00D84244"/>
    <w:rsid w:val="00D84621"/>
    <w:rsid w:val="00D84BBF"/>
    <w:rsid w:val="00D84C72"/>
    <w:rsid w:val="00D85716"/>
    <w:rsid w:val="00D85C12"/>
    <w:rsid w:val="00D85D5D"/>
    <w:rsid w:val="00D862B2"/>
    <w:rsid w:val="00D86A0B"/>
    <w:rsid w:val="00D8788D"/>
    <w:rsid w:val="00D87BB6"/>
    <w:rsid w:val="00D87E7A"/>
    <w:rsid w:val="00D90209"/>
    <w:rsid w:val="00D90799"/>
    <w:rsid w:val="00D90D79"/>
    <w:rsid w:val="00D911CE"/>
    <w:rsid w:val="00D9126D"/>
    <w:rsid w:val="00D91C02"/>
    <w:rsid w:val="00D91C75"/>
    <w:rsid w:val="00D921E9"/>
    <w:rsid w:val="00D92A95"/>
    <w:rsid w:val="00D92D54"/>
    <w:rsid w:val="00D9337E"/>
    <w:rsid w:val="00D93609"/>
    <w:rsid w:val="00D9396E"/>
    <w:rsid w:val="00D939B1"/>
    <w:rsid w:val="00D93E5F"/>
    <w:rsid w:val="00D93E64"/>
    <w:rsid w:val="00D93EBF"/>
    <w:rsid w:val="00D94537"/>
    <w:rsid w:val="00D94D0A"/>
    <w:rsid w:val="00D94DF9"/>
    <w:rsid w:val="00D95003"/>
    <w:rsid w:val="00D95220"/>
    <w:rsid w:val="00D95916"/>
    <w:rsid w:val="00D9602D"/>
    <w:rsid w:val="00D96577"/>
    <w:rsid w:val="00D96793"/>
    <w:rsid w:val="00D96BEA"/>
    <w:rsid w:val="00D97045"/>
    <w:rsid w:val="00D9711C"/>
    <w:rsid w:val="00D97781"/>
    <w:rsid w:val="00DA0EF2"/>
    <w:rsid w:val="00DA1B41"/>
    <w:rsid w:val="00DA1BF5"/>
    <w:rsid w:val="00DA20A8"/>
    <w:rsid w:val="00DA220D"/>
    <w:rsid w:val="00DA2933"/>
    <w:rsid w:val="00DA2C6C"/>
    <w:rsid w:val="00DA2FC3"/>
    <w:rsid w:val="00DA35BA"/>
    <w:rsid w:val="00DA391D"/>
    <w:rsid w:val="00DA3DB7"/>
    <w:rsid w:val="00DA3E01"/>
    <w:rsid w:val="00DA3E5F"/>
    <w:rsid w:val="00DA4367"/>
    <w:rsid w:val="00DA449D"/>
    <w:rsid w:val="00DA462D"/>
    <w:rsid w:val="00DA49FD"/>
    <w:rsid w:val="00DA4A5B"/>
    <w:rsid w:val="00DA4AAC"/>
    <w:rsid w:val="00DA4C91"/>
    <w:rsid w:val="00DA4E0B"/>
    <w:rsid w:val="00DA4E6B"/>
    <w:rsid w:val="00DA54EB"/>
    <w:rsid w:val="00DA5811"/>
    <w:rsid w:val="00DA5969"/>
    <w:rsid w:val="00DA5A31"/>
    <w:rsid w:val="00DA5E1F"/>
    <w:rsid w:val="00DA5F25"/>
    <w:rsid w:val="00DA64F0"/>
    <w:rsid w:val="00DA64FF"/>
    <w:rsid w:val="00DA6571"/>
    <w:rsid w:val="00DA6CBF"/>
    <w:rsid w:val="00DA6EE1"/>
    <w:rsid w:val="00DA7198"/>
    <w:rsid w:val="00DA71F8"/>
    <w:rsid w:val="00DA7426"/>
    <w:rsid w:val="00DA7C0E"/>
    <w:rsid w:val="00DA7D75"/>
    <w:rsid w:val="00DB055A"/>
    <w:rsid w:val="00DB07BA"/>
    <w:rsid w:val="00DB0A79"/>
    <w:rsid w:val="00DB1039"/>
    <w:rsid w:val="00DB1085"/>
    <w:rsid w:val="00DB142A"/>
    <w:rsid w:val="00DB153A"/>
    <w:rsid w:val="00DB15D1"/>
    <w:rsid w:val="00DB1866"/>
    <w:rsid w:val="00DB1B52"/>
    <w:rsid w:val="00DB25F3"/>
    <w:rsid w:val="00DB374C"/>
    <w:rsid w:val="00DB3A55"/>
    <w:rsid w:val="00DB41BE"/>
    <w:rsid w:val="00DB4E2B"/>
    <w:rsid w:val="00DB5201"/>
    <w:rsid w:val="00DB5328"/>
    <w:rsid w:val="00DB5472"/>
    <w:rsid w:val="00DB550E"/>
    <w:rsid w:val="00DB56AD"/>
    <w:rsid w:val="00DB59E0"/>
    <w:rsid w:val="00DB5BF8"/>
    <w:rsid w:val="00DB5C2D"/>
    <w:rsid w:val="00DB5E22"/>
    <w:rsid w:val="00DB6578"/>
    <w:rsid w:val="00DB65FF"/>
    <w:rsid w:val="00DB6D5A"/>
    <w:rsid w:val="00DB6FC9"/>
    <w:rsid w:val="00DC02F6"/>
    <w:rsid w:val="00DC0304"/>
    <w:rsid w:val="00DC030B"/>
    <w:rsid w:val="00DC03DE"/>
    <w:rsid w:val="00DC0494"/>
    <w:rsid w:val="00DC04BA"/>
    <w:rsid w:val="00DC096C"/>
    <w:rsid w:val="00DC097C"/>
    <w:rsid w:val="00DC10BB"/>
    <w:rsid w:val="00DC11BA"/>
    <w:rsid w:val="00DC162A"/>
    <w:rsid w:val="00DC1735"/>
    <w:rsid w:val="00DC1AA7"/>
    <w:rsid w:val="00DC290E"/>
    <w:rsid w:val="00DC2E74"/>
    <w:rsid w:val="00DC41B5"/>
    <w:rsid w:val="00DC424E"/>
    <w:rsid w:val="00DC4261"/>
    <w:rsid w:val="00DC4960"/>
    <w:rsid w:val="00DC4FCA"/>
    <w:rsid w:val="00DC51F8"/>
    <w:rsid w:val="00DC5484"/>
    <w:rsid w:val="00DC5855"/>
    <w:rsid w:val="00DC5899"/>
    <w:rsid w:val="00DC5A3F"/>
    <w:rsid w:val="00DC5A68"/>
    <w:rsid w:val="00DC5AB1"/>
    <w:rsid w:val="00DC5D65"/>
    <w:rsid w:val="00DC5F5D"/>
    <w:rsid w:val="00DC6178"/>
    <w:rsid w:val="00DC63CE"/>
    <w:rsid w:val="00DC6931"/>
    <w:rsid w:val="00DC778A"/>
    <w:rsid w:val="00DC79AB"/>
    <w:rsid w:val="00DC7E33"/>
    <w:rsid w:val="00DD03AE"/>
    <w:rsid w:val="00DD05A8"/>
    <w:rsid w:val="00DD0647"/>
    <w:rsid w:val="00DD0D4B"/>
    <w:rsid w:val="00DD1703"/>
    <w:rsid w:val="00DD18E6"/>
    <w:rsid w:val="00DD1C2C"/>
    <w:rsid w:val="00DD1FB1"/>
    <w:rsid w:val="00DD2172"/>
    <w:rsid w:val="00DD27E5"/>
    <w:rsid w:val="00DD2868"/>
    <w:rsid w:val="00DD2BF1"/>
    <w:rsid w:val="00DD31E4"/>
    <w:rsid w:val="00DD33F7"/>
    <w:rsid w:val="00DD3509"/>
    <w:rsid w:val="00DD3C9D"/>
    <w:rsid w:val="00DD3DD7"/>
    <w:rsid w:val="00DD3ED2"/>
    <w:rsid w:val="00DD4442"/>
    <w:rsid w:val="00DD45F3"/>
    <w:rsid w:val="00DD526C"/>
    <w:rsid w:val="00DD52B3"/>
    <w:rsid w:val="00DD5773"/>
    <w:rsid w:val="00DD5799"/>
    <w:rsid w:val="00DD60EC"/>
    <w:rsid w:val="00DD6309"/>
    <w:rsid w:val="00DD64F7"/>
    <w:rsid w:val="00DD65FB"/>
    <w:rsid w:val="00DD6815"/>
    <w:rsid w:val="00DD6AE1"/>
    <w:rsid w:val="00DD6BAB"/>
    <w:rsid w:val="00DD6E8C"/>
    <w:rsid w:val="00DD6EDD"/>
    <w:rsid w:val="00DD7640"/>
    <w:rsid w:val="00DE0287"/>
    <w:rsid w:val="00DE0324"/>
    <w:rsid w:val="00DE0513"/>
    <w:rsid w:val="00DE053D"/>
    <w:rsid w:val="00DE0EF1"/>
    <w:rsid w:val="00DE12EE"/>
    <w:rsid w:val="00DE17D5"/>
    <w:rsid w:val="00DE1E2D"/>
    <w:rsid w:val="00DE217D"/>
    <w:rsid w:val="00DE24D1"/>
    <w:rsid w:val="00DE2674"/>
    <w:rsid w:val="00DE28B0"/>
    <w:rsid w:val="00DE2D56"/>
    <w:rsid w:val="00DE2E01"/>
    <w:rsid w:val="00DE30F6"/>
    <w:rsid w:val="00DE3625"/>
    <w:rsid w:val="00DE40A0"/>
    <w:rsid w:val="00DE430A"/>
    <w:rsid w:val="00DE475E"/>
    <w:rsid w:val="00DE4BC5"/>
    <w:rsid w:val="00DE4C6B"/>
    <w:rsid w:val="00DE50E2"/>
    <w:rsid w:val="00DE543A"/>
    <w:rsid w:val="00DE5956"/>
    <w:rsid w:val="00DE59E8"/>
    <w:rsid w:val="00DE5DD3"/>
    <w:rsid w:val="00DE5DF6"/>
    <w:rsid w:val="00DE618E"/>
    <w:rsid w:val="00DE6776"/>
    <w:rsid w:val="00DE67AA"/>
    <w:rsid w:val="00DE6915"/>
    <w:rsid w:val="00DE6A7F"/>
    <w:rsid w:val="00DE6F19"/>
    <w:rsid w:val="00DE6F2B"/>
    <w:rsid w:val="00DE764B"/>
    <w:rsid w:val="00DE7735"/>
    <w:rsid w:val="00DE7B56"/>
    <w:rsid w:val="00DE7B90"/>
    <w:rsid w:val="00DE7C7C"/>
    <w:rsid w:val="00DE7CDB"/>
    <w:rsid w:val="00DF07C9"/>
    <w:rsid w:val="00DF0D43"/>
    <w:rsid w:val="00DF13C8"/>
    <w:rsid w:val="00DF1A47"/>
    <w:rsid w:val="00DF1CAF"/>
    <w:rsid w:val="00DF1CC9"/>
    <w:rsid w:val="00DF1DD4"/>
    <w:rsid w:val="00DF235B"/>
    <w:rsid w:val="00DF26EB"/>
    <w:rsid w:val="00DF2DD9"/>
    <w:rsid w:val="00DF2FEB"/>
    <w:rsid w:val="00DF344B"/>
    <w:rsid w:val="00DF4135"/>
    <w:rsid w:val="00DF48BE"/>
    <w:rsid w:val="00DF4C41"/>
    <w:rsid w:val="00DF4F08"/>
    <w:rsid w:val="00DF4F87"/>
    <w:rsid w:val="00DF5273"/>
    <w:rsid w:val="00DF53D5"/>
    <w:rsid w:val="00DF572C"/>
    <w:rsid w:val="00DF5A6E"/>
    <w:rsid w:val="00DF5D32"/>
    <w:rsid w:val="00DF5E23"/>
    <w:rsid w:val="00DF5E46"/>
    <w:rsid w:val="00DF5EE0"/>
    <w:rsid w:val="00DF6154"/>
    <w:rsid w:val="00DF6D88"/>
    <w:rsid w:val="00DF6EBF"/>
    <w:rsid w:val="00DF709F"/>
    <w:rsid w:val="00DF75E5"/>
    <w:rsid w:val="00DF7D65"/>
    <w:rsid w:val="00DF7E98"/>
    <w:rsid w:val="00E009EC"/>
    <w:rsid w:val="00E00AB7"/>
    <w:rsid w:val="00E00B66"/>
    <w:rsid w:val="00E00CFC"/>
    <w:rsid w:val="00E01070"/>
    <w:rsid w:val="00E01116"/>
    <w:rsid w:val="00E014AD"/>
    <w:rsid w:val="00E01546"/>
    <w:rsid w:val="00E0154B"/>
    <w:rsid w:val="00E01BCE"/>
    <w:rsid w:val="00E01EBF"/>
    <w:rsid w:val="00E02043"/>
    <w:rsid w:val="00E02072"/>
    <w:rsid w:val="00E020FB"/>
    <w:rsid w:val="00E02813"/>
    <w:rsid w:val="00E03106"/>
    <w:rsid w:val="00E03177"/>
    <w:rsid w:val="00E037B8"/>
    <w:rsid w:val="00E037CA"/>
    <w:rsid w:val="00E03A06"/>
    <w:rsid w:val="00E03F05"/>
    <w:rsid w:val="00E03F85"/>
    <w:rsid w:val="00E04145"/>
    <w:rsid w:val="00E04445"/>
    <w:rsid w:val="00E04663"/>
    <w:rsid w:val="00E04D18"/>
    <w:rsid w:val="00E04DF8"/>
    <w:rsid w:val="00E05EB3"/>
    <w:rsid w:val="00E06031"/>
    <w:rsid w:val="00E073BD"/>
    <w:rsid w:val="00E0785A"/>
    <w:rsid w:val="00E07C9E"/>
    <w:rsid w:val="00E1027A"/>
    <w:rsid w:val="00E113F1"/>
    <w:rsid w:val="00E1159F"/>
    <w:rsid w:val="00E11771"/>
    <w:rsid w:val="00E11884"/>
    <w:rsid w:val="00E11CEA"/>
    <w:rsid w:val="00E126F4"/>
    <w:rsid w:val="00E127E1"/>
    <w:rsid w:val="00E12A1D"/>
    <w:rsid w:val="00E12D7B"/>
    <w:rsid w:val="00E13081"/>
    <w:rsid w:val="00E1328A"/>
    <w:rsid w:val="00E13944"/>
    <w:rsid w:val="00E13CC7"/>
    <w:rsid w:val="00E13DDD"/>
    <w:rsid w:val="00E13F7E"/>
    <w:rsid w:val="00E144D5"/>
    <w:rsid w:val="00E1487B"/>
    <w:rsid w:val="00E153D4"/>
    <w:rsid w:val="00E157EA"/>
    <w:rsid w:val="00E15B1B"/>
    <w:rsid w:val="00E15F7D"/>
    <w:rsid w:val="00E1624B"/>
    <w:rsid w:val="00E163DE"/>
    <w:rsid w:val="00E166AB"/>
    <w:rsid w:val="00E1692F"/>
    <w:rsid w:val="00E16BCB"/>
    <w:rsid w:val="00E16DD9"/>
    <w:rsid w:val="00E16E32"/>
    <w:rsid w:val="00E17607"/>
    <w:rsid w:val="00E17BDC"/>
    <w:rsid w:val="00E20051"/>
    <w:rsid w:val="00E20292"/>
    <w:rsid w:val="00E20420"/>
    <w:rsid w:val="00E20510"/>
    <w:rsid w:val="00E2069D"/>
    <w:rsid w:val="00E20B5A"/>
    <w:rsid w:val="00E20D26"/>
    <w:rsid w:val="00E20E5E"/>
    <w:rsid w:val="00E213AF"/>
    <w:rsid w:val="00E21483"/>
    <w:rsid w:val="00E21508"/>
    <w:rsid w:val="00E22251"/>
    <w:rsid w:val="00E22665"/>
    <w:rsid w:val="00E2269A"/>
    <w:rsid w:val="00E226DF"/>
    <w:rsid w:val="00E227AC"/>
    <w:rsid w:val="00E23564"/>
    <w:rsid w:val="00E23A38"/>
    <w:rsid w:val="00E23A5C"/>
    <w:rsid w:val="00E23F50"/>
    <w:rsid w:val="00E23F59"/>
    <w:rsid w:val="00E244DC"/>
    <w:rsid w:val="00E24542"/>
    <w:rsid w:val="00E24550"/>
    <w:rsid w:val="00E24CB9"/>
    <w:rsid w:val="00E25585"/>
    <w:rsid w:val="00E25587"/>
    <w:rsid w:val="00E25E3B"/>
    <w:rsid w:val="00E26775"/>
    <w:rsid w:val="00E2763E"/>
    <w:rsid w:val="00E277D3"/>
    <w:rsid w:val="00E277D4"/>
    <w:rsid w:val="00E27852"/>
    <w:rsid w:val="00E27A35"/>
    <w:rsid w:val="00E27BF5"/>
    <w:rsid w:val="00E27F86"/>
    <w:rsid w:val="00E301D3"/>
    <w:rsid w:val="00E302A3"/>
    <w:rsid w:val="00E3046E"/>
    <w:rsid w:val="00E311A4"/>
    <w:rsid w:val="00E3173A"/>
    <w:rsid w:val="00E3183A"/>
    <w:rsid w:val="00E31969"/>
    <w:rsid w:val="00E319C5"/>
    <w:rsid w:val="00E31C35"/>
    <w:rsid w:val="00E31C85"/>
    <w:rsid w:val="00E31FA8"/>
    <w:rsid w:val="00E321A4"/>
    <w:rsid w:val="00E321AE"/>
    <w:rsid w:val="00E32528"/>
    <w:rsid w:val="00E32D73"/>
    <w:rsid w:val="00E33135"/>
    <w:rsid w:val="00E335C6"/>
    <w:rsid w:val="00E33744"/>
    <w:rsid w:val="00E33772"/>
    <w:rsid w:val="00E3393E"/>
    <w:rsid w:val="00E34CD6"/>
    <w:rsid w:val="00E3505F"/>
    <w:rsid w:val="00E35462"/>
    <w:rsid w:val="00E35A0C"/>
    <w:rsid w:val="00E35BA9"/>
    <w:rsid w:val="00E360A9"/>
    <w:rsid w:val="00E3679C"/>
    <w:rsid w:val="00E367C2"/>
    <w:rsid w:val="00E37062"/>
    <w:rsid w:val="00E37195"/>
    <w:rsid w:val="00E37682"/>
    <w:rsid w:val="00E376F7"/>
    <w:rsid w:val="00E4036F"/>
    <w:rsid w:val="00E40B1B"/>
    <w:rsid w:val="00E40EB1"/>
    <w:rsid w:val="00E410B5"/>
    <w:rsid w:val="00E4122D"/>
    <w:rsid w:val="00E413E4"/>
    <w:rsid w:val="00E4168F"/>
    <w:rsid w:val="00E418BF"/>
    <w:rsid w:val="00E41C3A"/>
    <w:rsid w:val="00E42E4A"/>
    <w:rsid w:val="00E43302"/>
    <w:rsid w:val="00E439A3"/>
    <w:rsid w:val="00E43C31"/>
    <w:rsid w:val="00E4424F"/>
    <w:rsid w:val="00E443BD"/>
    <w:rsid w:val="00E4501E"/>
    <w:rsid w:val="00E45293"/>
    <w:rsid w:val="00E454C1"/>
    <w:rsid w:val="00E461EE"/>
    <w:rsid w:val="00E46394"/>
    <w:rsid w:val="00E4644C"/>
    <w:rsid w:val="00E469A2"/>
    <w:rsid w:val="00E46F50"/>
    <w:rsid w:val="00E47314"/>
    <w:rsid w:val="00E474C0"/>
    <w:rsid w:val="00E47C46"/>
    <w:rsid w:val="00E47D03"/>
    <w:rsid w:val="00E50364"/>
    <w:rsid w:val="00E504BD"/>
    <w:rsid w:val="00E50709"/>
    <w:rsid w:val="00E50BE5"/>
    <w:rsid w:val="00E50CA2"/>
    <w:rsid w:val="00E514E7"/>
    <w:rsid w:val="00E516F2"/>
    <w:rsid w:val="00E51CDE"/>
    <w:rsid w:val="00E5238F"/>
    <w:rsid w:val="00E52742"/>
    <w:rsid w:val="00E52CF0"/>
    <w:rsid w:val="00E52D05"/>
    <w:rsid w:val="00E532BB"/>
    <w:rsid w:val="00E53925"/>
    <w:rsid w:val="00E53DAC"/>
    <w:rsid w:val="00E53E23"/>
    <w:rsid w:val="00E53E3A"/>
    <w:rsid w:val="00E53F1A"/>
    <w:rsid w:val="00E54163"/>
    <w:rsid w:val="00E54261"/>
    <w:rsid w:val="00E5489D"/>
    <w:rsid w:val="00E549E9"/>
    <w:rsid w:val="00E54F6C"/>
    <w:rsid w:val="00E55822"/>
    <w:rsid w:val="00E55C39"/>
    <w:rsid w:val="00E5686B"/>
    <w:rsid w:val="00E56C83"/>
    <w:rsid w:val="00E56E9C"/>
    <w:rsid w:val="00E5758A"/>
    <w:rsid w:val="00E607EB"/>
    <w:rsid w:val="00E607F6"/>
    <w:rsid w:val="00E609C1"/>
    <w:rsid w:val="00E60B23"/>
    <w:rsid w:val="00E60F4C"/>
    <w:rsid w:val="00E6273E"/>
    <w:rsid w:val="00E628F6"/>
    <w:rsid w:val="00E631C8"/>
    <w:rsid w:val="00E631F5"/>
    <w:rsid w:val="00E6342B"/>
    <w:rsid w:val="00E63AAC"/>
    <w:rsid w:val="00E63D68"/>
    <w:rsid w:val="00E64846"/>
    <w:rsid w:val="00E648DA"/>
    <w:rsid w:val="00E649DB"/>
    <w:rsid w:val="00E64EC2"/>
    <w:rsid w:val="00E65080"/>
    <w:rsid w:val="00E65146"/>
    <w:rsid w:val="00E6537C"/>
    <w:rsid w:val="00E65A18"/>
    <w:rsid w:val="00E66194"/>
    <w:rsid w:val="00E6630B"/>
    <w:rsid w:val="00E666D9"/>
    <w:rsid w:val="00E669D5"/>
    <w:rsid w:val="00E66BA0"/>
    <w:rsid w:val="00E6709E"/>
    <w:rsid w:val="00E67A97"/>
    <w:rsid w:val="00E67C9C"/>
    <w:rsid w:val="00E70332"/>
    <w:rsid w:val="00E70568"/>
    <w:rsid w:val="00E7056C"/>
    <w:rsid w:val="00E705BB"/>
    <w:rsid w:val="00E708C9"/>
    <w:rsid w:val="00E70BD5"/>
    <w:rsid w:val="00E70E80"/>
    <w:rsid w:val="00E71130"/>
    <w:rsid w:val="00E714FC"/>
    <w:rsid w:val="00E71D84"/>
    <w:rsid w:val="00E71F48"/>
    <w:rsid w:val="00E71FFA"/>
    <w:rsid w:val="00E72321"/>
    <w:rsid w:val="00E72901"/>
    <w:rsid w:val="00E729B9"/>
    <w:rsid w:val="00E738B6"/>
    <w:rsid w:val="00E73A3E"/>
    <w:rsid w:val="00E73B34"/>
    <w:rsid w:val="00E74088"/>
    <w:rsid w:val="00E74317"/>
    <w:rsid w:val="00E7483C"/>
    <w:rsid w:val="00E74AED"/>
    <w:rsid w:val="00E74D5E"/>
    <w:rsid w:val="00E751F2"/>
    <w:rsid w:val="00E76188"/>
    <w:rsid w:val="00E76DCC"/>
    <w:rsid w:val="00E770CE"/>
    <w:rsid w:val="00E7749C"/>
    <w:rsid w:val="00E777DD"/>
    <w:rsid w:val="00E77CF4"/>
    <w:rsid w:val="00E8045F"/>
    <w:rsid w:val="00E80592"/>
    <w:rsid w:val="00E81BB3"/>
    <w:rsid w:val="00E8232C"/>
    <w:rsid w:val="00E8262B"/>
    <w:rsid w:val="00E826D3"/>
    <w:rsid w:val="00E827D6"/>
    <w:rsid w:val="00E8375D"/>
    <w:rsid w:val="00E83888"/>
    <w:rsid w:val="00E83ADC"/>
    <w:rsid w:val="00E83C04"/>
    <w:rsid w:val="00E83DC8"/>
    <w:rsid w:val="00E8422F"/>
    <w:rsid w:val="00E84813"/>
    <w:rsid w:val="00E84A5E"/>
    <w:rsid w:val="00E84E21"/>
    <w:rsid w:val="00E85037"/>
    <w:rsid w:val="00E8531B"/>
    <w:rsid w:val="00E86993"/>
    <w:rsid w:val="00E87046"/>
    <w:rsid w:val="00E87171"/>
    <w:rsid w:val="00E871C0"/>
    <w:rsid w:val="00E875D8"/>
    <w:rsid w:val="00E87771"/>
    <w:rsid w:val="00E87F3A"/>
    <w:rsid w:val="00E902E8"/>
    <w:rsid w:val="00E9051A"/>
    <w:rsid w:val="00E9067C"/>
    <w:rsid w:val="00E906AA"/>
    <w:rsid w:val="00E906E6"/>
    <w:rsid w:val="00E90B9C"/>
    <w:rsid w:val="00E911EB"/>
    <w:rsid w:val="00E91235"/>
    <w:rsid w:val="00E914A4"/>
    <w:rsid w:val="00E9153F"/>
    <w:rsid w:val="00E91D4B"/>
    <w:rsid w:val="00E91EEC"/>
    <w:rsid w:val="00E91EFE"/>
    <w:rsid w:val="00E91F49"/>
    <w:rsid w:val="00E923E7"/>
    <w:rsid w:val="00E92A83"/>
    <w:rsid w:val="00E92AFC"/>
    <w:rsid w:val="00E92CF7"/>
    <w:rsid w:val="00E92E37"/>
    <w:rsid w:val="00E9311F"/>
    <w:rsid w:val="00E93320"/>
    <w:rsid w:val="00E93613"/>
    <w:rsid w:val="00E93D23"/>
    <w:rsid w:val="00E94A68"/>
    <w:rsid w:val="00E950BE"/>
    <w:rsid w:val="00E95126"/>
    <w:rsid w:val="00E952DB"/>
    <w:rsid w:val="00E9577F"/>
    <w:rsid w:val="00E958AE"/>
    <w:rsid w:val="00E95BD5"/>
    <w:rsid w:val="00E95D44"/>
    <w:rsid w:val="00E964A9"/>
    <w:rsid w:val="00E9673B"/>
    <w:rsid w:val="00E968BE"/>
    <w:rsid w:val="00E96C9B"/>
    <w:rsid w:val="00E96CF4"/>
    <w:rsid w:val="00E96CFC"/>
    <w:rsid w:val="00E96FB5"/>
    <w:rsid w:val="00E9794B"/>
    <w:rsid w:val="00E97D06"/>
    <w:rsid w:val="00E97D13"/>
    <w:rsid w:val="00E97D3B"/>
    <w:rsid w:val="00EA033D"/>
    <w:rsid w:val="00EA0779"/>
    <w:rsid w:val="00EA08B0"/>
    <w:rsid w:val="00EA0CF0"/>
    <w:rsid w:val="00EA0D72"/>
    <w:rsid w:val="00EA12AC"/>
    <w:rsid w:val="00EA1D39"/>
    <w:rsid w:val="00EA21F0"/>
    <w:rsid w:val="00EA22C3"/>
    <w:rsid w:val="00EA2B07"/>
    <w:rsid w:val="00EA301F"/>
    <w:rsid w:val="00EA3109"/>
    <w:rsid w:val="00EA39C4"/>
    <w:rsid w:val="00EA405C"/>
    <w:rsid w:val="00EA4190"/>
    <w:rsid w:val="00EA4501"/>
    <w:rsid w:val="00EA48BF"/>
    <w:rsid w:val="00EA4C01"/>
    <w:rsid w:val="00EA4E5E"/>
    <w:rsid w:val="00EA5DE9"/>
    <w:rsid w:val="00EA5F9F"/>
    <w:rsid w:val="00EA6789"/>
    <w:rsid w:val="00EA6A6E"/>
    <w:rsid w:val="00EA6B62"/>
    <w:rsid w:val="00EA70E8"/>
    <w:rsid w:val="00EA7226"/>
    <w:rsid w:val="00EA79E7"/>
    <w:rsid w:val="00EB03E9"/>
    <w:rsid w:val="00EB04C7"/>
    <w:rsid w:val="00EB0A31"/>
    <w:rsid w:val="00EB0BAA"/>
    <w:rsid w:val="00EB149C"/>
    <w:rsid w:val="00EB2936"/>
    <w:rsid w:val="00EB29F1"/>
    <w:rsid w:val="00EB2A6C"/>
    <w:rsid w:val="00EB3026"/>
    <w:rsid w:val="00EB30C3"/>
    <w:rsid w:val="00EB32E0"/>
    <w:rsid w:val="00EB3301"/>
    <w:rsid w:val="00EB346F"/>
    <w:rsid w:val="00EB3BAB"/>
    <w:rsid w:val="00EB3C81"/>
    <w:rsid w:val="00EB40F2"/>
    <w:rsid w:val="00EB44A4"/>
    <w:rsid w:val="00EB463F"/>
    <w:rsid w:val="00EB4958"/>
    <w:rsid w:val="00EB4B75"/>
    <w:rsid w:val="00EB4E92"/>
    <w:rsid w:val="00EB51D6"/>
    <w:rsid w:val="00EB531B"/>
    <w:rsid w:val="00EB547F"/>
    <w:rsid w:val="00EB5D4B"/>
    <w:rsid w:val="00EB6275"/>
    <w:rsid w:val="00EB65F1"/>
    <w:rsid w:val="00EB6D8F"/>
    <w:rsid w:val="00EB7822"/>
    <w:rsid w:val="00EB78BF"/>
    <w:rsid w:val="00EB78FC"/>
    <w:rsid w:val="00EB7D3A"/>
    <w:rsid w:val="00EC01E4"/>
    <w:rsid w:val="00EC01F4"/>
    <w:rsid w:val="00EC04DA"/>
    <w:rsid w:val="00EC07A5"/>
    <w:rsid w:val="00EC082D"/>
    <w:rsid w:val="00EC0C5B"/>
    <w:rsid w:val="00EC160D"/>
    <w:rsid w:val="00EC1D33"/>
    <w:rsid w:val="00EC2002"/>
    <w:rsid w:val="00EC2081"/>
    <w:rsid w:val="00EC20EF"/>
    <w:rsid w:val="00EC24F1"/>
    <w:rsid w:val="00EC2728"/>
    <w:rsid w:val="00EC295B"/>
    <w:rsid w:val="00EC2EC5"/>
    <w:rsid w:val="00EC30C0"/>
    <w:rsid w:val="00EC320F"/>
    <w:rsid w:val="00EC3A5A"/>
    <w:rsid w:val="00EC3BA2"/>
    <w:rsid w:val="00EC3CC1"/>
    <w:rsid w:val="00EC3D1C"/>
    <w:rsid w:val="00EC40E4"/>
    <w:rsid w:val="00EC426B"/>
    <w:rsid w:val="00EC43AA"/>
    <w:rsid w:val="00EC4E85"/>
    <w:rsid w:val="00EC53DD"/>
    <w:rsid w:val="00EC5426"/>
    <w:rsid w:val="00EC5982"/>
    <w:rsid w:val="00EC5DD6"/>
    <w:rsid w:val="00EC5E6B"/>
    <w:rsid w:val="00EC5EA3"/>
    <w:rsid w:val="00EC60F1"/>
    <w:rsid w:val="00EC63D6"/>
    <w:rsid w:val="00EC641A"/>
    <w:rsid w:val="00EC6BCE"/>
    <w:rsid w:val="00EC6EC5"/>
    <w:rsid w:val="00EC7A59"/>
    <w:rsid w:val="00EC7BEB"/>
    <w:rsid w:val="00EC7C26"/>
    <w:rsid w:val="00EC7F14"/>
    <w:rsid w:val="00ED001C"/>
    <w:rsid w:val="00ED0283"/>
    <w:rsid w:val="00ED036A"/>
    <w:rsid w:val="00ED03FC"/>
    <w:rsid w:val="00ED080C"/>
    <w:rsid w:val="00ED0BC8"/>
    <w:rsid w:val="00ED0E44"/>
    <w:rsid w:val="00ED1325"/>
    <w:rsid w:val="00ED135D"/>
    <w:rsid w:val="00ED14D6"/>
    <w:rsid w:val="00ED1551"/>
    <w:rsid w:val="00ED1684"/>
    <w:rsid w:val="00ED1824"/>
    <w:rsid w:val="00ED18E4"/>
    <w:rsid w:val="00ED1A2F"/>
    <w:rsid w:val="00ED1C33"/>
    <w:rsid w:val="00ED1FF1"/>
    <w:rsid w:val="00ED2289"/>
    <w:rsid w:val="00ED25F0"/>
    <w:rsid w:val="00ED2BF4"/>
    <w:rsid w:val="00ED2C45"/>
    <w:rsid w:val="00ED2C8F"/>
    <w:rsid w:val="00ED3F6E"/>
    <w:rsid w:val="00ED44AA"/>
    <w:rsid w:val="00ED4834"/>
    <w:rsid w:val="00ED48BC"/>
    <w:rsid w:val="00ED50E6"/>
    <w:rsid w:val="00ED5BDA"/>
    <w:rsid w:val="00ED5E37"/>
    <w:rsid w:val="00ED66B3"/>
    <w:rsid w:val="00ED6DF2"/>
    <w:rsid w:val="00ED6F42"/>
    <w:rsid w:val="00ED72FC"/>
    <w:rsid w:val="00ED75EC"/>
    <w:rsid w:val="00ED7F2D"/>
    <w:rsid w:val="00EE02E5"/>
    <w:rsid w:val="00EE0A54"/>
    <w:rsid w:val="00EE0C85"/>
    <w:rsid w:val="00EE0F87"/>
    <w:rsid w:val="00EE1438"/>
    <w:rsid w:val="00EE162D"/>
    <w:rsid w:val="00EE1A3A"/>
    <w:rsid w:val="00EE2011"/>
    <w:rsid w:val="00EE2289"/>
    <w:rsid w:val="00EE22AD"/>
    <w:rsid w:val="00EE277A"/>
    <w:rsid w:val="00EE2841"/>
    <w:rsid w:val="00EE2885"/>
    <w:rsid w:val="00EE3508"/>
    <w:rsid w:val="00EE380F"/>
    <w:rsid w:val="00EE3AC0"/>
    <w:rsid w:val="00EE3C1F"/>
    <w:rsid w:val="00EE3E1F"/>
    <w:rsid w:val="00EE3E65"/>
    <w:rsid w:val="00EE47D9"/>
    <w:rsid w:val="00EE5027"/>
    <w:rsid w:val="00EE5033"/>
    <w:rsid w:val="00EE5681"/>
    <w:rsid w:val="00EE5DA2"/>
    <w:rsid w:val="00EE606A"/>
    <w:rsid w:val="00EE63AC"/>
    <w:rsid w:val="00EE6C83"/>
    <w:rsid w:val="00EE72FB"/>
    <w:rsid w:val="00EE739D"/>
    <w:rsid w:val="00EE7A47"/>
    <w:rsid w:val="00EF056E"/>
    <w:rsid w:val="00EF05AD"/>
    <w:rsid w:val="00EF0CC6"/>
    <w:rsid w:val="00EF0D18"/>
    <w:rsid w:val="00EF11B0"/>
    <w:rsid w:val="00EF174B"/>
    <w:rsid w:val="00EF1843"/>
    <w:rsid w:val="00EF2542"/>
    <w:rsid w:val="00EF2896"/>
    <w:rsid w:val="00EF289F"/>
    <w:rsid w:val="00EF2C5B"/>
    <w:rsid w:val="00EF2CD7"/>
    <w:rsid w:val="00EF3040"/>
    <w:rsid w:val="00EF3310"/>
    <w:rsid w:val="00EF38C0"/>
    <w:rsid w:val="00EF3B24"/>
    <w:rsid w:val="00EF3DBC"/>
    <w:rsid w:val="00EF40A5"/>
    <w:rsid w:val="00EF431D"/>
    <w:rsid w:val="00EF47F3"/>
    <w:rsid w:val="00EF52CF"/>
    <w:rsid w:val="00EF5868"/>
    <w:rsid w:val="00EF59CF"/>
    <w:rsid w:val="00EF62DA"/>
    <w:rsid w:val="00EF63F7"/>
    <w:rsid w:val="00EF6552"/>
    <w:rsid w:val="00EF6583"/>
    <w:rsid w:val="00EF6809"/>
    <w:rsid w:val="00EF6BC6"/>
    <w:rsid w:val="00EF6CA8"/>
    <w:rsid w:val="00EF7726"/>
    <w:rsid w:val="00EF7A1D"/>
    <w:rsid w:val="00EF7A8C"/>
    <w:rsid w:val="00EF7CB3"/>
    <w:rsid w:val="00F001AD"/>
    <w:rsid w:val="00F002EC"/>
    <w:rsid w:val="00F00843"/>
    <w:rsid w:val="00F00D31"/>
    <w:rsid w:val="00F010CA"/>
    <w:rsid w:val="00F01217"/>
    <w:rsid w:val="00F019E7"/>
    <w:rsid w:val="00F01A6B"/>
    <w:rsid w:val="00F01AD2"/>
    <w:rsid w:val="00F01E18"/>
    <w:rsid w:val="00F01E75"/>
    <w:rsid w:val="00F01F2F"/>
    <w:rsid w:val="00F022A7"/>
    <w:rsid w:val="00F025CC"/>
    <w:rsid w:val="00F02D33"/>
    <w:rsid w:val="00F03110"/>
    <w:rsid w:val="00F036CB"/>
    <w:rsid w:val="00F036F7"/>
    <w:rsid w:val="00F036F9"/>
    <w:rsid w:val="00F03BFE"/>
    <w:rsid w:val="00F03FE9"/>
    <w:rsid w:val="00F045DC"/>
    <w:rsid w:val="00F04939"/>
    <w:rsid w:val="00F04C8A"/>
    <w:rsid w:val="00F053DF"/>
    <w:rsid w:val="00F05A3A"/>
    <w:rsid w:val="00F05B33"/>
    <w:rsid w:val="00F05CB6"/>
    <w:rsid w:val="00F062C1"/>
    <w:rsid w:val="00F06385"/>
    <w:rsid w:val="00F06439"/>
    <w:rsid w:val="00F06567"/>
    <w:rsid w:val="00F071C3"/>
    <w:rsid w:val="00F071E4"/>
    <w:rsid w:val="00F101AA"/>
    <w:rsid w:val="00F10222"/>
    <w:rsid w:val="00F10537"/>
    <w:rsid w:val="00F10728"/>
    <w:rsid w:val="00F1176C"/>
    <w:rsid w:val="00F11E65"/>
    <w:rsid w:val="00F11EB2"/>
    <w:rsid w:val="00F11FB7"/>
    <w:rsid w:val="00F12256"/>
    <w:rsid w:val="00F12696"/>
    <w:rsid w:val="00F12BDF"/>
    <w:rsid w:val="00F12DE5"/>
    <w:rsid w:val="00F12E80"/>
    <w:rsid w:val="00F13113"/>
    <w:rsid w:val="00F131DD"/>
    <w:rsid w:val="00F1375B"/>
    <w:rsid w:val="00F140D4"/>
    <w:rsid w:val="00F142ED"/>
    <w:rsid w:val="00F1441C"/>
    <w:rsid w:val="00F147C1"/>
    <w:rsid w:val="00F14831"/>
    <w:rsid w:val="00F14850"/>
    <w:rsid w:val="00F14B1B"/>
    <w:rsid w:val="00F14BC0"/>
    <w:rsid w:val="00F14E11"/>
    <w:rsid w:val="00F150F1"/>
    <w:rsid w:val="00F15402"/>
    <w:rsid w:val="00F155BB"/>
    <w:rsid w:val="00F1588E"/>
    <w:rsid w:val="00F15BE7"/>
    <w:rsid w:val="00F16148"/>
    <w:rsid w:val="00F164D2"/>
    <w:rsid w:val="00F166E8"/>
    <w:rsid w:val="00F16E90"/>
    <w:rsid w:val="00F170BC"/>
    <w:rsid w:val="00F17241"/>
    <w:rsid w:val="00F17B0F"/>
    <w:rsid w:val="00F17C43"/>
    <w:rsid w:val="00F17D4D"/>
    <w:rsid w:val="00F17F3F"/>
    <w:rsid w:val="00F202E1"/>
    <w:rsid w:val="00F20630"/>
    <w:rsid w:val="00F206A9"/>
    <w:rsid w:val="00F20850"/>
    <w:rsid w:val="00F20AF3"/>
    <w:rsid w:val="00F20BF4"/>
    <w:rsid w:val="00F20BF8"/>
    <w:rsid w:val="00F2163E"/>
    <w:rsid w:val="00F21FE8"/>
    <w:rsid w:val="00F22043"/>
    <w:rsid w:val="00F22E20"/>
    <w:rsid w:val="00F23788"/>
    <w:rsid w:val="00F23BF4"/>
    <w:rsid w:val="00F23D99"/>
    <w:rsid w:val="00F240AE"/>
    <w:rsid w:val="00F240D6"/>
    <w:rsid w:val="00F24705"/>
    <w:rsid w:val="00F24AA4"/>
    <w:rsid w:val="00F24B56"/>
    <w:rsid w:val="00F24FE1"/>
    <w:rsid w:val="00F2593E"/>
    <w:rsid w:val="00F25F9C"/>
    <w:rsid w:val="00F26822"/>
    <w:rsid w:val="00F26A99"/>
    <w:rsid w:val="00F26B42"/>
    <w:rsid w:val="00F26F74"/>
    <w:rsid w:val="00F271FB"/>
    <w:rsid w:val="00F27456"/>
    <w:rsid w:val="00F27E94"/>
    <w:rsid w:val="00F27E97"/>
    <w:rsid w:val="00F303C5"/>
    <w:rsid w:val="00F3041D"/>
    <w:rsid w:val="00F3074D"/>
    <w:rsid w:val="00F30A08"/>
    <w:rsid w:val="00F30B9D"/>
    <w:rsid w:val="00F30BB5"/>
    <w:rsid w:val="00F30E83"/>
    <w:rsid w:val="00F3110A"/>
    <w:rsid w:val="00F316CD"/>
    <w:rsid w:val="00F31A38"/>
    <w:rsid w:val="00F31E93"/>
    <w:rsid w:val="00F322C1"/>
    <w:rsid w:val="00F324FA"/>
    <w:rsid w:val="00F3280B"/>
    <w:rsid w:val="00F33D14"/>
    <w:rsid w:val="00F33FE9"/>
    <w:rsid w:val="00F34073"/>
    <w:rsid w:val="00F3495F"/>
    <w:rsid w:val="00F349DD"/>
    <w:rsid w:val="00F34DC0"/>
    <w:rsid w:val="00F3533B"/>
    <w:rsid w:val="00F35846"/>
    <w:rsid w:val="00F35B79"/>
    <w:rsid w:val="00F35E38"/>
    <w:rsid w:val="00F36395"/>
    <w:rsid w:val="00F363B7"/>
    <w:rsid w:val="00F36CC8"/>
    <w:rsid w:val="00F36F71"/>
    <w:rsid w:val="00F372F4"/>
    <w:rsid w:val="00F3734E"/>
    <w:rsid w:val="00F3745D"/>
    <w:rsid w:val="00F374C9"/>
    <w:rsid w:val="00F40835"/>
    <w:rsid w:val="00F40A27"/>
    <w:rsid w:val="00F40A65"/>
    <w:rsid w:val="00F41569"/>
    <w:rsid w:val="00F41813"/>
    <w:rsid w:val="00F41CB8"/>
    <w:rsid w:val="00F41D01"/>
    <w:rsid w:val="00F420E9"/>
    <w:rsid w:val="00F423AE"/>
    <w:rsid w:val="00F42581"/>
    <w:rsid w:val="00F42652"/>
    <w:rsid w:val="00F429A2"/>
    <w:rsid w:val="00F42AA1"/>
    <w:rsid w:val="00F42BCB"/>
    <w:rsid w:val="00F42F3B"/>
    <w:rsid w:val="00F435D4"/>
    <w:rsid w:val="00F43738"/>
    <w:rsid w:val="00F43770"/>
    <w:rsid w:val="00F43DC3"/>
    <w:rsid w:val="00F43DC8"/>
    <w:rsid w:val="00F43F99"/>
    <w:rsid w:val="00F4453A"/>
    <w:rsid w:val="00F44753"/>
    <w:rsid w:val="00F44874"/>
    <w:rsid w:val="00F4573C"/>
    <w:rsid w:val="00F45812"/>
    <w:rsid w:val="00F458C8"/>
    <w:rsid w:val="00F45906"/>
    <w:rsid w:val="00F45BE8"/>
    <w:rsid w:val="00F46E56"/>
    <w:rsid w:val="00F47775"/>
    <w:rsid w:val="00F47977"/>
    <w:rsid w:val="00F47985"/>
    <w:rsid w:val="00F47B23"/>
    <w:rsid w:val="00F505C3"/>
    <w:rsid w:val="00F5068B"/>
    <w:rsid w:val="00F50D61"/>
    <w:rsid w:val="00F50DF7"/>
    <w:rsid w:val="00F50E57"/>
    <w:rsid w:val="00F50EBD"/>
    <w:rsid w:val="00F51629"/>
    <w:rsid w:val="00F5191E"/>
    <w:rsid w:val="00F51B5B"/>
    <w:rsid w:val="00F51E24"/>
    <w:rsid w:val="00F5202E"/>
    <w:rsid w:val="00F524E1"/>
    <w:rsid w:val="00F52713"/>
    <w:rsid w:val="00F527AF"/>
    <w:rsid w:val="00F52AD8"/>
    <w:rsid w:val="00F53057"/>
    <w:rsid w:val="00F5336A"/>
    <w:rsid w:val="00F53498"/>
    <w:rsid w:val="00F53517"/>
    <w:rsid w:val="00F53D82"/>
    <w:rsid w:val="00F53EB3"/>
    <w:rsid w:val="00F548D4"/>
    <w:rsid w:val="00F54932"/>
    <w:rsid w:val="00F549A4"/>
    <w:rsid w:val="00F553BD"/>
    <w:rsid w:val="00F554CA"/>
    <w:rsid w:val="00F55558"/>
    <w:rsid w:val="00F55A0A"/>
    <w:rsid w:val="00F5603B"/>
    <w:rsid w:val="00F56838"/>
    <w:rsid w:val="00F5699B"/>
    <w:rsid w:val="00F569D4"/>
    <w:rsid w:val="00F56FFD"/>
    <w:rsid w:val="00F5766C"/>
    <w:rsid w:val="00F57998"/>
    <w:rsid w:val="00F60312"/>
    <w:rsid w:val="00F60991"/>
    <w:rsid w:val="00F60CBE"/>
    <w:rsid w:val="00F60D93"/>
    <w:rsid w:val="00F60DE1"/>
    <w:rsid w:val="00F60FB4"/>
    <w:rsid w:val="00F61494"/>
    <w:rsid w:val="00F6212C"/>
    <w:rsid w:val="00F6226C"/>
    <w:rsid w:val="00F62AD2"/>
    <w:rsid w:val="00F63013"/>
    <w:rsid w:val="00F631BE"/>
    <w:rsid w:val="00F632F0"/>
    <w:rsid w:val="00F63357"/>
    <w:rsid w:val="00F637B0"/>
    <w:rsid w:val="00F63ABC"/>
    <w:rsid w:val="00F63F3F"/>
    <w:rsid w:val="00F642F9"/>
    <w:rsid w:val="00F64AC8"/>
    <w:rsid w:val="00F64CFD"/>
    <w:rsid w:val="00F64E44"/>
    <w:rsid w:val="00F650AB"/>
    <w:rsid w:val="00F651B0"/>
    <w:rsid w:val="00F65A0C"/>
    <w:rsid w:val="00F65B9B"/>
    <w:rsid w:val="00F65F0F"/>
    <w:rsid w:val="00F666A9"/>
    <w:rsid w:val="00F672E1"/>
    <w:rsid w:val="00F67382"/>
    <w:rsid w:val="00F67541"/>
    <w:rsid w:val="00F677C0"/>
    <w:rsid w:val="00F67B01"/>
    <w:rsid w:val="00F67BF6"/>
    <w:rsid w:val="00F67DBE"/>
    <w:rsid w:val="00F67EA1"/>
    <w:rsid w:val="00F706CF"/>
    <w:rsid w:val="00F7178D"/>
    <w:rsid w:val="00F71A7D"/>
    <w:rsid w:val="00F71B19"/>
    <w:rsid w:val="00F71BF7"/>
    <w:rsid w:val="00F71E53"/>
    <w:rsid w:val="00F72030"/>
    <w:rsid w:val="00F7239F"/>
    <w:rsid w:val="00F72711"/>
    <w:rsid w:val="00F72B1E"/>
    <w:rsid w:val="00F72CE2"/>
    <w:rsid w:val="00F72D3F"/>
    <w:rsid w:val="00F73235"/>
    <w:rsid w:val="00F73752"/>
    <w:rsid w:val="00F73D98"/>
    <w:rsid w:val="00F73EDB"/>
    <w:rsid w:val="00F74474"/>
    <w:rsid w:val="00F746C1"/>
    <w:rsid w:val="00F74862"/>
    <w:rsid w:val="00F74A82"/>
    <w:rsid w:val="00F74C68"/>
    <w:rsid w:val="00F74FF3"/>
    <w:rsid w:val="00F758EF"/>
    <w:rsid w:val="00F75A40"/>
    <w:rsid w:val="00F75BDA"/>
    <w:rsid w:val="00F75DD9"/>
    <w:rsid w:val="00F76555"/>
    <w:rsid w:val="00F76B12"/>
    <w:rsid w:val="00F76B73"/>
    <w:rsid w:val="00F76D2B"/>
    <w:rsid w:val="00F76F91"/>
    <w:rsid w:val="00F770CE"/>
    <w:rsid w:val="00F80204"/>
    <w:rsid w:val="00F8081B"/>
    <w:rsid w:val="00F809D9"/>
    <w:rsid w:val="00F80AB9"/>
    <w:rsid w:val="00F80D9A"/>
    <w:rsid w:val="00F80E6E"/>
    <w:rsid w:val="00F8116A"/>
    <w:rsid w:val="00F81297"/>
    <w:rsid w:val="00F815AC"/>
    <w:rsid w:val="00F81617"/>
    <w:rsid w:val="00F81620"/>
    <w:rsid w:val="00F81BCB"/>
    <w:rsid w:val="00F81FC7"/>
    <w:rsid w:val="00F82411"/>
    <w:rsid w:val="00F830E9"/>
    <w:rsid w:val="00F833E3"/>
    <w:rsid w:val="00F833FE"/>
    <w:rsid w:val="00F83CC1"/>
    <w:rsid w:val="00F83E85"/>
    <w:rsid w:val="00F8423B"/>
    <w:rsid w:val="00F84796"/>
    <w:rsid w:val="00F85943"/>
    <w:rsid w:val="00F86091"/>
    <w:rsid w:val="00F861B1"/>
    <w:rsid w:val="00F86474"/>
    <w:rsid w:val="00F86AF4"/>
    <w:rsid w:val="00F86BA2"/>
    <w:rsid w:val="00F86CC4"/>
    <w:rsid w:val="00F906DB"/>
    <w:rsid w:val="00F9076A"/>
    <w:rsid w:val="00F907C6"/>
    <w:rsid w:val="00F907F5"/>
    <w:rsid w:val="00F90894"/>
    <w:rsid w:val="00F90C42"/>
    <w:rsid w:val="00F91568"/>
    <w:rsid w:val="00F9218D"/>
    <w:rsid w:val="00F93090"/>
    <w:rsid w:val="00F9342B"/>
    <w:rsid w:val="00F93E9A"/>
    <w:rsid w:val="00F9458C"/>
    <w:rsid w:val="00F945A8"/>
    <w:rsid w:val="00F945F9"/>
    <w:rsid w:val="00F949D3"/>
    <w:rsid w:val="00F94C73"/>
    <w:rsid w:val="00F94FD9"/>
    <w:rsid w:val="00F95194"/>
    <w:rsid w:val="00F951C2"/>
    <w:rsid w:val="00F952D2"/>
    <w:rsid w:val="00F956A0"/>
    <w:rsid w:val="00F95CC3"/>
    <w:rsid w:val="00F965C2"/>
    <w:rsid w:val="00F9667C"/>
    <w:rsid w:val="00F9686D"/>
    <w:rsid w:val="00F96B01"/>
    <w:rsid w:val="00F97588"/>
    <w:rsid w:val="00F975A6"/>
    <w:rsid w:val="00F977DE"/>
    <w:rsid w:val="00F97836"/>
    <w:rsid w:val="00F97CF3"/>
    <w:rsid w:val="00FA05FF"/>
    <w:rsid w:val="00FA077F"/>
    <w:rsid w:val="00FA09C2"/>
    <w:rsid w:val="00FA0E9A"/>
    <w:rsid w:val="00FA116B"/>
    <w:rsid w:val="00FA1711"/>
    <w:rsid w:val="00FA1816"/>
    <w:rsid w:val="00FA1967"/>
    <w:rsid w:val="00FA26A9"/>
    <w:rsid w:val="00FA282C"/>
    <w:rsid w:val="00FA2A62"/>
    <w:rsid w:val="00FA2B5D"/>
    <w:rsid w:val="00FA2E81"/>
    <w:rsid w:val="00FA2F7B"/>
    <w:rsid w:val="00FA3905"/>
    <w:rsid w:val="00FA419F"/>
    <w:rsid w:val="00FA41E2"/>
    <w:rsid w:val="00FA47A4"/>
    <w:rsid w:val="00FA47C5"/>
    <w:rsid w:val="00FA4EAE"/>
    <w:rsid w:val="00FA5027"/>
    <w:rsid w:val="00FA5324"/>
    <w:rsid w:val="00FA5471"/>
    <w:rsid w:val="00FA57C1"/>
    <w:rsid w:val="00FA5E02"/>
    <w:rsid w:val="00FA61D9"/>
    <w:rsid w:val="00FA66D2"/>
    <w:rsid w:val="00FA6C8A"/>
    <w:rsid w:val="00FA6FD4"/>
    <w:rsid w:val="00FA7261"/>
    <w:rsid w:val="00FA726D"/>
    <w:rsid w:val="00FA728D"/>
    <w:rsid w:val="00FA72A6"/>
    <w:rsid w:val="00FA7391"/>
    <w:rsid w:val="00FA77AD"/>
    <w:rsid w:val="00FA7884"/>
    <w:rsid w:val="00FB0242"/>
    <w:rsid w:val="00FB07F8"/>
    <w:rsid w:val="00FB0E20"/>
    <w:rsid w:val="00FB10B7"/>
    <w:rsid w:val="00FB1417"/>
    <w:rsid w:val="00FB2258"/>
    <w:rsid w:val="00FB28FE"/>
    <w:rsid w:val="00FB2C19"/>
    <w:rsid w:val="00FB355E"/>
    <w:rsid w:val="00FB39EE"/>
    <w:rsid w:val="00FB3A1B"/>
    <w:rsid w:val="00FB42D5"/>
    <w:rsid w:val="00FB4CB4"/>
    <w:rsid w:val="00FB4D1E"/>
    <w:rsid w:val="00FB5A09"/>
    <w:rsid w:val="00FB5C2D"/>
    <w:rsid w:val="00FB5DB5"/>
    <w:rsid w:val="00FB5E1A"/>
    <w:rsid w:val="00FB64DD"/>
    <w:rsid w:val="00FB7092"/>
    <w:rsid w:val="00FB71EF"/>
    <w:rsid w:val="00FB7651"/>
    <w:rsid w:val="00FB771C"/>
    <w:rsid w:val="00FB7991"/>
    <w:rsid w:val="00FB7A03"/>
    <w:rsid w:val="00FB7DE0"/>
    <w:rsid w:val="00FB7F54"/>
    <w:rsid w:val="00FC025D"/>
    <w:rsid w:val="00FC038A"/>
    <w:rsid w:val="00FC03CF"/>
    <w:rsid w:val="00FC0556"/>
    <w:rsid w:val="00FC0AC8"/>
    <w:rsid w:val="00FC1852"/>
    <w:rsid w:val="00FC18F7"/>
    <w:rsid w:val="00FC1F68"/>
    <w:rsid w:val="00FC2094"/>
    <w:rsid w:val="00FC2463"/>
    <w:rsid w:val="00FC262B"/>
    <w:rsid w:val="00FC2823"/>
    <w:rsid w:val="00FC2993"/>
    <w:rsid w:val="00FC3158"/>
    <w:rsid w:val="00FC346D"/>
    <w:rsid w:val="00FC35A9"/>
    <w:rsid w:val="00FC3992"/>
    <w:rsid w:val="00FC3C98"/>
    <w:rsid w:val="00FC42C2"/>
    <w:rsid w:val="00FC476D"/>
    <w:rsid w:val="00FC4A53"/>
    <w:rsid w:val="00FC4AF1"/>
    <w:rsid w:val="00FC4D18"/>
    <w:rsid w:val="00FC4DFB"/>
    <w:rsid w:val="00FC5621"/>
    <w:rsid w:val="00FC566B"/>
    <w:rsid w:val="00FC5916"/>
    <w:rsid w:val="00FC5FE7"/>
    <w:rsid w:val="00FC62C9"/>
    <w:rsid w:val="00FC6387"/>
    <w:rsid w:val="00FC7B96"/>
    <w:rsid w:val="00FD016E"/>
    <w:rsid w:val="00FD0AF9"/>
    <w:rsid w:val="00FD0E6B"/>
    <w:rsid w:val="00FD0F5E"/>
    <w:rsid w:val="00FD0F84"/>
    <w:rsid w:val="00FD14F9"/>
    <w:rsid w:val="00FD1B92"/>
    <w:rsid w:val="00FD1F09"/>
    <w:rsid w:val="00FD285A"/>
    <w:rsid w:val="00FD2EEF"/>
    <w:rsid w:val="00FD35BB"/>
    <w:rsid w:val="00FD3AA3"/>
    <w:rsid w:val="00FD3C32"/>
    <w:rsid w:val="00FD3C88"/>
    <w:rsid w:val="00FD4613"/>
    <w:rsid w:val="00FD46DB"/>
    <w:rsid w:val="00FD4837"/>
    <w:rsid w:val="00FD4C62"/>
    <w:rsid w:val="00FD4CE1"/>
    <w:rsid w:val="00FD4D66"/>
    <w:rsid w:val="00FD4EA0"/>
    <w:rsid w:val="00FD5010"/>
    <w:rsid w:val="00FD5073"/>
    <w:rsid w:val="00FD514D"/>
    <w:rsid w:val="00FD55DA"/>
    <w:rsid w:val="00FD5741"/>
    <w:rsid w:val="00FD59ED"/>
    <w:rsid w:val="00FD64D3"/>
    <w:rsid w:val="00FD66BB"/>
    <w:rsid w:val="00FD69C2"/>
    <w:rsid w:val="00FD73CD"/>
    <w:rsid w:val="00FD7A82"/>
    <w:rsid w:val="00FD7CC6"/>
    <w:rsid w:val="00FD7DC9"/>
    <w:rsid w:val="00FD7F47"/>
    <w:rsid w:val="00FE0054"/>
    <w:rsid w:val="00FE00FD"/>
    <w:rsid w:val="00FE07FF"/>
    <w:rsid w:val="00FE10C8"/>
    <w:rsid w:val="00FE12E1"/>
    <w:rsid w:val="00FE12F6"/>
    <w:rsid w:val="00FE216A"/>
    <w:rsid w:val="00FE23F2"/>
    <w:rsid w:val="00FE2559"/>
    <w:rsid w:val="00FE2AAC"/>
    <w:rsid w:val="00FE2B09"/>
    <w:rsid w:val="00FE2DB1"/>
    <w:rsid w:val="00FE302F"/>
    <w:rsid w:val="00FE42AC"/>
    <w:rsid w:val="00FE4364"/>
    <w:rsid w:val="00FE4631"/>
    <w:rsid w:val="00FE4A35"/>
    <w:rsid w:val="00FE4A50"/>
    <w:rsid w:val="00FE4C09"/>
    <w:rsid w:val="00FE56E3"/>
    <w:rsid w:val="00FE5CBF"/>
    <w:rsid w:val="00FE6060"/>
    <w:rsid w:val="00FE654A"/>
    <w:rsid w:val="00FE6709"/>
    <w:rsid w:val="00FE6E6D"/>
    <w:rsid w:val="00FE6FB7"/>
    <w:rsid w:val="00FE75AC"/>
    <w:rsid w:val="00FE7E02"/>
    <w:rsid w:val="00FF06AD"/>
    <w:rsid w:val="00FF10D5"/>
    <w:rsid w:val="00FF10DC"/>
    <w:rsid w:val="00FF117E"/>
    <w:rsid w:val="00FF1C44"/>
    <w:rsid w:val="00FF1C5C"/>
    <w:rsid w:val="00FF2200"/>
    <w:rsid w:val="00FF25B8"/>
    <w:rsid w:val="00FF2682"/>
    <w:rsid w:val="00FF26D1"/>
    <w:rsid w:val="00FF2C2D"/>
    <w:rsid w:val="00FF2FCF"/>
    <w:rsid w:val="00FF3673"/>
    <w:rsid w:val="00FF37AA"/>
    <w:rsid w:val="00FF3E89"/>
    <w:rsid w:val="00FF44D7"/>
    <w:rsid w:val="00FF46BB"/>
    <w:rsid w:val="00FF489F"/>
    <w:rsid w:val="00FF4E32"/>
    <w:rsid w:val="00FF5292"/>
    <w:rsid w:val="00FF5609"/>
    <w:rsid w:val="00FF6854"/>
    <w:rsid w:val="00FF7691"/>
    <w:rsid w:val="00FF76B3"/>
    <w:rsid w:val="00FF78FC"/>
    <w:rsid w:val="00FF7DF1"/>
    <w:rsid w:val="0116DF8F"/>
    <w:rsid w:val="011AFACA"/>
    <w:rsid w:val="012DB0B3"/>
    <w:rsid w:val="0144E290"/>
    <w:rsid w:val="015915A4"/>
    <w:rsid w:val="016B2FBF"/>
    <w:rsid w:val="017505D8"/>
    <w:rsid w:val="0176C99C"/>
    <w:rsid w:val="017C8E38"/>
    <w:rsid w:val="018BC2AF"/>
    <w:rsid w:val="01A41861"/>
    <w:rsid w:val="01B3E883"/>
    <w:rsid w:val="01BFA5EB"/>
    <w:rsid w:val="01DC9670"/>
    <w:rsid w:val="01E44EC6"/>
    <w:rsid w:val="01FDEC39"/>
    <w:rsid w:val="0210A93D"/>
    <w:rsid w:val="0212EF75"/>
    <w:rsid w:val="024BAB93"/>
    <w:rsid w:val="0264B780"/>
    <w:rsid w:val="02753A63"/>
    <w:rsid w:val="02755A38"/>
    <w:rsid w:val="0279A2F6"/>
    <w:rsid w:val="029EDC8F"/>
    <w:rsid w:val="02A2019E"/>
    <w:rsid w:val="02CFF236"/>
    <w:rsid w:val="02DC6B1B"/>
    <w:rsid w:val="02DD4093"/>
    <w:rsid w:val="02DDBFCE"/>
    <w:rsid w:val="0321D67F"/>
    <w:rsid w:val="032909E6"/>
    <w:rsid w:val="034E930C"/>
    <w:rsid w:val="03514315"/>
    <w:rsid w:val="0371CEF1"/>
    <w:rsid w:val="037AEE6D"/>
    <w:rsid w:val="037B9451"/>
    <w:rsid w:val="038BA807"/>
    <w:rsid w:val="03994501"/>
    <w:rsid w:val="03B83F1F"/>
    <w:rsid w:val="03E77794"/>
    <w:rsid w:val="03F0F93B"/>
    <w:rsid w:val="03F805F6"/>
    <w:rsid w:val="0427DD82"/>
    <w:rsid w:val="04321755"/>
    <w:rsid w:val="0449026E"/>
    <w:rsid w:val="04574BD0"/>
    <w:rsid w:val="045D718E"/>
    <w:rsid w:val="046F2D63"/>
    <w:rsid w:val="04709371"/>
    <w:rsid w:val="04710B34"/>
    <w:rsid w:val="04715A25"/>
    <w:rsid w:val="0472CC15"/>
    <w:rsid w:val="04797B6C"/>
    <w:rsid w:val="048458B2"/>
    <w:rsid w:val="04A5739A"/>
    <w:rsid w:val="04D47B9B"/>
    <w:rsid w:val="0525FF8E"/>
    <w:rsid w:val="052C051C"/>
    <w:rsid w:val="055285B6"/>
    <w:rsid w:val="0560D7CE"/>
    <w:rsid w:val="05611E91"/>
    <w:rsid w:val="0587589C"/>
    <w:rsid w:val="0589BCB5"/>
    <w:rsid w:val="05943109"/>
    <w:rsid w:val="0595CA46"/>
    <w:rsid w:val="05AF09F6"/>
    <w:rsid w:val="05B1DAAC"/>
    <w:rsid w:val="05D0F7DB"/>
    <w:rsid w:val="05D347C2"/>
    <w:rsid w:val="05E19452"/>
    <w:rsid w:val="05E4CD34"/>
    <w:rsid w:val="05F108A7"/>
    <w:rsid w:val="05F6F82C"/>
    <w:rsid w:val="060BBEAD"/>
    <w:rsid w:val="060C7D2D"/>
    <w:rsid w:val="0612C2B3"/>
    <w:rsid w:val="06396D50"/>
    <w:rsid w:val="0649306A"/>
    <w:rsid w:val="064EC51F"/>
    <w:rsid w:val="06590DD5"/>
    <w:rsid w:val="067E83DD"/>
    <w:rsid w:val="068F0C92"/>
    <w:rsid w:val="068F11F7"/>
    <w:rsid w:val="068FE218"/>
    <w:rsid w:val="0691FB87"/>
    <w:rsid w:val="06ACFF49"/>
    <w:rsid w:val="06B09C08"/>
    <w:rsid w:val="06C76A3E"/>
    <w:rsid w:val="06E01E82"/>
    <w:rsid w:val="06F7D8A0"/>
    <w:rsid w:val="07457F28"/>
    <w:rsid w:val="0774BC61"/>
    <w:rsid w:val="07758856"/>
    <w:rsid w:val="077EDFEA"/>
    <w:rsid w:val="078A26D0"/>
    <w:rsid w:val="0795C27D"/>
    <w:rsid w:val="079A2CA4"/>
    <w:rsid w:val="079DABAB"/>
    <w:rsid w:val="07A00ADC"/>
    <w:rsid w:val="07A92B38"/>
    <w:rsid w:val="07B99E4A"/>
    <w:rsid w:val="0806CC04"/>
    <w:rsid w:val="080D15A3"/>
    <w:rsid w:val="08139C6B"/>
    <w:rsid w:val="0814FA2D"/>
    <w:rsid w:val="0828DD09"/>
    <w:rsid w:val="083EDE57"/>
    <w:rsid w:val="08532E35"/>
    <w:rsid w:val="08600806"/>
    <w:rsid w:val="08746A52"/>
    <w:rsid w:val="087A48FC"/>
    <w:rsid w:val="089450AE"/>
    <w:rsid w:val="08BA7F30"/>
    <w:rsid w:val="08C6758F"/>
    <w:rsid w:val="08CECE43"/>
    <w:rsid w:val="08DCAD4A"/>
    <w:rsid w:val="08F5C453"/>
    <w:rsid w:val="08F9798F"/>
    <w:rsid w:val="0902AA62"/>
    <w:rsid w:val="0921FFFD"/>
    <w:rsid w:val="093176B3"/>
    <w:rsid w:val="093FBA6C"/>
    <w:rsid w:val="0944A766"/>
    <w:rsid w:val="09696FF9"/>
    <w:rsid w:val="098CA2C2"/>
    <w:rsid w:val="09AFCAEB"/>
    <w:rsid w:val="09DF150C"/>
    <w:rsid w:val="09E9CD32"/>
    <w:rsid w:val="09F6752B"/>
    <w:rsid w:val="09F6E17A"/>
    <w:rsid w:val="0A027DE7"/>
    <w:rsid w:val="0A028983"/>
    <w:rsid w:val="0A1EC7AD"/>
    <w:rsid w:val="0A2AF245"/>
    <w:rsid w:val="0A386A37"/>
    <w:rsid w:val="0A3F6708"/>
    <w:rsid w:val="0A558CF2"/>
    <w:rsid w:val="0A582E90"/>
    <w:rsid w:val="0A5F8C95"/>
    <w:rsid w:val="0A7A1068"/>
    <w:rsid w:val="0A804074"/>
    <w:rsid w:val="0A935D0A"/>
    <w:rsid w:val="0AD32164"/>
    <w:rsid w:val="0ADC23E3"/>
    <w:rsid w:val="0AE39168"/>
    <w:rsid w:val="0B072219"/>
    <w:rsid w:val="0B09087A"/>
    <w:rsid w:val="0B0D9F3C"/>
    <w:rsid w:val="0B137404"/>
    <w:rsid w:val="0B244CF7"/>
    <w:rsid w:val="0B280C94"/>
    <w:rsid w:val="0B29ABAA"/>
    <w:rsid w:val="0B5798C3"/>
    <w:rsid w:val="0B57D4B9"/>
    <w:rsid w:val="0B59898F"/>
    <w:rsid w:val="0B59FA2D"/>
    <w:rsid w:val="0B91B1E8"/>
    <w:rsid w:val="0B9407B1"/>
    <w:rsid w:val="0B964C60"/>
    <w:rsid w:val="0B972172"/>
    <w:rsid w:val="0BAA250D"/>
    <w:rsid w:val="0BB18E0B"/>
    <w:rsid w:val="0BC81B79"/>
    <w:rsid w:val="0BC82ADD"/>
    <w:rsid w:val="0BDA4825"/>
    <w:rsid w:val="0BE3008F"/>
    <w:rsid w:val="0BF4EFE2"/>
    <w:rsid w:val="0BF50080"/>
    <w:rsid w:val="0C0567C9"/>
    <w:rsid w:val="0C0EBABE"/>
    <w:rsid w:val="0C16242F"/>
    <w:rsid w:val="0C22392D"/>
    <w:rsid w:val="0C229A14"/>
    <w:rsid w:val="0C2C394D"/>
    <w:rsid w:val="0C425F5B"/>
    <w:rsid w:val="0C539F3C"/>
    <w:rsid w:val="0C6E1D8E"/>
    <w:rsid w:val="0C6ED488"/>
    <w:rsid w:val="0C77E444"/>
    <w:rsid w:val="0C7B24C8"/>
    <w:rsid w:val="0C9DD0C5"/>
    <w:rsid w:val="0CB02E65"/>
    <w:rsid w:val="0CBB4F57"/>
    <w:rsid w:val="0CD97677"/>
    <w:rsid w:val="0CF232EA"/>
    <w:rsid w:val="0CF40EF8"/>
    <w:rsid w:val="0D0F85FC"/>
    <w:rsid w:val="0D34ED4A"/>
    <w:rsid w:val="0D448CE2"/>
    <w:rsid w:val="0D455CEC"/>
    <w:rsid w:val="0D68B955"/>
    <w:rsid w:val="0D8D21F9"/>
    <w:rsid w:val="0DB6C7F6"/>
    <w:rsid w:val="0DC50B3E"/>
    <w:rsid w:val="0DC6D8CA"/>
    <w:rsid w:val="0DCAC561"/>
    <w:rsid w:val="0DCEE9B5"/>
    <w:rsid w:val="0DDA1845"/>
    <w:rsid w:val="0DE150D1"/>
    <w:rsid w:val="0DFA189E"/>
    <w:rsid w:val="0E05C677"/>
    <w:rsid w:val="0E20AFC5"/>
    <w:rsid w:val="0E2CABEF"/>
    <w:rsid w:val="0E342408"/>
    <w:rsid w:val="0E36CCC4"/>
    <w:rsid w:val="0E52E8AF"/>
    <w:rsid w:val="0E6A1B5B"/>
    <w:rsid w:val="0E758474"/>
    <w:rsid w:val="0E7A059C"/>
    <w:rsid w:val="0E82C9AD"/>
    <w:rsid w:val="0E899331"/>
    <w:rsid w:val="0E9A6215"/>
    <w:rsid w:val="0EA47988"/>
    <w:rsid w:val="0EB0F7D3"/>
    <w:rsid w:val="0EB84044"/>
    <w:rsid w:val="0EC4EF40"/>
    <w:rsid w:val="0EE3F0C1"/>
    <w:rsid w:val="0EEB5316"/>
    <w:rsid w:val="0EFFA03B"/>
    <w:rsid w:val="0F070097"/>
    <w:rsid w:val="0F16EC14"/>
    <w:rsid w:val="0F6B5054"/>
    <w:rsid w:val="0F7A71EC"/>
    <w:rsid w:val="0FB0817E"/>
    <w:rsid w:val="0FB55C07"/>
    <w:rsid w:val="0FCD0B4B"/>
    <w:rsid w:val="0FDBE383"/>
    <w:rsid w:val="0FF0580E"/>
    <w:rsid w:val="0FF7354B"/>
    <w:rsid w:val="0FFCB48B"/>
    <w:rsid w:val="100E8279"/>
    <w:rsid w:val="10121142"/>
    <w:rsid w:val="101BC930"/>
    <w:rsid w:val="10369A6A"/>
    <w:rsid w:val="104D80EF"/>
    <w:rsid w:val="105564E2"/>
    <w:rsid w:val="10566D27"/>
    <w:rsid w:val="1072BB8B"/>
    <w:rsid w:val="1084D94F"/>
    <w:rsid w:val="10A3C927"/>
    <w:rsid w:val="10C13D75"/>
    <w:rsid w:val="10CAF92D"/>
    <w:rsid w:val="10F07DD3"/>
    <w:rsid w:val="10F77C5F"/>
    <w:rsid w:val="10FDFAB3"/>
    <w:rsid w:val="111F51E9"/>
    <w:rsid w:val="115AF0C9"/>
    <w:rsid w:val="11626722"/>
    <w:rsid w:val="1164B97C"/>
    <w:rsid w:val="116DB1EF"/>
    <w:rsid w:val="11861EE6"/>
    <w:rsid w:val="11940FB2"/>
    <w:rsid w:val="119BB75B"/>
    <w:rsid w:val="119C08A1"/>
    <w:rsid w:val="11A0D994"/>
    <w:rsid w:val="11AB950E"/>
    <w:rsid w:val="11C417DE"/>
    <w:rsid w:val="11EBFC94"/>
    <w:rsid w:val="11F21CD6"/>
    <w:rsid w:val="120EE068"/>
    <w:rsid w:val="121FCBA3"/>
    <w:rsid w:val="122CBAE9"/>
    <w:rsid w:val="12349705"/>
    <w:rsid w:val="123A9755"/>
    <w:rsid w:val="12474314"/>
    <w:rsid w:val="124C9705"/>
    <w:rsid w:val="124EFA5E"/>
    <w:rsid w:val="127F6195"/>
    <w:rsid w:val="1296A6F8"/>
    <w:rsid w:val="12A3C6C6"/>
    <w:rsid w:val="12B03608"/>
    <w:rsid w:val="12B65CAB"/>
    <w:rsid w:val="12BE403C"/>
    <w:rsid w:val="12C0DB02"/>
    <w:rsid w:val="12C7D4C1"/>
    <w:rsid w:val="12D33664"/>
    <w:rsid w:val="12DE49A9"/>
    <w:rsid w:val="1305A21A"/>
    <w:rsid w:val="131896A8"/>
    <w:rsid w:val="131D0A86"/>
    <w:rsid w:val="131FFCB2"/>
    <w:rsid w:val="13240749"/>
    <w:rsid w:val="134A555D"/>
    <w:rsid w:val="134A7537"/>
    <w:rsid w:val="134E7736"/>
    <w:rsid w:val="13578CA2"/>
    <w:rsid w:val="135AE52E"/>
    <w:rsid w:val="136C196A"/>
    <w:rsid w:val="1396E953"/>
    <w:rsid w:val="13C7A30F"/>
    <w:rsid w:val="13D8B00E"/>
    <w:rsid w:val="13DEF93E"/>
    <w:rsid w:val="13E53EC8"/>
    <w:rsid w:val="14026521"/>
    <w:rsid w:val="1406CB56"/>
    <w:rsid w:val="140AEA97"/>
    <w:rsid w:val="1430E307"/>
    <w:rsid w:val="145B7849"/>
    <w:rsid w:val="145F50D4"/>
    <w:rsid w:val="146845DC"/>
    <w:rsid w:val="1471366D"/>
    <w:rsid w:val="147E9DAF"/>
    <w:rsid w:val="14A9977F"/>
    <w:rsid w:val="14B4CBB5"/>
    <w:rsid w:val="14B9E83D"/>
    <w:rsid w:val="14BEF316"/>
    <w:rsid w:val="14CB23FE"/>
    <w:rsid w:val="14DECA7B"/>
    <w:rsid w:val="15006B55"/>
    <w:rsid w:val="150EBD0B"/>
    <w:rsid w:val="1519925A"/>
    <w:rsid w:val="1519B909"/>
    <w:rsid w:val="1525175B"/>
    <w:rsid w:val="152805A2"/>
    <w:rsid w:val="152F2FE4"/>
    <w:rsid w:val="153AD900"/>
    <w:rsid w:val="1541B90B"/>
    <w:rsid w:val="15485DF9"/>
    <w:rsid w:val="1552505A"/>
    <w:rsid w:val="1585EC77"/>
    <w:rsid w:val="15D1E5FF"/>
    <w:rsid w:val="15D65BA0"/>
    <w:rsid w:val="15D90F29"/>
    <w:rsid w:val="15F30B35"/>
    <w:rsid w:val="1602334A"/>
    <w:rsid w:val="161346BE"/>
    <w:rsid w:val="161E6E3F"/>
    <w:rsid w:val="16277B6E"/>
    <w:rsid w:val="1631CEFC"/>
    <w:rsid w:val="1636E6E7"/>
    <w:rsid w:val="164591C6"/>
    <w:rsid w:val="168BB402"/>
    <w:rsid w:val="16908FC8"/>
    <w:rsid w:val="16918315"/>
    <w:rsid w:val="1694A981"/>
    <w:rsid w:val="169E985C"/>
    <w:rsid w:val="16D469D8"/>
    <w:rsid w:val="16D94B9E"/>
    <w:rsid w:val="16DCC9A7"/>
    <w:rsid w:val="16E096D3"/>
    <w:rsid w:val="16E66329"/>
    <w:rsid w:val="16ED305B"/>
    <w:rsid w:val="16ED80E3"/>
    <w:rsid w:val="16F3FC0F"/>
    <w:rsid w:val="16F8BA9D"/>
    <w:rsid w:val="1717CD8A"/>
    <w:rsid w:val="1725D5D9"/>
    <w:rsid w:val="1729F3B9"/>
    <w:rsid w:val="172EA621"/>
    <w:rsid w:val="17306502"/>
    <w:rsid w:val="1736D59C"/>
    <w:rsid w:val="17377F73"/>
    <w:rsid w:val="17421BE8"/>
    <w:rsid w:val="17759B32"/>
    <w:rsid w:val="17783B78"/>
    <w:rsid w:val="17A6B03A"/>
    <w:rsid w:val="17AB40E4"/>
    <w:rsid w:val="17C4BD87"/>
    <w:rsid w:val="17C9A5FC"/>
    <w:rsid w:val="17CD989C"/>
    <w:rsid w:val="17DA8CEE"/>
    <w:rsid w:val="17DB5689"/>
    <w:rsid w:val="180021D3"/>
    <w:rsid w:val="183488C5"/>
    <w:rsid w:val="18423A9E"/>
    <w:rsid w:val="184919EE"/>
    <w:rsid w:val="185443F5"/>
    <w:rsid w:val="18839FF1"/>
    <w:rsid w:val="1890772C"/>
    <w:rsid w:val="1896EEB3"/>
    <w:rsid w:val="1899FC1A"/>
    <w:rsid w:val="18AAA7BA"/>
    <w:rsid w:val="18C8CE89"/>
    <w:rsid w:val="192857BB"/>
    <w:rsid w:val="192883E1"/>
    <w:rsid w:val="19585941"/>
    <w:rsid w:val="197489E5"/>
    <w:rsid w:val="1990DCF6"/>
    <w:rsid w:val="19A3D49E"/>
    <w:rsid w:val="19AC83F1"/>
    <w:rsid w:val="19C0BA26"/>
    <w:rsid w:val="19F0AFD2"/>
    <w:rsid w:val="19F58BFE"/>
    <w:rsid w:val="19FCC22B"/>
    <w:rsid w:val="1A08C612"/>
    <w:rsid w:val="1A253DD9"/>
    <w:rsid w:val="1A2C36C6"/>
    <w:rsid w:val="1A4A50CF"/>
    <w:rsid w:val="1A5E47A0"/>
    <w:rsid w:val="1A661246"/>
    <w:rsid w:val="1A6BBA40"/>
    <w:rsid w:val="1A8FADF4"/>
    <w:rsid w:val="1AA38283"/>
    <w:rsid w:val="1AA4D0F1"/>
    <w:rsid w:val="1AC59613"/>
    <w:rsid w:val="1AC61476"/>
    <w:rsid w:val="1AD6B70E"/>
    <w:rsid w:val="1AE9772C"/>
    <w:rsid w:val="1B2ED2BE"/>
    <w:rsid w:val="1B45AF1A"/>
    <w:rsid w:val="1B82AFAD"/>
    <w:rsid w:val="1B85FAF5"/>
    <w:rsid w:val="1B8D374D"/>
    <w:rsid w:val="1B90D91C"/>
    <w:rsid w:val="1B97B547"/>
    <w:rsid w:val="1B9CBCD4"/>
    <w:rsid w:val="1BC130A3"/>
    <w:rsid w:val="1BD65F6F"/>
    <w:rsid w:val="1BE4DB60"/>
    <w:rsid w:val="1BE5658C"/>
    <w:rsid w:val="1BEB6525"/>
    <w:rsid w:val="1BF98D32"/>
    <w:rsid w:val="1C0137AD"/>
    <w:rsid w:val="1C07D1D1"/>
    <w:rsid w:val="1C0E8257"/>
    <w:rsid w:val="1C14D439"/>
    <w:rsid w:val="1C1934DF"/>
    <w:rsid w:val="1C1FCA01"/>
    <w:rsid w:val="1C231DFE"/>
    <w:rsid w:val="1C26B70E"/>
    <w:rsid w:val="1C8ACF90"/>
    <w:rsid w:val="1C91D028"/>
    <w:rsid w:val="1CB4F5D8"/>
    <w:rsid w:val="1CE9F071"/>
    <w:rsid w:val="1CF23E12"/>
    <w:rsid w:val="1CF5247F"/>
    <w:rsid w:val="1D13A7D7"/>
    <w:rsid w:val="1D2B2DF2"/>
    <w:rsid w:val="1D346104"/>
    <w:rsid w:val="1D45458B"/>
    <w:rsid w:val="1D4B079E"/>
    <w:rsid w:val="1D569790"/>
    <w:rsid w:val="1D7FB8A1"/>
    <w:rsid w:val="1D80F63B"/>
    <w:rsid w:val="1DA5D042"/>
    <w:rsid w:val="1DAEDAF4"/>
    <w:rsid w:val="1DB673B2"/>
    <w:rsid w:val="1DB92C73"/>
    <w:rsid w:val="1DD00A60"/>
    <w:rsid w:val="1DE3284A"/>
    <w:rsid w:val="1DFF1280"/>
    <w:rsid w:val="1E0E3E00"/>
    <w:rsid w:val="1E2DF2D7"/>
    <w:rsid w:val="1E3722B0"/>
    <w:rsid w:val="1E3D933D"/>
    <w:rsid w:val="1E4BB19E"/>
    <w:rsid w:val="1E4FA891"/>
    <w:rsid w:val="1E5126A8"/>
    <w:rsid w:val="1E7366C5"/>
    <w:rsid w:val="1E74998B"/>
    <w:rsid w:val="1E816668"/>
    <w:rsid w:val="1E86C022"/>
    <w:rsid w:val="1E9186FA"/>
    <w:rsid w:val="1EA1A30C"/>
    <w:rsid w:val="1EAB5D32"/>
    <w:rsid w:val="1EC30551"/>
    <w:rsid w:val="1ED07E74"/>
    <w:rsid w:val="1EDBC5C0"/>
    <w:rsid w:val="1EDCA500"/>
    <w:rsid w:val="1EE4F9C6"/>
    <w:rsid w:val="1EE99A79"/>
    <w:rsid w:val="1EEDBDCC"/>
    <w:rsid w:val="1EF4C289"/>
    <w:rsid w:val="1EF528C6"/>
    <w:rsid w:val="1EFE9ED3"/>
    <w:rsid w:val="1F12774E"/>
    <w:rsid w:val="1F13BE33"/>
    <w:rsid w:val="1F1D774F"/>
    <w:rsid w:val="1F2A9F2F"/>
    <w:rsid w:val="1F3129D4"/>
    <w:rsid w:val="1F32770F"/>
    <w:rsid w:val="1F52D45B"/>
    <w:rsid w:val="1F667B4B"/>
    <w:rsid w:val="1F66C717"/>
    <w:rsid w:val="1F6CDF30"/>
    <w:rsid w:val="1F73188F"/>
    <w:rsid w:val="1F83C6EA"/>
    <w:rsid w:val="1FBB3E23"/>
    <w:rsid w:val="1FC0615B"/>
    <w:rsid w:val="1FC2134E"/>
    <w:rsid w:val="1FD45429"/>
    <w:rsid w:val="1FDF0F01"/>
    <w:rsid w:val="1FE73CF1"/>
    <w:rsid w:val="1FED9B35"/>
    <w:rsid w:val="1FF6EC81"/>
    <w:rsid w:val="200CD825"/>
    <w:rsid w:val="203A9D2C"/>
    <w:rsid w:val="2046800D"/>
    <w:rsid w:val="207CFD18"/>
    <w:rsid w:val="2088AF1B"/>
    <w:rsid w:val="2094F6DF"/>
    <w:rsid w:val="2098AEEE"/>
    <w:rsid w:val="20A4D1DB"/>
    <w:rsid w:val="20AEDFC2"/>
    <w:rsid w:val="20D4B241"/>
    <w:rsid w:val="20DB5FF6"/>
    <w:rsid w:val="20EA067B"/>
    <w:rsid w:val="2126B6BC"/>
    <w:rsid w:val="212D8C0F"/>
    <w:rsid w:val="2132E666"/>
    <w:rsid w:val="214EBD8B"/>
    <w:rsid w:val="2151E9C8"/>
    <w:rsid w:val="218BB834"/>
    <w:rsid w:val="21B70068"/>
    <w:rsid w:val="21B86447"/>
    <w:rsid w:val="21D46AEB"/>
    <w:rsid w:val="21D95C6D"/>
    <w:rsid w:val="21DD969C"/>
    <w:rsid w:val="21E4C3ED"/>
    <w:rsid w:val="21E9D2F4"/>
    <w:rsid w:val="220D4099"/>
    <w:rsid w:val="220FB308"/>
    <w:rsid w:val="221BBCA9"/>
    <w:rsid w:val="2225B282"/>
    <w:rsid w:val="222C8A81"/>
    <w:rsid w:val="223D2723"/>
    <w:rsid w:val="223E4175"/>
    <w:rsid w:val="22461B56"/>
    <w:rsid w:val="2253E02A"/>
    <w:rsid w:val="22590EDC"/>
    <w:rsid w:val="22752B74"/>
    <w:rsid w:val="227A1413"/>
    <w:rsid w:val="2284F332"/>
    <w:rsid w:val="22D6C866"/>
    <w:rsid w:val="230B2969"/>
    <w:rsid w:val="23113AB0"/>
    <w:rsid w:val="2347CDCF"/>
    <w:rsid w:val="2361DC29"/>
    <w:rsid w:val="236C3E6B"/>
    <w:rsid w:val="237AF96C"/>
    <w:rsid w:val="238D27D1"/>
    <w:rsid w:val="2394687C"/>
    <w:rsid w:val="2395514E"/>
    <w:rsid w:val="239B6598"/>
    <w:rsid w:val="23A08704"/>
    <w:rsid w:val="23B4E17F"/>
    <w:rsid w:val="23B7BFB9"/>
    <w:rsid w:val="23B99913"/>
    <w:rsid w:val="23D8C8C9"/>
    <w:rsid w:val="23E5BABB"/>
    <w:rsid w:val="23FCB194"/>
    <w:rsid w:val="24039B07"/>
    <w:rsid w:val="240F62FA"/>
    <w:rsid w:val="241330E4"/>
    <w:rsid w:val="24257274"/>
    <w:rsid w:val="2454CD96"/>
    <w:rsid w:val="247585E2"/>
    <w:rsid w:val="24BD62B4"/>
    <w:rsid w:val="24D2F0A5"/>
    <w:rsid w:val="251999CC"/>
    <w:rsid w:val="251C5E2C"/>
    <w:rsid w:val="25207A53"/>
    <w:rsid w:val="2543F8E9"/>
    <w:rsid w:val="2551DA9C"/>
    <w:rsid w:val="2564AB76"/>
    <w:rsid w:val="25792B5E"/>
    <w:rsid w:val="2592AF16"/>
    <w:rsid w:val="25AB8550"/>
    <w:rsid w:val="25BD4497"/>
    <w:rsid w:val="25F7B690"/>
    <w:rsid w:val="25FB0990"/>
    <w:rsid w:val="26072918"/>
    <w:rsid w:val="261BB720"/>
    <w:rsid w:val="26200CC7"/>
    <w:rsid w:val="265977A4"/>
    <w:rsid w:val="2679069F"/>
    <w:rsid w:val="269BBD42"/>
    <w:rsid w:val="269EADE0"/>
    <w:rsid w:val="26A3C038"/>
    <w:rsid w:val="26A42119"/>
    <w:rsid w:val="26B3E6CE"/>
    <w:rsid w:val="26E98FBC"/>
    <w:rsid w:val="26FC1AEB"/>
    <w:rsid w:val="2707A5D8"/>
    <w:rsid w:val="27177049"/>
    <w:rsid w:val="273CB796"/>
    <w:rsid w:val="273F0C7D"/>
    <w:rsid w:val="27534707"/>
    <w:rsid w:val="275BC2DC"/>
    <w:rsid w:val="27764BBD"/>
    <w:rsid w:val="2785CE5E"/>
    <w:rsid w:val="278942B1"/>
    <w:rsid w:val="27A06915"/>
    <w:rsid w:val="27A7B822"/>
    <w:rsid w:val="27A89ECF"/>
    <w:rsid w:val="27E0BDCA"/>
    <w:rsid w:val="27E926CB"/>
    <w:rsid w:val="27F717E0"/>
    <w:rsid w:val="280AB289"/>
    <w:rsid w:val="280B68A8"/>
    <w:rsid w:val="282513D1"/>
    <w:rsid w:val="284DC7BA"/>
    <w:rsid w:val="28506D33"/>
    <w:rsid w:val="287A3D29"/>
    <w:rsid w:val="287B4AE7"/>
    <w:rsid w:val="287F8745"/>
    <w:rsid w:val="288F985E"/>
    <w:rsid w:val="28A33ACC"/>
    <w:rsid w:val="28A68D12"/>
    <w:rsid w:val="28D6053B"/>
    <w:rsid w:val="28DF4396"/>
    <w:rsid w:val="28E373EC"/>
    <w:rsid w:val="28E39353"/>
    <w:rsid w:val="28FED4A9"/>
    <w:rsid w:val="29022E1F"/>
    <w:rsid w:val="2910E8AC"/>
    <w:rsid w:val="29151427"/>
    <w:rsid w:val="292410C8"/>
    <w:rsid w:val="293071B1"/>
    <w:rsid w:val="29329335"/>
    <w:rsid w:val="293A1DF4"/>
    <w:rsid w:val="293D25D6"/>
    <w:rsid w:val="29552A9A"/>
    <w:rsid w:val="296C90E1"/>
    <w:rsid w:val="297576FC"/>
    <w:rsid w:val="29760A98"/>
    <w:rsid w:val="298D67E2"/>
    <w:rsid w:val="299F5A72"/>
    <w:rsid w:val="29A6BD48"/>
    <w:rsid w:val="29B4C801"/>
    <w:rsid w:val="29C92F09"/>
    <w:rsid w:val="29DBB77D"/>
    <w:rsid w:val="29DD6671"/>
    <w:rsid w:val="29DDD1E6"/>
    <w:rsid w:val="29E24E76"/>
    <w:rsid w:val="29FC9E64"/>
    <w:rsid w:val="29FEF36F"/>
    <w:rsid w:val="2A04C32E"/>
    <w:rsid w:val="2A248A37"/>
    <w:rsid w:val="2A2E32C4"/>
    <w:rsid w:val="2A33660B"/>
    <w:rsid w:val="2A3F76EB"/>
    <w:rsid w:val="2A59C001"/>
    <w:rsid w:val="2A649212"/>
    <w:rsid w:val="2A711B7D"/>
    <w:rsid w:val="2A7714F7"/>
    <w:rsid w:val="2A9FD190"/>
    <w:rsid w:val="2AAD9F02"/>
    <w:rsid w:val="2AC751AF"/>
    <w:rsid w:val="2AC967E0"/>
    <w:rsid w:val="2ACE5484"/>
    <w:rsid w:val="2AD1A8BA"/>
    <w:rsid w:val="2B003606"/>
    <w:rsid w:val="2B1834DC"/>
    <w:rsid w:val="2B5A87AE"/>
    <w:rsid w:val="2B64793E"/>
    <w:rsid w:val="2B64C56D"/>
    <w:rsid w:val="2B72B38E"/>
    <w:rsid w:val="2B8DFEDC"/>
    <w:rsid w:val="2BB2FBDB"/>
    <w:rsid w:val="2BF185B4"/>
    <w:rsid w:val="2C17952F"/>
    <w:rsid w:val="2C40150F"/>
    <w:rsid w:val="2C4719FB"/>
    <w:rsid w:val="2C63B27C"/>
    <w:rsid w:val="2C68A628"/>
    <w:rsid w:val="2C9D93A2"/>
    <w:rsid w:val="2CC51505"/>
    <w:rsid w:val="2CE86B46"/>
    <w:rsid w:val="2D08F246"/>
    <w:rsid w:val="2D1348DB"/>
    <w:rsid w:val="2D20E2A8"/>
    <w:rsid w:val="2D285F92"/>
    <w:rsid w:val="2D3BCECE"/>
    <w:rsid w:val="2D3ECAD1"/>
    <w:rsid w:val="2D408E95"/>
    <w:rsid w:val="2D5CFB4E"/>
    <w:rsid w:val="2D74FC64"/>
    <w:rsid w:val="2D77C715"/>
    <w:rsid w:val="2D7A0C8C"/>
    <w:rsid w:val="2D7E05AF"/>
    <w:rsid w:val="2D919411"/>
    <w:rsid w:val="2DA14212"/>
    <w:rsid w:val="2DA677E5"/>
    <w:rsid w:val="2DC126A1"/>
    <w:rsid w:val="2DD750B3"/>
    <w:rsid w:val="2DDE8E19"/>
    <w:rsid w:val="2DFA25A9"/>
    <w:rsid w:val="2E020617"/>
    <w:rsid w:val="2E0305D0"/>
    <w:rsid w:val="2E0D49E1"/>
    <w:rsid w:val="2E1FBE25"/>
    <w:rsid w:val="2E32588B"/>
    <w:rsid w:val="2E3ABF45"/>
    <w:rsid w:val="2E3C4288"/>
    <w:rsid w:val="2E3E9498"/>
    <w:rsid w:val="2E42B2F3"/>
    <w:rsid w:val="2E637FE9"/>
    <w:rsid w:val="2E650B4F"/>
    <w:rsid w:val="2E6F83A1"/>
    <w:rsid w:val="2E8720F2"/>
    <w:rsid w:val="2E8CF6F0"/>
    <w:rsid w:val="2E8D22DD"/>
    <w:rsid w:val="2EA101DA"/>
    <w:rsid w:val="2EA31A48"/>
    <w:rsid w:val="2EB99D41"/>
    <w:rsid w:val="2F18C888"/>
    <w:rsid w:val="2F21738F"/>
    <w:rsid w:val="2F21A18B"/>
    <w:rsid w:val="2F27641C"/>
    <w:rsid w:val="2F3301B3"/>
    <w:rsid w:val="2F35907A"/>
    <w:rsid w:val="2F3F3BF9"/>
    <w:rsid w:val="2F498BE5"/>
    <w:rsid w:val="2F500AF1"/>
    <w:rsid w:val="2F50EF59"/>
    <w:rsid w:val="2F56A2D3"/>
    <w:rsid w:val="2F62A14E"/>
    <w:rsid w:val="2F910B26"/>
    <w:rsid w:val="2F9456D1"/>
    <w:rsid w:val="2F9692C9"/>
    <w:rsid w:val="2F9CEE78"/>
    <w:rsid w:val="2FAA6EEF"/>
    <w:rsid w:val="2FAC0DF7"/>
    <w:rsid w:val="2FB52089"/>
    <w:rsid w:val="2FC0C364"/>
    <w:rsid w:val="2FDFF97B"/>
    <w:rsid w:val="2FE29EC8"/>
    <w:rsid w:val="3019D148"/>
    <w:rsid w:val="307C38B1"/>
    <w:rsid w:val="309016A1"/>
    <w:rsid w:val="30A0DD84"/>
    <w:rsid w:val="30B42B52"/>
    <w:rsid w:val="30B6D312"/>
    <w:rsid w:val="30C983C4"/>
    <w:rsid w:val="30DF7542"/>
    <w:rsid w:val="30E405A6"/>
    <w:rsid w:val="30E40A04"/>
    <w:rsid w:val="310FFE88"/>
    <w:rsid w:val="312C5B85"/>
    <w:rsid w:val="313D7107"/>
    <w:rsid w:val="31577D65"/>
    <w:rsid w:val="3183D0DD"/>
    <w:rsid w:val="31AF9B16"/>
    <w:rsid w:val="31B538A1"/>
    <w:rsid w:val="31D9850C"/>
    <w:rsid w:val="31E0B4E5"/>
    <w:rsid w:val="31E20B5B"/>
    <w:rsid w:val="31E3BF87"/>
    <w:rsid w:val="31E5F7C9"/>
    <w:rsid w:val="31F5C4D1"/>
    <w:rsid w:val="3202849A"/>
    <w:rsid w:val="32089DC6"/>
    <w:rsid w:val="32129FCD"/>
    <w:rsid w:val="3214F2E1"/>
    <w:rsid w:val="32347C97"/>
    <w:rsid w:val="323FCD3F"/>
    <w:rsid w:val="324E4F16"/>
    <w:rsid w:val="325882B2"/>
    <w:rsid w:val="3260C173"/>
    <w:rsid w:val="32688464"/>
    <w:rsid w:val="32B16AF3"/>
    <w:rsid w:val="32B4565D"/>
    <w:rsid w:val="32BC3382"/>
    <w:rsid w:val="32C8847C"/>
    <w:rsid w:val="32DF5B15"/>
    <w:rsid w:val="32F4E19F"/>
    <w:rsid w:val="32FDC561"/>
    <w:rsid w:val="3313CFE8"/>
    <w:rsid w:val="3313E33B"/>
    <w:rsid w:val="332739C1"/>
    <w:rsid w:val="332FC1D1"/>
    <w:rsid w:val="333457CD"/>
    <w:rsid w:val="334D17AA"/>
    <w:rsid w:val="3358AAFB"/>
    <w:rsid w:val="33629C0D"/>
    <w:rsid w:val="336BA734"/>
    <w:rsid w:val="339FDFF7"/>
    <w:rsid w:val="33C2A35C"/>
    <w:rsid w:val="3402A055"/>
    <w:rsid w:val="340B0070"/>
    <w:rsid w:val="340BD9BE"/>
    <w:rsid w:val="3415C24B"/>
    <w:rsid w:val="3422D81A"/>
    <w:rsid w:val="342AC54C"/>
    <w:rsid w:val="343791A8"/>
    <w:rsid w:val="34455FF0"/>
    <w:rsid w:val="34535267"/>
    <w:rsid w:val="347B5F87"/>
    <w:rsid w:val="3480DCF0"/>
    <w:rsid w:val="349C2BB2"/>
    <w:rsid w:val="34B2A125"/>
    <w:rsid w:val="34DB3EB2"/>
    <w:rsid w:val="34E112E1"/>
    <w:rsid w:val="34E173F1"/>
    <w:rsid w:val="34E1FC20"/>
    <w:rsid w:val="35040F81"/>
    <w:rsid w:val="350FCF04"/>
    <w:rsid w:val="352B9B90"/>
    <w:rsid w:val="353542BE"/>
    <w:rsid w:val="3535A7A6"/>
    <w:rsid w:val="353B0349"/>
    <w:rsid w:val="353BE9A9"/>
    <w:rsid w:val="354337CE"/>
    <w:rsid w:val="35466EBF"/>
    <w:rsid w:val="3558BDB0"/>
    <w:rsid w:val="3560635E"/>
    <w:rsid w:val="35639A6B"/>
    <w:rsid w:val="3565F0D6"/>
    <w:rsid w:val="357AADD0"/>
    <w:rsid w:val="35B280B7"/>
    <w:rsid w:val="35DD2A29"/>
    <w:rsid w:val="35E41915"/>
    <w:rsid w:val="35FB4452"/>
    <w:rsid w:val="360B4C72"/>
    <w:rsid w:val="36312DC8"/>
    <w:rsid w:val="3640B856"/>
    <w:rsid w:val="364F5A0C"/>
    <w:rsid w:val="3656CF0C"/>
    <w:rsid w:val="3664CCDD"/>
    <w:rsid w:val="3699202D"/>
    <w:rsid w:val="36C58B5B"/>
    <w:rsid w:val="36CE6A82"/>
    <w:rsid w:val="36D5CBA5"/>
    <w:rsid w:val="36DED490"/>
    <w:rsid w:val="36E84F7E"/>
    <w:rsid w:val="36EC8EF2"/>
    <w:rsid w:val="36F006DC"/>
    <w:rsid w:val="370A2286"/>
    <w:rsid w:val="3722BEEA"/>
    <w:rsid w:val="3726AD71"/>
    <w:rsid w:val="374CB06D"/>
    <w:rsid w:val="37523B27"/>
    <w:rsid w:val="375A5B39"/>
    <w:rsid w:val="37AD074D"/>
    <w:rsid w:val="37B87AFC"/>
    <w:rsid w:val="37D8071F"/>
    <w:rsid w:val="37F26BEE"/>
    <w:rsid w:val="38048375"/>
    <w:rsid w:val="382A7120"/>
    <w:rsid w:val="38322107"/>
    <w:rsid w:val="3832A8AC"/>
    <w:rsid w:val="383F8A99"/>
    <w:rsid w:val="384E33B9"/>
    <w:rsid w:val="386F14CD"/>
    <w:rsid w:val="38720E89"/>
    <w:rsid w:val="3872389E"/>
    <w:rsid w:val="38A0F0C7"/>
    <w:rsid w:val="38AB60E8"/>
    <w:rsid w:val="38BCA7B8"/>
    <w:rsid w:val="38D62494"/>
    <w:rsid w:val="38F68724"/>
    <w:rsid w:val="38F86914"/>
    <w:rsid w:val="38FF8205"/>
    <w:rsid w:val="3900A363"/>
    <w:rsid w:val="3907E714"/>
    <w:rsid w:val="391B7D11"/>
    <w:rsid w:val="39323ABC"/>
    <w:rsid w:val="3932FED4"/>
    <w:rsid w:val="39336882"/>
    <w:rsid w:val="393FB0AC"/>
    <w:rsid w:val="3947BBFC"/>
    <w:rsid w:val="3983C1B9"/>
    <w:rsid w:val="3988D040"/>
    <w:rsid w:val="39943C5C"/>
    <w:rsid w:val="399C53FD"/>
    <w:rsid w:val="39AC9160"/>
    <w:rsid w:val="39B6A608"/>
    <w:rsid w:val="39C0F192"/>
    <w:rsid w:val="39DC1932"/>
    <w:rsid w:val="3A0453DE"/>
    <w:rsid w:val="3A08456C"/>
    <w:rsid w:val="3A588221"/>
    <w:rsid w:val="3A6A7131"/>
    <w:rsid w:val="3A6BCD03"/>
    <w:rsid w:val="3A80710F"/>
    <w:rsid w:val="3A8E187A"/>
    <w:rsid w:val="3AAE812C"/>
    <w:rsid w:val="3ACA5945"/>
    <w:rsid w:val="3AD17B63"/>
    <w:rsid w:val="3B15E0E5"/>
    <w:rsid w:val="3B3A3B6A"/>
    <w:rsid w:val="3B4DA3E9"/>
    <w:rsid w:val="3B68941C"/>
    <w:rsid w:val="3B6FA62E"/>
    <w:rsid w:val="3B892DCD"/>
    <w:rsid w:val="3B922030"/>
    <w:rsid w:val="3B95B763"/>
    <w:rsid w:val="3BABE792"/>
    <w:rsid w:val="3BC3AC2B"/>
    <w:rsid w:val="3BCC432B"/>
    <w:rsid w:val="3BD392A4"/>
    <w:rsid w:val="3BDCB819"/>
    <w:rsid w:val="3C160A5F"/>
    <w:rsid w:val="3C5FFFDE"/>
    <w:rsid w:val="3C7E74D4"/>
    <w:rsid w:val="3C93637E"/>
    <w:rsid w:val="3C94BC7D"/>
    <w:rsid w:val="3CA0A9A1"/>
    <w:rsid w:val="3CBA7038"/>
    <w:rsid w:val="3CD6E28C"/>
    <w:rsid w:val="3CDF19D8"/>
    <w:rsid w:val="3CE0ADAB"/>
    <w:rsid w:val="3D05699C"/>
    <w:rsid w:val="3D143DC2"/>
    <w:rsid w:val="3D1A24DF"/>
    <w:rsid w:val="3D284A47"/>
    <w:rsid w:val="3D318EB9"/>
    <w:rsid w:val="3D3C65B0"/>
    <w:rsid w:val="3D3F2D6E"/>
    <w:rsid w:val="3D67EB69"/>
    <w:rsid w:val="3D8148FE"/>
    <w:rsid w:val="3DA17DEC"/>
    <w:rsid w:val="3DB2F006"/>
    <w:rsid w:val="3DB7E41F"/>
    <w:rsid w:val="3DEA55FE"/>
    <w:rsid w:val="3DF03CE7"/>
    <w:rsid w:val="3E03BDDC"/>
    <w:rsid w:val="3E05C94A"/>
    <w:rsid w:val="3E40C306"/>
    <w:rsid w:val="3E4C0940"/>
    <w:rsid w:val="3E506C4F"/>
    <w:rsid w:val="3E5A3037"/>
    <w:rsid w:val="3EE3F482"/>
    <w:rsid w:val="3EEB976A"/>
    <w:rsid w:val="3EEF2AB1"/>
    <w:rsid w:val="3EFD6E6D"/>
    <w:rsid w:val="3F1EA261"/>
    <w:rsid w:val="3F1F7B5E"/>
    <w:rsid w:val="3F42A655"/>
    <w:rsid w:val="3F4BBAA5"/>
    <w:rsid w:val="3F507762"/>
    <w:rsid w:val="3F5BD13D"/>
    <w:rsid w:val="3FAC4D87"/>
    <w:rsid w:val="3FBAB941"/>
    <w:rsid w:val="3FC0A370"/>
    <w:rsid w:val="3FC0E5A0"/>
    <w:rsid w:val="401CB0C8"/>
    <w:rsid w:val="402C934C"/>
    <w:rsid w:val="405600D6"/>
    <w:rsid w:val="40564805"/>
    <w:rsid w:val="4060EE12"/>
    <w:rsid w:val="40693E2A"/>
    <w:rsid w:val="407C4A46"/>
    <w:rsid w:val="40B01150"/>
    <w:rsid w:val="40B78B1C"/>
    <w:rsid w:val="40B8F7B9"/>
    <w:rsid w:val="40C1DA5A"/>
    <w:rsid w:val="40D44856"/>
    <w:rsid w:val="40E439FB"/>
    <w:rsid w:val="40E81EA4"/>
    <w:rsid w:val="4121FBAE"/>
    <w:rsid w:val="4125F8F1"/>
    <w:rsid w:val="414259AA"/>
    <w:rsid w:val="41569353"/>
    <w:rsid w:val="418A2DBD"/>
    <w:rsid w:val="41B1638C"/>
    <w:rsid w:val="41D6B49C"/>
    <w:rsid w:val="41D8AB43"/>
    <w:rsid w:val="41DE2DC5"/>
    <w:rsid w:val="41EC57A2"/>
    <w:rsid w:val="41F2339D"/>
    <w:rsid w:val="41F4CA2A"/>
    <w:rsid w:val="41F63FC7"/>
    <w:rsid w:val="42049C58"/>
    <w:rsid w:val="4226C1B7"/>
    <w:rsid w:val="4226FDD7"/>
    <w:rsid w:val="422DFECA"/>
    <w:rsid w:val="423999A9"/>
    <w:rsid w:val="4248BB03"/>
    <w:rsid w:val="4281A0CA"/>
    <w:rsid w:val="428F7C1B"/>
    <w:rsid w:val="42D0AA4B"/>
    <w:rsid w:val="42D2BC15"/>
    <w:rsid w:val="42E883FC"/>
    <w:rsid w:val="42EBEB90"/>
    <w:rsid w:val="42EF1A16"/>
    <w:rsid w:val="42FE5062"/>
    <w:rsid w:val="43053677"/>
    <w:rsid w:val="4320013E"/>
    <w:rsid w:val="433334C1"/>
    <w:rsid w:val="43498192"/>
    <w:rsid w:val="4357A341"/>
    <w:rsid w:val="436F4F55"/>
    <w:rsid w:val="43740570"/>
    <w:rsid w:val="437A4270"/>
    <w:rsid w:val="437BA0E2"/>
    <w:rsid w:val="4386033A"/>
    <w:rsid w:val="439132B5"/>
    <w:rsid w:val="43D66DEC"/>
    <w:rsid w:val="43F414F7"/>
    <w:rsid w:val="43F904BB"/>
    <w:rsid w:val="43FBA091"/>
    <w:rsid w:val="44256C28"/>
    <w:rsid w:val="443824D1"/>
    <w:rsid w:val="444058BB"/>
    <w:rsid w:val="4447A7D5"/>
    <w:rsid w:val="444CB958"/>
    <w:rsid w:val="444F1EEA"/>
    <w:rsid w:val="44583076"/>
    <w:rsid w:val="445B6E1C"/>
    <w:rsid w:val="445CA425"/>
    <w:rsid w:val="44641DDE"/>
    <w:rsid w:val="448B3388"/>
    <w:rsid w:val="44B4436C"/>
    <w:rsid w:val="44BC7831"/>
    <w:rsid w:val="44C32F4A"/>
    <w:rsid w:val="44D5A19B"/>
    <w:rsid w:val="44E90850"/>
    <w:rsid w:val="44EA89B4"/>
    <w:rsid w:val="451958DD"/>
    <w:rsid w:val="4528ECB9"/>
    <w:rsid w:val="4537DE96"/>
    <w:rsid w:val="454187F7"/>
    <w:rsid w:val="456B173E"/>
    <w:rsid w:val="45819B98"/>
    <w:rsid w:val="458D9899"/>
    <w:rsid w:val="4591E6CA"/>
    <w:rsid w:val="45C5F3E1"/>
    <w:rsid w:val="45CFC1D1"/>
    <w:rsid w:val="45DC9ACA"/>
    <w:rsid w:val="45DF4FE9"/>
    <w:rsid w:val="46055658"/>
    <w:rsid w:val="4613D6FF"/>
    <w:rsid w:val="46146709"/>
    <w:rsid w:val="461ABAB6"/>
    <w:rsid w:val="463DE2B8"/>
    <w:rsid w:val="467DD1B8"/>
    <w:rsid w:val="469E54E5"/>
    <w:rsid w:val="46C363B9"/>
    <w:rsid w:val="47184916"/>
    <w:rsid w:val="47314B10"/>
    <w:rsid w:val="4734A11B"/>
    <w:rsid w:val="473B54AF"/>
    <w:rsid w:val="474357B2"/>
    <w:rsid w:val="47601B40"/>
    <w:rsid w:val="476E82B5"/>
    <w:rsid w:val="47735830"/>
    <w:rsid w:val="478DEE5F"/>
    <w:rsid w:val="47C336E3"/>
    <w:rsid w:val="47DEBDF8"/>
    <w:rsid w:val="484A81E0"/>
    <w:rsid w:val="486C513C"/>
    <w:rsid w:val="487AB347"/>
    <w:rsid w:val="4885C9DE"/>
    <w:rsid w:val="489903C4"/>
    <w:rsid w:val="489A2ECE"/>
    <w:rsid w:val="48A8CA1A"/>
    <w:rsid w:val="48B9B001"/>
    <w:rsid w:val="48D7527F"/>
    <w:rsid w:val="48DB25B8"/>
    <w:rsid w:val="48E2B30D"/>
    <w:rsid w:val="48FC6722"/>
    <w:rsid w:val="49048E98"/>
    <w:rsid w:val="4909DF12"/>
    <w:rsid w:val="492ABF5C"/>
    <w:rsid w:val="492C9F55"/>
    <w:rsid w:val="49536351"/>
    <w:rsid w:val="4955C11E"/>
    <w:rsid w:val="4966B98A"/>
    <w:rsid w:val="49792847"/>
    <w:rsid w:val="498221E7"/>
    <w:rsid w:val="4986073F"/>
    <w:rsid w:val="49997C55"/>
    <w:rsid w:val="49B4AEA2"/>
    <w:rsid w:val="49B937BC"/>
    <w:rsid w:val="49B9675B"/>
    <w:rsid w:val="49C295E1"/>
    <w:rsid w:val="49C6AFBA"/>
    <w:rsid w:val="49E58686"/>
    <w:rsid w:val="49F1F4C3"/>
    <w:rsid w:val="49F9339C"/>
    <w:rsid w:val="49F9695E"/>
    <w:rsid w:val="4A02AF10"/>
    <w:rsid w:val="4A19DD77"/>
    <w:rsid w:val="4A2227E5"/>
    <w:rsid w:val="4A270A00"/>
    <w:rsid w:val="4A67EE3C"/>
    <w:rsid w:val="4A8D8E34"/>
    <w:rsid w:val="4A9A0CB9"/>
    <w:rsid w:val="4AA058F4"/>
    <w:rsid w:val="4AA737E9"/>
    <w:rsid w:val="4AB1FC8D"/>
    <w:rsid w:val="4AE601F3"/>
    <w:rsid w:val="4AF32072"/>
    <w:rsid w:val="4AFCAD51"/>
    <w:rsid w:val="4B22D0EB"/>
    <w:rsid w:val="4B42CE07"/>
    <w:rsid w:val="4B506377"/>
    <w:rsid w:val="4B591B96"/>
    <w:rsid w:val="4B7A95FB"/>
    <w:rsid w:val="4B83F9CD"/>
    <w:rsid w:val="4B91988B"/>
    <w:rsid w:val="4B936960"/>
    <w:rsid w:val="4BC0E868"/>
    <w:rsid w:val="4BF0DC92"/>
    <w:rsid w:val="4BFB9651"/>
    <w:rsid w:val="4C1D04A2"/>
    <w:rsid w:val="4C259D67"/>
    <w:rsid w:val="4C26F52B"/>
    <w:rsid w:val="4C67AD9F"/>
    <w:rsid w:val="4C830D7C"/>
    <w:rsid w:val="4C901EBB"/>
    <w:rsid w:val="4C939235"/>
    <w:rsid w:val="4CB2B883"/>
    <w:rsid w:val="4CB51EDC"/>
    <w:rsid w:val="4CBBDD5D"/>
    <w:rsid w:val="4CBEF764"/>
    <w:rsid w:val="4CC85748"/>
    <w:rsid w:val="4CC89646"/>
    <w:rsid w:val="4CCBBF03"/>
    <w:rsid w:val="4CEAF18A"/>
    <w:rsid w:val="4D109E76"/>
    <w:rsid w:val="4D1B491F"/>
    <w:rsid w:val="4D1FFA45"/>
    <w:rsid w:val="4D2A7F8C"/>
    <w:rsid w:val="4D2ABB17"/>
    <w:rsid w:val="4D2EDACA"/>
    <w:rsid w:val="4D3895FB"/>
    <w:rsid w:val="4D97336D"/>
    <w:rsid w:val="4D9766FE"/>
    <w:rsid w:val="4D99D72C"/>
    <w:rsid w:val="4DA0E573"/>
    <w:rsid w:val="4DA49906"/>
    <w:rsid w:val="4DC8EFA2"/>
    <w:rsid w:val="4DD9EC9A"/>
    <w:rsid w:val="4DE52920"/>
    <w:rsid w:val="4DE8CCA7"/>
    <w:rsid w:val="4E0A876E"/>
    <w:rsid w:val="4E1187D2"/>
    <w:rsid w:val="4E176C73"/>
    <w:rsid w:val="4E2FC242"/>
    <w:rsid w:val="4E344542"/>
    <w:rsid w:val="4E462FC7"/>
    <w:rsid w:val="4E4F59FB"/>
    <w:rsid w:val="4E723404"/>
    <w:rsid w:val="4E7C1333"/>
    <w:rsid w:val="4E81CBA5"/>
    <w:rsid w:val="4EB08F29"/>
    <w:rsid w:val="4ECCA544"/>
    <w:rsid w:val="4EE2B73F"/>
    <w:rsid w:val="4EF7930B"/>
    <w:rsid w:val="4EFBCD75"/>
    <w:rsid w:val="4F290414"/>
    <w:rsid w:val="4F2AA205"/>
    <w:rsid w:val="4F34AD68"/>
    <w:rsid w:val="4F427625"/>
    <w:rsid w:val="4F45EE42"/>
    <w:rsid w:val="4F47E8C4"/>
    <w:rsid w:val="4F4E07EC"/>
    <w:rsid w:val="4F62413A"/>
    <w:rsid w:val="4F910EA8"/>
    <w:rsid w:val="4FBBF0C0"/>
    <w:rsid w:val="500932F0"/>
    <w:rsid w:val="500A6AC4"/>
    <w:rsid w:val="5019C980"/>
    <w:rsid w:val="50592F57"/>
    <w:rsid w:val="5093BEE2"/>
    <w:rsid w:val="50998356"/>
    <w:rsid w:val="50B32C6F"/>
    <w:rsid w:val="50B9998A"/>
    <w:rsid w:val="50DBDE70"/>
    <w:rsid w:val="50E081C7"/>
    <w:rsid w:val="50EA7B6F"/>
    <w:rsid w:val="50F5BF4E"/>
    <w:rsid w:val="50FDC499"/>
    <w:rsid w:val="5102E741"/>
    <w:rsid w:val="5108C9BB"/>
    <w:rsid w:val="510F1329"/>
    <w:rsid w:val="512AA1DE"/>
    <w:rsid w:val="512DE619"/>
    <w:rsid w:val="5158BB8B"/>
    <w:rsid w:val="516E09D2"/>
    <w:rsid w:val="5173C2E3"/>
    <w:rsid w:val="517CA445"/>
    <w:rsid w:val="518977B4"/>
    <w:rsid w:val="519D06B2"/>
    <w:rsid w:val="51C75393"/>
    <w:rsid w:val="51CB99BF"/>
    <w:rsid w:val="51D7A00F"/>
    <w:rsid w:val="51E351AB"/>
    <w:rsid w:val="51FDE51E"/>
    <w:rsid w:val="521113C2"/>
    <w:rsid w:val="52118C78"/>
    <w:rsid w:val="5254E414"/>
    <w:rsid w:val="52551F42"/>
    <w:rsid w:val="5267AEE8"/>
    <w:rsid w:val="5275C428"/>
    <w:rsid w:val="5293307E"/>
    <w:rsid w:val="52C3B049"/>
    <w:rsid w:val="52CC4007"/>
    <w:rsid w:val="52F1F073"/>
    <w:rsid w:val="52FD07CC"/>
    <w:rsid w:val="52FF750F"/>
    <w:rsid w:val="5319CA9D"/>
    <w:rsid w:val="5327391D"/>
    <w:rsid w:val="533B5024"/>
    <w:rsid w:val="534E3CE4"/>
    <w:rsid w:val="535142D6"/>
    <w:rsid w:val="535CDDD0"/>
    <w:rsid w:val="5365EAB6"/>
    <w:rsid w:val="5379F1F2"/>
    <w:rsid w:val="538AB751"/>
    <w:rsid w:val="538FEE28"/>
    <w:rsid w:val="53A811A1"/>
    <w:rsid w:val="53B96D8D"/>
    <w:rsid w:val="53D54F40"/>
    <w:rsid w:val="53EA4E7D"/>
    <w:rsid w:val="53F705FF"/>
    <w:rsid w:val="540806C0"/>
    <w:rsid w:val="540DB06B"/>
    <w:rsid w:val="54197068"/>
    <w:rsid w:val="54293854"/>
    <w:rsid w:val="544B974F"/>
    <w:rsid w:val="5459276C"/>
    <w:rsid w:val="54605CE5"/>
    <w:rsid w:val="547E6910"/>
    <w:rsid w:val="549A43A7"/>
    <w:rsid w:val="54A99E36"/>
    <w:rsid w:val="54B4A953"/>
    <w:rsid w:val="54B53480"/>
    <w:rsid w:val="54BC4CF8"/>
    <w:rsid w:val="54C06A9F"/>
    <w:rsid w:val="54CC0E64"/>
    <w:rsid w:val="54DC1CDE"/>
    <w:rsid w:val="54E678F8"/>
    <w:rsid w:val="54ED07DF"/>
    <w:rsid w:val="551BAC84"/>
    <w:rsid w:val="551E83B5"/>
    <w:rsid w:val="5523551D"/>
    <w:rsid w:val="55248B67"/>
    <w:rsid w:val="55277664"/>
    <w:rsid w:val="553957C4"/>
    <w:rsid w:val="5545F4F6"/>
    <w:rsid w:val="5555E2BC"/>
    <w:rsid w:val="55718150"/>
    <w:rsid w:val="5583555F"/>
    <w:rsid w:val="559CA2F1"/>
    <w:rsid w:val="55A60700"/>
    <w:rsid w:val="55C19056"/>
    <w:rsid w:val="55C875EA"/>
    <w:rsid w:val="55D98CDF"/>
    <w:rsid w:val="55DDB04D"/>
    <w:rsid w:val="55E030A7"/>
    <w:rsid w:val="55F49180"/>
    <w:rsid w:val="56002001"/>
    <w:rsid w:val="56077732"/>
    <w:rsid w:val="5610800D"/>
    <w:rsid w:val="561F81A4"/>
    <w:rsid w:val="5643B32E"/>
    <w:rsid w:val="5673BB1A"/>
    <w:rsid w:val="56885102"/>
    <w:rsid w:val="569088FE"/>
    <w:rsid w:val="56990F6C"/>
    <w:rsid w:val="56B5A067"/>
    <w:rsid w:val="56B9D480"/>
    <w:rsid w:val="56C89BD5"/>
    <w:rsid w:val="56E1F06D"/>
    <w:rsid w:val="56E9020F"/>
    <w:rsid w:val="56F7D3A7"/>
    <w:rsid w:val="56FBDBE0"/>
    <w:rsid w:val="5700E04F"/>
    <w:rsid w:val="5717C2C6"/>
    <w:rsid w:val="5718FD16"/>
    <w:rsid w:val="571F0962"/>
    <w:rsid w:val="5729C2AD"/>
    <w:rsid w:val="57403AE1"/>
    <w:rsid w:val="57511597"/>
    <w:rsid w:val="57583456"/>
    <w:rsid w:val="576149D7"/>
    <w:rsid w:val="577B40BD"/>
    <w:rsid w:val="5786FBAE"/>
    <w:rsid w:val="5796D168"/>
    <w:rsid w:val="57B30345"/>
    <w:rsid w:val="57B83D4A"/>
    <w:rsid w:val="57B85AFC"/>
    <w:rsid w:val="57D1A9EF"/>
    <w:rsid w:val="57E81864"/>
    <w:rsid w:val="57ECD2AA"/>
    <w:rsid w:val="57EFD82A"/>
    <w:rsid w:val="580FB34F"/>
    <w:rsid w:val="5812EB40"/>
    <w:rsid w:val="581B8658"/>
    <w:rsid w:val="5825BEE5"/>
    <w:rsid w:val="583ADB32"/>
    <w:rsid w:val="584093A6"/>
    <w:rsid w:val="585EEDE4"/>
    <w:rsid w:val="58611F43"/>
    <w:rsid w:val="58759216"/>
    <w:rsid w:val="58794522"/>
    <w:rsid w:val="58833C04"/>
    <w:rsid w:val="588A5FB3"/>
    <w:rsid w:val="58B40477"/>
    <w:rsid w:val="58BEBEE7"/>
    <w:rsid w:val="5902DD4A"/>
    <w:rsid w:val="59112F56"/>
    <w:rsid w:val="592FD2CF"/>
    <w:rsid w:val="593CA99B"/>
    <w:rsid w:val="5945695D"/>
    <w:rsid w:val="5947A487"/>
    <w:rsid w:val="594CCAF5"/>
    <w:rsid w:val="596941F3"/>
    <w:rsid w:val="597B8F53"/>
    <w:rsid w:val="597F8BF7"/>
    <w:rsid w:val="59907517"/>
    <w:rsid w:val="59936A15"/>
    <w:rsid w:val="59A1049A"/>
    <w:rsid w:val="59AD31E6"/>
    <w:rsid w:val="59B88FDC"/>
    <w:rsid w:val="59C639BA"/>
    <w:rsid w:val="59C880DD"/>
    <w:rsid w:val="59D49C46"/>
    <w:rsid w:val="59EDD005"/>
    <w:rsid w:val="59EECCC9"/>
    <w:rsid w:val="59F71412"/>
    <w:rsid w:val="59F88D51"/>
    <w:rsid w:val="5A040E6A"/>
    <w:rsid w:val="5A0C64D9"/>
    <w:rsid w:val="5A351725"/>
    <w:rsid w:val="5A4AAE8A"/>
    <w:rsid w:val="5A4C00BE"/>
    <w:rsid w:val="5A4D68FA"/>
    <w:rsid w:val="5A5BFA69"/>
    <w:rsid w:val="5AAF07E3"/>
    <w:rsid w:val="5AB00674"/>
    <w:rsid w:val="5AB38709"/>
    <w:rsid w:val="5AF5605D"/>
    <w:rsid w:val="5B077F3F"/>
    <w:rsid w:val="5B1DAC61"/>
    <w:rsid w:val="5B558E62"/>
    <w:rsid w:val="5B5A6CBC"/>
    <w:rsid w:val="5B5E3AC8"/>
    <w:rsid w:val="5B7CA2D8"/>
    <w:rsid w:val="5B8A4E5A"/>
    <w:rsid w:val="5B8C4578"/>
    <w:rsid w:val="5BD57301"/>
    <w:rsid w:val="5BE3E287"/>
    <w:rsid w:val="5BE707F9"/>
    <w:rsid w:val="5BFABEA6"/>
    <w:rsid w:val="5BFB2C5B"/>
    <w:rsid w:val="5C0703C4"/>
    <w:rsid w:val="5C134D06"/>
    <w:rsid w:val="5C291E1E"/>
    <w:rsid w:val="5C3B0E94"/>
    <w:rsid w:val="5C3B7E2B"/>
    <w:rsid w:val="5C428E51"/>
    <w:rsid w:val="5C49447C"/>
    <w:rsid w:val="5C5A73A8"/>
    <w:rsid w:val="5C856C6F"/>
    <w:rsid w:val="5C877F2B"/>
    <w:rsid w:val="5C95E98D"/>
    <w:rsid w:val="5CA84F46"/>
    <w:rsid w:val="5CAD8498"/>
    <w:rsid w:val="5CAF8DDC"/>
    <w:rsid w:val="5D04A76B"/>
    <w:rsid w:val="5D0C2CF8"/>
    <w:rsid w:val="5D1478BC"/>
    <w:rsid w:val="5D335CDB"/>
    <w:rsid w:val="5D3374BB"/>
    <w:rsid w:val="5D341685"/>
    <w:rsid w:val="5D36A52C"/>
    <w:rsid w:val="5D6CB3F4"/>
    <w:rsid w:val="5D837210"/>
    <w:rsid w:val="5D977125"/>
    <w:rsid w:val="5DB10105"/>
    <w:rsid w:val="5DDEDD6F"/>
    <w:rsid w:val="5DE11DBE"/>
    <w:rsid w:val="5DE7284E"/>
    <w:rsid w:val="5DE74499"/>
    <w:rsid w:val="5E2C53E9"/>
    <w:rsid w:val="5E36B510"/>
    <w:rsid w:val="5E3D1446"/>
    <w:rsid w:val="5E42F9B3"/>
    <w:rsid w:val="5E53F14A"/>
    <w:rsid w:val="5E7D5315"/>
    <w:rsid w:val="5E8FE749"/>
    <w:rsid w:val="5EB2A098"/>
    <w:rsid w:val="5EBA0B39"/>
    <w:rsid w:val="5EC75484"/>
    <w:rsid w:val="5EDAFBF1"/>
    <w:rsid w:val="5EDF19E0"/>
    <w:rsid w:val="5EEFE6EB"/>
    <w:rsid w:val="5EF4529A"/>
    <w:rsid w:val="5EF9FC13"/>
    <w:rsid w:val="5EFCCAF8"/>
    <w:rsid w:val="5F041ACD"/>
    <w:rsid w:val="5F1E87E7"/>
    <w:rsid w:val="5F560885"/>
    <w:rsid w:val="5F56DC48"/>
    <w:rsid w:val="5F8B2A59"/>
    <w:rsid w:val="5F9EE377"/>
    <w:rsid w:val="5FA9C9A4"/>
    <w:rsid w:val="5FADED36"/>
    <w:rsid w:val="5FB54762"/>
    <w:rsid w:val="5FBA9EB7"/>
    <w:rsid w:val="5FD4FD2F"/>
    <w:rsid w:val="5FD9FA7C"/>
    <w:rsid w:val="5FDFADA4"/>
    <w:rsid w:val="600D3541"/>
    <w:rsid w:val="600E8874"/>
    <w:rsid w:val="6010437C"/>
    <w:rsid w:val="601841BF"/>
    <w:rsid w:val="601E3F20"/>
    <w:rsid w:val="603275F0"/>
    <w:rsid w:val="603DE117"/>
    <w:rsid w:val="6040BECE"/>
    <w:rsid w:val="6043775A"/>
    <w:rsid w:val="606FFFBD"/>
    <w:rsid w:val="6085215A"/>
    <w:rsid w:val="6090A502"/>
    <w:rsid w:val="6092DA33"/>
    <w:rsid w:val="609ED88F"/>
    <w:rsid w:val="60AD910E"/>
    <w:rsid w:val="60C6F53A"/>
    <w:rsid w:val="60CF2DC7"/>
    <w:rsid w:val="60D0C1B6"/>
    <w:rsid w:val="61065312"/>
    <w:rsid w:val="6130CD74"/>
    <w:rsid w:val="6143BAFC"/>
    <w:rsid w:val="6181D767"/>
    <w:rsid w:val="618FFD48"/>
    <w:rsid w:val="61965C13"/>
    <w:rsid w:val="61983668"/>
    <w:rsid w:val="61994585"/>
    <w:rsid w:val="61A147A8"/>
    <w:rsid w:val="61AF0BB2"/>
    <w:rsid w:val="61B04FF3"/>
    <w:rsid w:val="61B51793"/>
    <w:rsid w:val="61D12B51"/>
    <w:rsid w:val="6234A219"/>
    <w:rsid w:val="6242F57B"/>
    <w:rsid w:val="6263E1DB"/>
    <w:rsid w:val="628AED30"/>
    <w:rsid w:val="62959B5E"/>
    <w:rsid w:val="629E01F3"/>
    <w:rsid w:val="62B455D5"/>
    <w:rsid w:val="62B9103C"/>
    <w:rsid w:val="62C1146D"/>
    <w:rsid w:val="62C8FF65"/>
    <w:rsid w:val="62E44641"/>
    <w:rsid w:val="62ED168A"/>
    <w:rsid w:val="630122ED"/>
    <w:rsid w:val="630B944F"/>
    <w:rsid w:val="631DF89F"/>
    <w:rsid w:val="632A2E78"/>
    <w:rsid w:val="633099C3"/>
    <w:rsid w:val="633D2673"/>
    <w:rsid w:val="634432DF"/>
    <w:rsid w:val="63737B02"/>
    <w:rsid w:val="637D2992"/>
    <w:rsid w:val="639F1D63"/>
    <w:rsid w:val="63A2F0F7"/>
    <w:rsid w:val="63D36D49"/>
    <w:rsid w:val="63D48E8F"/>
    <w:rsid w:val="64114E21"/>
    <w:rsid w:val="641E424A"/>
    <w:rsid w:val="647DB644"/>
    <w:rsid w:val="647EC531"/>
    <w:rsid w:val="64A3F2A6"/>
    <w:rsid w:val="64A4B841"/>
    <w:rsid w:val="64ADD92B"/>
    <w:rsid w:val="64CD2F21"/>
    <w:rsid w:val="64D39DE9"/>
    <w:rsid w:val="64D7028D"/>
    <w:rsid w:val="64DADB71"/>
    <w:rsid w:val="64DEAB45"/>
    <w:rsid w:val="64F0EDD1"/>
    <w:rsid w:val="64FF9F6E"/>
    <w:rsid w:val="650706D4"/>
    <w:rsid w:val="650A7D98"/>
    <w:rsid w:val="652398C4"/>
    <w:rsid w:val="6544F03F"/>
    <w:rsid w:val="6569876B"/>
    <w:rsid w:val="65704082"/>
    <w:rsid w:val="6590D9FE"/>
    <w:rsid w:val="65A15A37"/>
    <w:rsid w:val="65A9A066"/>
    <w:rsid w:val="65C45528"/>
    <w:rsid w:val="65DA9044"/>
    <w:rsid w:val="65EEA8A2"/>
    <w:rsid w:val="65F2AC1B"/>
    <w:rsid w:val="65F798C7"/>
    <w:rsid w:val="65FEB84C"/>
    <w:rsid w:val="660B3F76"/>
    <w:rsid w:val="66293BD5"/>
    <w:rsid w:val="6647E754"/>
    <w:rsid w:val="66531DF5"/>
    <w:rsid w:val="666409F4"/>
    <w:rsid w:val="667C1C60"/>
    <w:rsid w:val="667C1E60"/>
    <w:rsid w:val="6684E562"/>
    <w:rsid w:val="6690BB1D"/>
    <w:rsid w:val="6692D4A2"/>
    <w:rsid w:val="669B58A1"/>
    <w:rsid w:val="66E9EE6B"/>
    <w:rsid w:val="672455E6"/>
    <w:rsid w:val="67278A30"/>
    <w:rsid w:val="6749A07B"/>
    <w:rsid w:val="6769F9E1"/>
    <w:rsid w:val="67DFCDCC"/>
    <w:rsid w:val="67EF3F6C"/>
    <w:rsid w:val="67F9EBBA"/>
    <w:rsid w:val="67FDFF92"/>
    <w:rsid w:val="680A7CD3"/>
    <w:rsid w:val="680AAD09"/>
    <w:rsid w:val="68249E50"/>
    <w:rsid w:val="683CE252"/>
    <w:rsid w:val="683EA9B8"/>
    <w:rsid w:val="68410D31"/>
    <w:rsid w:val="68469E9C"/>
    <w:rsid w:val="6848B74E"/>
    <w:rsid w:val="6851E403"/>
    <w:rsid w:val="68577CE2"/>
    <w:rsid w:val="685AB5DC"/>
    <w:rsid w:val="685C21C9"/>
    <w:rsid w:val="68A3051A"/>
    <w:rsid w:val="68A3B5D2"/>
    <w:rsid w:val="68A9A43C"/>
    <w:rsid w:val="68B513F9"/>
    <w:rsid w:val="68BE4D7E"/>
    <w:rsid w:val="68C29099"/>
    <w:rsid w:val="68D67BE6"/>
    <w:rsid w:val="6914992D"/>
    <w:rsid w:val="691A678B"/>
    <w:rsid w:val="691EB016"/>
    <w:rsid w:val="694C4EAF"/>
    <w:rsid w:val="697E4FCC"/>
    <w:rsid w:val="69A49B85"/>
    <w:rsid w:val="69E59A3E"/>
    <w:rsid w:val="69EBCF7B"/>
    <w:rsid w:val="69FE565B"/>
    <w:rsid w:val="6A07FED6"/>
    <w:rsid w:val="6A0AF8C0"/>
    <w:rsid w:val="6A355E48"/>
    <w:rsid w:val="6A448DE2"/>
    <w:rsid w:val="6A600F49"/>
    <w:rsid w:val="6A68E594"/>
    <w:rsid w:val="6A8AE7F4"/>
    <w:rsid w:val="6AA883CE"/>
    <w:rsid w:val="6AAB985B"/>
    <w:rsid w:val="6ABE1EA8"/>
    <w:rsid w:val="6ABF0DAF"/>
    <w:rsid w:val="6ACBC290"/>
    <w:rsid w:val="6AE649DF"/>
    <w:rsid w:val="6AF474C5"/>
    <w:rsid w:val="6AFE5BD7"/>
    <w:rsid w:val="6B0763D3"/>
    <w:rsid w:val="6B28718F"/>
    <w:rsid w:val="6B4611FA"/>
    <w:rsid w:val="6B65DE4B"/>
    <w:rsid w:val="6B6A7FF3"/>
    <w:rsid w:val="6B8D8CE2"/>
    <w:rsid w:val="6B910406"/>
    <w:rsid w:val="6B9C7E91"/>
    <w:rsid w:val="6BAFBF55"/>
    <w:rsid w:val="6BB6C7EE"/>
    <w:rsid w:val="6BD9AE68"/>
    <w:rsid w:val="6BF2E36C"/>
    <w:rsid w:val="6BFC844D"/>
    <w:rsid w:val="6C10F736"/>
    <w:rsid w:val="6C1A2666"/>
    <w:rsid w:val="6C3A174C"/>
    <w:rsid w:val="6C3D6C1A"/>
    <w:rsid w:val="6C47791C"/>
    <w:rsid w:val="6C4BA247"/>
    <w:rsid w:val="6C4E2070"/>
    <w:rsid w:val="6C57CB46"/>
    <w:rsid w:val="6C8A64F4"/>
    <w:rsid w:val="6CD8AAA8"/>
    <w:rsid w:val="6D0FABF7"/>
    <w:rsid w:val="6D34F51C"/>
    <w:rsid w:val="6D42D60D"/>
    <w:rsid w:val="6D5006ED"/>
    <w:rsid w:val="6D6E66C4"/>
    <w:rsid w:val="6D7D8C19"/>
    <w:rsid w:val="6D8C7476"/>
    <w:rsid w:val="6D9A62AB"/>
    <w:rsid w:val="6DC83BAD"/>
    <w:rsid w:val="6DCFAA61"/>
    <w:rsid w:val="6E0E2DDB"/>
    <w:rsid w:val="6E13113F"/>
    <w:rsid w:val="6E1A632D"/>
    <w:rsid w:val="6E35696B"/>
    <w:rsid w:val="6E38FD0B"/>
    <w:rsid w:val="6E7631A6"/>
    <w:rsid w:val="6E941C84"/>
    <w:rsid w:val="6EB88539"/>
    <w:rsid w:val="6ECA7C4E"/>
    <w:rsid w:val="6EDB8F38"/>
    <w:rsid w:val="6EE55ED6"/>
    <w:rsid w:val="6EFEE67E"/>
    <w:rsid w:val="6F0FEA9F"/>
    <w:rsid w:val="6F1004FE"/>
    <w:rsid w:val="6F35CEEF"/>
    <w:rsid w:val="6F43F527"/>
    <w:rsid w:val="6F6B12F3"/>
    <w:rsid w:val="6F957C34"/>
    <w:rsid w:val="6FB9ACF0"/>
    <w:rsid w:val="6FC70DE6"/>
    <w:rsid w:val="6FCD644B"/>
    <w:rsid w:val="6FE19211"/>
    <w:rsid w:val="700599DA"/>
    <w:rsid w:val="70407D12"/>
    <w:rsid w:val="7055BA1B"/>
    <w:rsid w:val="706B4A8A"/>
    <w:rsid w:val="708F2F01"/>
    <w:rsid w:val="7098829C"/>
    <w:rsid w:val="709FB897"/>
    <w:rsid w:val="70A0F321"/>
    <w:rsid w:val="70A241C3"/>
    <w:rsid w:val="70AD3CB1"/>
    <w:rsid w:val="70ADB2BB"/>
    <w:rsid w:val="70B06390"/>
    <w:rsid w:val="70C942F7"/>
    <w:rsid w:val="70D6E639"/>
    <w:rsid w:val="70F8BDBA"/>
    <w:rsid w:val="71395B81"/>
    <w:rsid w:val="715E4F8C"/>
    <w:rsid w:val="7173E211"/>
    <w:rsid w:val="7179386D"/>
    <w:rsid w:val="718CC80C"/>
    <w:rsid w:val="718D07DA"/>
    <w:rsid w:val="719652A6"/>
    <w:rsid w:val="71D4C69E"/>
    <w:rsid w:val="71F25A3E"/>
    <w:rsid w:val="71F7C176"/>
    <w:rsid w:val="720392BE"/>
    <w:rsid w:val="720F59FD"/>
    <w:rsid w:val="720FFF82"/>
    <w:rsid w:val="722EAFDB"/>
    <w:rsid w:val="7235BD36"/>
    <w:rsid w:val="7252FA77"/>
    <w:rsid w:val="7255C247"/>
    <w:rsid w:val="725BC5DF"/>
    <w:rsid w:val="726F0351"/>
    <w:rsid w:val="727308C6"/>
    <w:rsid w:val="72744DFF"/>
    <w:rsid w:val="7293C808"/>
    <w:rsid w:val="729A5FFF"/>
    <w:rsid w:val="72AC4341"/>
    <w:rsid w:val="72C8E174"/>
    <w:rsid w:val="72CCB4AA"/>
    <w:rsid w:val="72CF0D2F"/>
    <w:rsid w:val="731A7CC9"/>
    <w:rsid w:val="732F9F1A"/>
    <w:rsid w:val="73315195"/>
    <w:rsid w:val="73465014"/>
    <w:rsid w:val="73724EB9"/>
    <w:rsid w:val="737A372D"/>
    <w:rsid w:val="73AB3C53"/>
    <w:rsid w:val="73AF2AC2"/>
    <w:rsid w:val="73B36CB8"/>
    <w:rsid w:val="73B4931D"/>
    <w:rsid w:val="73C5CE66"/>
    <w:rsid w:val="73D95DA6"/>
    <w:rsid w:val="73DF6BCE"/>
    <w:rsid w:val="73E03C26"/>
    <w:rsid w:val="73E3CEBF"/>
    <w:rsid w:val="73EC1DE6"/>
    <w:rsid w:val="73FDC873"/>
    <w:rsid w:val="74246CEF"/>
    <w:rsid w:val="7432FBD8"/>
    <w:rsid w:val="7447FB65"/>
    <w:rsid w:val="745BFF92"/>
    <w:rsid w:val="7476B406"/>
    <w:rsid w:val="7481C9D7"/>
    <w:rsid w:val="74E38BB2"/>
    <w:rsid w:val="74E5A943"/>
    <w:rsid w:val="74F701B1"/>
    <w:rsid w:val="74F8DDE0"/>
    <w:rsid w:val="750305C1"/>
    <w:rsid w:val="75079A62"/>
    <w:rsid w:val="7556F90D"/>
    <w:rsid w:val="7563D702"/>
    <w:rsid w:val="7580B5B2"/>
    <w:rsid w:val="75912219"/>
    <w:rsid w:val="75A529CB"/>
    <w:rsid w:val="75B49FF4"/>
    <w:rsid w:val="75E4502B"/>
    <w:rsid w:val="76282FEB"/>
    <w:rsid w:val="762ACA9A"/>
    <w:rsid w:val="76306C54"/>
    <w:rsid w:val="76338D19"/>
    <w:rsid w:val="7647EBD3"/>
    <w:rsid w:val="765AFF0E"/>
    <w:rsid w:val="7660040E"/>
    <w:rsid w:val="766181F6"/>
    <w:rsid w:val="76AF0219"/>
    <w:rsid w:val="76C23E92"/>
    <w:rsid w:val="76C2A604"/>
    <w:rsid w:val="76F5AA07"/>
    <w:rsid w:val="76F77CFB"/>
    <w:rsid w:val="7742F3ED"/>
    <w:rsid w:val="77492D70"/>
    <w:rsid w:val="77591F3E"/>
    <w:rsid w:val="775FB821"/>
    <w:rsid w:val="776116A6"/>
    <w:rsid w:val="776872B7"/>
    <w:rsid w:val="777424FA"/>
    <w:rsid w:val="778D0619"/>
    <w:rsid w:val="7797EAC9"/>
    <w:rsid w:val="77A49015"/>
    <w:rsid w:val="77A95D45"/>
    <w:rsid w:val="77B083A1"/>
    <w:rsid w:val="77B7F60E"/>
    <w:rsid w:val="77BDF1C0"/>
    <w:rsid w:val="77C56FA2"/>
    <w:rsid w:val="77CB3592"/>
    <w:rsid w:val="7804A6AD"/>
    <w:rsid w:val="780A4B21"/>
    <w:rsid w:val="7814379D"/>
    <w:rsid w:val="78153AD3"/>
    <w:rsid w:val="78215780"/>
    <w:rsid w:val="782D6623"/>
    <w:rsid w:val="7835C2D7"/>
    <w:rsid w:val="7839B198"/>
    <w:rsid w:val="78464F43"/>
    <w:rsid w:val="78707543"/>
    <w:rsid w:val="7893F281"/>
    <w:rsid w:val="78A37C13"/>
    <w:rsid w:val="78C3235D"/>
    <w:rsid w:val="78C961D1"/>
    <w:rsid w:val="78E1F0E4"/>
    <w:rsid w:val="78F8257A"/>
    <w:rsid w:val="78FD7CD6"/>
    <w:rsid w:val="790ED580"/>
    <w:rsid w:val="791DF02A"/>
    <w:rsid w:val="79476FB1"/>
    <w:rsid w:val="7947CDF5"/>
    <w:rsid w:val="794D0CC1"/>
    <w:rsid w:val="798A56C0"/>
    <w:rsid w:val="799D6398"/>
    <w:rsid w:val="799EE77B"/>
    <w:rsid w:val="79AD128B"/>
    <w:rsid w:val="79C7C616"/>
    <w:rsid w:val="79DA2072"/>
    <w:rsid w:val="79DFA678"/>
    <w:rsid w:val="79E1F05F"/>
    <w:rsid w:val="79E256B6"/>
    <w:rsid w:val="79ED7302"/>
    <w:rsid w:val="79F890CB"/>
    <w:rsid w:val="7A255934"/>
    <w:rsid w:val="7A2C97CE"/>
    <w:rsid w:val="7A33A702"/>
    <w:rsid w:val="7A500B59"/>
    <w:rsid w:val="7A68203B"/>
    <w:rsid w:val="7A96BC15"/>
    <w:rsid w:val="7A98F8EF"/>
    <w:rsid w:val="7AA264B2"/>
    <w:rsid w:val="7AB9680D"/>
    <w:rsid w:val="7AF24CF7"/>
    <w:rsid w:val="7B1D1ECD"/>
    <w:rsid w:val="7B3A6F15"/>
    <w:rsid w:val="7B5908C7"/>
    <w:rsid w:val="7B5E97F7"/>
    <w:rsid w:val="7B6F6458"/>
    <w:rsid w:val="7B768C68"/>
    <w:rsid w:val="7BA8A3B4"/>
    <w:rsid w:val="7BE3C353"/>
    <w:rsid w:val="7BE56ED5"/>
    <w:rsid w:val="7BF2D342"/>
    <w:rsid w:val="7C009624"/>
    <w:rsid w:val="7C02E367"/>
    <w:rsid w:val="7C1CEC6A"/>
    <w:rsid w:val="7C200058"/>
    <w:rsid w:val="7C2A31DB"/>
    <w:rsid w:val="7C3A02A7"/>
    <w:rsid w:val="7C4108B2"/>
    <w:rsid w:val="7C507DC3"/>
    <w:rsid w:val="7C7B6363"/>
    <w:rsid w:val="7CA7770B"/>
    <w:rsid w:val="7CAD3EFF"/>
    <w:rsid w:val="7CDE7182"/>
    <w:rsid w:val="7CE94E5C"/>
    <w:rsid w:val="7CFAC590"/>
    <w:rsid w:val="7CFB6F66"/>
    <w:rsid w:val="7D0A4B68"/>
    <w:rsid w:val="7D0BD598"/>
    <w:rsid w:val="7D2BCB41"/>
    <w:rsid w:val="7D319027"/>
    <w:rsid w:val="7D4662D0"/>
    <w:rsid w:val="7D4BE345"/>
    <w:rsid w:val="7D546C50"/>
    <w:rsid w:val="7D577ECF"/>
    <w:rsid w:val="7D76B0C4"/>
    <w:rsid w:val="7D7B28C7"/>
    <w:rsid w:val="7D94C1F3"/>
    <w:rsid w:val="7DE9A949"/>
    <w:rsid w:val="7DF06AA7"/>
    <w:rsid w:val="7E00C295"/>
    <w:rsid w:val="7E2A3B89"/>
    <w:rsid w:val="7E4885AA"/>
    <w:rsid w:val="7E4D28C5"/>
    <w:rsid w:val="7E57C1A5"/>
    <w:rsid w:val="7E7D0847"/>
    <w:rsid w:val="7E8A9C62"/>
    <w:rsid w:val="7E933A7C"/>
    <w:rsid w:val="7EB590F5"/>
    <w:rsid w:val="7EBBA93B"/>
    <w:rsid w:val="7EC6119C"/>
    <w:rsid w:val="7EC8DFF7"/>
    <w:rsid w:val="7EEF1A91"/>
    <w:rsid w:val="7EF1D423"/>
    <w:rsid w:val="7EF42419"/>
    <w:rsid w:val="7EFADC97"/>
    <w:rsid w:val="7F04CCA6"/>
    <w:rsid w:val="7F1023E1"/>
    <w:rsid w:val="7F144F5F"/>
    <w:rsid w:val="7F39C66D"/>
    <w:rsid w:val="7F4CABAE"/>
    <w:rsid w:val="7F518EE7"/>
    <w:rsid w:val="7F59A418"/>
    <w:rsid w:val="7F5BECD6"/>
    <w:rsid w:val="7F641A3D"/>
    <w:rsid w:val="7F6E8E3E"/>
    <w:rsid w:val="7F72D04D"/>
    <w:rsid w:val="7F858171"/>
    <w:rsid w:val="7FBB5606"/>
    <w:rsid w:val="7FC64648"/>
    <w:rsid w:val="7FF31E3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3" type="connector" idref="#_x0000_s2051"/>
        <o:r id="V:Rule4" type="connector" idref="#_x0000_s2052"/>
      </o:rules>
    </o:shapelayout>
  </w:shapeDefaults>
  <w:decimalSymbol w:val="."/>
  <w:listSeparator w:val=","/>
  <w14:docId w14:val="094CCBD2"/>
  <w15:docId w15:val="{78C95B99-B1F7-4404-A162-283CF69E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C90"/>
    <w:rPr>
      <w:sz w:val="24"/>
      <w:szCs w:val="24"/>
      <w:lang w:val="en-US" w:eastAsia="en-US"/>
    </w:rPr>
  </w:style>
  <w:style w:type="paragraph" w:styleId="Heading1">
    <w:name w:val="heading 1"/>
    <w:basedOn w:val="Normal"/>
    <w:next w:val="Normal"/>
    <w:link w:val="Heading1Char"/>
    <w:uiPriority w:val="9"/>
    <w:qFormat/>
    <w:rsid w:val="00A85602"/>
    <w:pPr>
      <w:keepNext/>
      <w:numPr>
        <w:numId w:val="14"/>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85602"/>
    <w:pPr>
      <w:keepNext/>
      <w:numPr>
        <w:ilvl w:val="1"/>
        <w:numId w:val="14"/>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85602"/>
    <w:pPr>
      <w:keepNext/>
      <w:numPr>
        <w:ilvl w:val="2"/>
        <w:numId w:val="14"/>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85602"/>
    <w:pPr>
      <w:keepNext/>
      <w:numPr>
        <w:ilvl w:val="3"/>
        <w:numId w:val="14"/>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85602"/>
    <w:pPr>
      <w:numPr>
        <w:ilvl w:val="4"/>
        <w:numId w:val="14"/>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85602"/>
    <w:pPr>
      <w:numPr>
        <w:ilvl w:val="5"/>
        <w:numId w:val="14"/>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85602"/>
    <w:pPr>
      <w:numPr>
        <w:ilvl w:val="6"/>
        <w:numId w:val="14"/>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A85602"/>
    <w:pPr>
      <w:numPr>
        <w:ilvl w:val="7"/>
        <w:numId w:val="14"/>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A85602"/>
    <w:pPr>
      <w:numPr>
        <w:ilvl w:val="8"/>
        <w:numId w:val="1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F68"/>
    <w:pPr>
      <w:tabs>
        <w:tab w:val="center" w:pos="4513"/>
        <w:tab w:val="right" w:pos="9026"/>
      </w:tabs>
    </w:pPr>
  </w:style>
  <w:style w:type="paragraph" w:styleId="TOC1">
    <w:name w:val="toc 1"/>
    <w:basedOn w:val="Normal"/>
    <w:next w:val="Normal"/>
    <w:autoRedefine/>
    <w:uiPriority w:val="39"/>
    <w:unhideWhenUsed/>
    <w:rsid w:val="00175CAE"/>
  </w:style>
  <w:style w:type="character" w:customStyle="1" w:styleId="HeaderChar">
    <w:name w:val="Header Char"/>
    <w:link w:val="Header"/>
    <w:uiPriority w:val="99"/>
    <w:rsid w:val="00FC1F68"/>
    <w:rPr>
      <w:sz w:val="24"/>
      <w:szCs w:val="24"/>
      <w:lang w:val="en-US" w:eastAsia="en-US"/>
    </w:rPr>
  </w:style>
  <w:style w:type="paragraph" w:styleId="Footer">
    <w:name w:val="footer"/>
    <w:basedOn w:val="Normal"/>
    <w:link w:val="FooterChar"/>
    <w:uiPriority w:val="99"/>
    <w:unhideWhenUsed/>
    <w:rsid w:val="00FC1F68"/>
    <w:pPr>
      <w:tabs>
        <w:tab w:val="center" w:pos="4513"/>
        <w:tab w:val="right" w:pos="9026"/>
      </w:tabs>
    </w:pPr>
  </w:style>
  <w:style w:type="character" w:customStyle="1" w:styleId="FooterChar">
    <w:name w:val="Footer Char"/>
    <w:link w:val="Footer"/>
    <w:uiPriority w:val="99"/>
    <w:rsid w:val="00FC1F68"/>
    <w:rPr>
      <w:sz w:val="24"/>
      <w:szCs w:val="24"/>
      <w:lang w:val="en-US" w:eastAsia="en-US"/>
    </w:rPr>
  </w:style>
  <w:style w:type="character" w:customStyle="1" w:styleId="Heading1Char">
    <w:name w:val="Heading 1 Char"/>
    <w:link w:val="Heading1"/>
    <w:uiPriority w:val="9"/>
    <w:rsid w:val="00A85602"/>
    <w:rPr>
      <w:rFonts w:ascii="Cambria" w:hAnsi="Cambria"/>
      <w:b/>
      <w:bCs/>
      <w:kern w:val="32"/>
      <w:sz w:val="32"/>
      <w:szCs w:val="32"/>
      <w:lang w:val="en-US" w:eastAsia="en-US"/>
    </w:rPr>
  </w:style>
  <w:style w:type="character" w:customStyle="1" w:styleId="Heading2Char">
    <w:name w:val="Heading 2 Char"/>
    <w:link w:val="Heading2"/>
    <w:uiPriority w:val="9"/>
    <w:rsid w:val="00A85602"/>
    <w:rPr>
      <w:rFonts w:ascii="Cambria" w:hAnsi="Cambria"/>
      <w:b/>
      <w:bCs/>
      <w:i/>
      <w:iCs/>
      <w:sz w:val="28"/>
      <w:szCs w:val="28"/>
      <w:lang w:val="en-US" w:eastAsia="en-US"/>
    </w:rPr>
  </w:style>
  <w:style w:type="character" w:customStyle="1" w:styleId="Heading3Char">
    <w:name w:val="Heading 3 Char"/>
    <w:link w:val="Heading3"/>
    <w:uiPriority w:val="9"/>
    <w:rsid w:val="00A85602"/>
    <w:rPr>
      <w:rFonts w:ascii="Cambria" w:hAnsi="Cambria"/>
      <w:b/>
      <w:bCs/>
      <w:sz w:val="26"/>
      <w:szCs w:val="26"/>
      <w:lang w:val="en-US" w:eastAsia="en-US"/>
    </w:rPr>
  </w:style>
  <w:style w:type="character" w:customStyle="1" w:styleId="Heading4Char">
    <w:name w:val="Heading 4 Char"/>
    <w:link w:val="Heading4"/>
    <w:uiPriority w:val="9"/>
    <w:rsid w:val="00A85602"/>
    <w:rPr>
      <w:rFonts w:ascii="Calibri" w:hAnsi="Calibri"/>
      <w:b/>
      <w:bCs/>
      <w:sz w:val="28"/>
      <w:szCs w:val="28"/>
      <w:lang w:val="en-US" w:eastAsia="en-US"/>
    </w:rPr>
  </w:style>
  <w:style w:type="character" w:customStyle="1" w:styleId="Heading5Char">
    <w:name w:val="Heading 5 Char"/>
    <w:link w:val="Heading5"/>
    <w:uiPriority w:val="9"/>
    <w:semiHidden/>
    <w:rsid w:val="00A85602"/>
    <w:rPr>
      <w:rFonts w:ascii="Calibri" w:hAnsi="Calibri"/>
      <w:b/>
      <w:bCs/>
      <w:i/>
      <w:iCs/>
      <w:sz w:val="26"/>
      <w:szCs w:val="26"/>
      <w:lang w:val="en-US" w:eastAsia="en-US"/>
    </w:rPr>
  </w:style>
  <w:style w:type="character" w:customStyle="1" w:styleId="Heading6Char">
    <w:name w:val="Heading 6 Char"/>
    <w:link w:val="Heading6"/>
    <w:uiPriority w:val="9"/>
    <w:semiHidden/>
    <w:rsid w:val="00A85602"/>
    <w:rPr>
      <w:rFonts w:ascii="Calibri" w:hAnsi="Calibri"/>
      <w:b/>
      <w:bCs/>
      <w:sz w:val="22"/>
      <w:szCs w:val="22"/>
      <w:lang w:val="en-US" w:eastAsia="en-US"/>
    </w:rPr>
  </w:style>
  <w:style w:type="character" w:customStyle="1" w:styleId="Heading7Char">
    <w:name w:val="Heading 7 Char"/>
    <w:link w:val="Heading7"/>
    <w:uiPriority w:val="9"/>
    <w:semiHidden/>
    <w:rsid w:val="00A85602"/>
    <w:rPr>
      <w:rFonts w:ascii="Calibri" w:hAnsi="Calibri"/>
      <w:sz w:val="24"/>
      <w:szCs w:val="24"/>
      <w:lang w:val="en-US" w:eastAsia="en-US"/>
    </w:rPr>
  </w:style>
  <w:style w:type="character" w:customStyle="1" w:styleId="Heading8Char">
    <w:name w:val="Heading 8 Char"/>
    <w:link w:val="Heading8"/>
    <w:uiPriority w:val="9"/>
    <w:semiHidden/>
    <w:rsid w:val="00A85602"/>
    <w:rPr>
      <w:rFonts w:ascii="Calibri" w:hAnsi="Calibri"/>
      <w:i/>
      <w:iCs/>
      <w:sz w:val="24"/>
      <w:szCs w:val="24"/>
      <w:lang w:val="en-US" w:eastAsia="en-US"/>
    </w:rPr>
  </w:style>
  <w:style w:type="character" w:customStyle="1" w:styleId="Heading9Char">
    <w:name w:val="Heading 9 Char"/>
    <w:link w:val="Heading9"/>
    <w:uiPriority w:val="9"/>
    <w:semiHidden/>
    <w:rsid w:val="00A85602"/>
    <w:rPr>
      <w:rFonts w:ascii="Cambria" w:hAnsi="Cambria"/>
      <w:sz w:val="22"/>
      <w:szCs w:val="22"/>
      <w:lang w:val="en-US" w:eastAsia="en-US"/>
    </w:rPr>
  </w:style>
  <w:style w:type="paragraph" w:styleId="BodyText">
    <w:name w:val="Body Text"/>
    <w:basedOn w:val="Normal"/>
    <w:link w:val="BodyTextChar"/>
    <w:rsid w:val="00DD6E8C"/>
    <w:pPr>
      <w:spacing w:before="120" w:after="120" w:line="360" w:lineRule="auto"/>
    </w:pPr>
    <w:rPr>
      <w:lang w:val="en-CA"/>
    </w:rPr>
  </w:style>
  <w:style w:type="character" w:customStyle="1" w:styleId="BodyTextChar">
    <w:name w:val="Body Text Char"/>
    <w:link w:val="BodyText"/>
    <w:rsid w:val="00DD6E8C"/>
    <w:rPr>
      <w:sz w:val="24"/>
      <w:szCs w:val="24"/>
      <w:lang w:val="en-CA" w:eastAsia="en-US"/>
    </w:rPr>
  </w:style>
  <w:style w:type="paragraph" w:customStyle="1" w:styleId="WSFourthLevelParaNum">
    <w:name w:val="WS Fourth Level Para Num"/>
    <w:basedOn w:val="BodyText"/>
    <w:rsid w:val="00DD6E8C"/>
    <w:pPr>
      <w:numPr>
        <w:numId w:val="16"/>
      </w:numPr>
      <w:spacing w:line="480" w:lineRule="auto"/>
    </w:pPr>
  </w:style>
  <w:style w:type="character" w:customStyle="1" w:styleId="Italic">
    <w:name w:val="Italic"/>
    <w:rsid w:val="00DD6E8C"/>
    <w:rPr>
      <w:i/>
    </w:rPr>
  </w:style>
  <w:style w:type="paragraph" w:customStyle="1" w:styleId="WSParaNum">
    <w:name w:val="WS ParaNum"/>
    <w:basedOn w:val="BodyText"/>
    <w:rsid w:val="00DD6E8C"/>
    <w:pPr>
      <w:numPr>
        <w:numId w:val="17"/>
      </w:numPr>
    </w:pPr>
  </w:style>
  <w:style w:type="paragraph" w:styleId="TOC2">
    <w:name w:val="toc 2"/>
    <w:basedOn w:val="Normal"/>
    <w:next w:val="Normal"/>
    <w:autoRedefine/>
    <w:uiPriority w:val="39"/>
    <w:unhideWhenUsed/>
    <w:rsid w:val="004D3700"/>
    <w:pPr>
      <w:ind w:left="240"/>
    </w:pPr>
  </w:style>
  <w:style w:type="paragraph" w:styleId="TOC3">
    <w:name w:val="toc 3"/>
    <w:basedOn w:val="Normal"/>
    <w:next w:val="Normal"/>
    <w:autoRedefine/>
    <w:uiPriority w:val="39"/>
    <w:unhideWhenUsed/>
    <w:rsid w:val="00F045DC"/>
    <w:pPr>
      <w:ind w:left="480"/>
    </w:pPr>
  </w:style>
  <w:style w:type="character" w:customStyle="1" w:styleId="Bold">
    <w:name w:val="Bold"/>
    <w:rsid w:val="00663B7A"/>
    <w:rPr>
      <w:b/>
    </w:rPr>
  </w:style>
  <w:style w:type="paragraph" w:customStyle="1" w:styleId="TitleBold">
    <w:name w:val="Title Bold"/>
    <w:basedOn w:val="Normal"/>
    <w:next w:val="BodyText"/>
    <w:rsid w:val="00663B7A"/>
    <w:pPr>
      <w:jc w:val="center"/>
    </w:pPr>
    <w:rPr>
      <w:b/>
      <w:sz w:val="28"/>
      <w:lang w:val="en-CA"/>
    </w:rPr>
  </w:style>
  <w:style w:type="paragraph" w:customStyle="1" w:styleId="DocsID">
    <w:name w:val="DocsID"/>
    <w:basedOn w:val="Normal"/>
    <w:rsid w:val="00E91D4B"/>
    <w:pPr>
      <w:spacing w:before="20"/>
    </w:pPr>
    <w:rPr>
      <w:sz w:val="16"/>
      <w:szCs w:val="20"/>
      <w:lang w:val="en-CA"/>
    </w:rPr>
  </w:style>
  <w:style w:type="paragraph" w:styleId="BalloonText">
    <w:name w:val="Balloon Text"/>
    <w:basedOn w:val="Normal"/>
    <w:link w:val="BalloonTextChar"/>
    <w:uiPriority w:val="99"/>
    <w:semiHidden/>
    <w:unhideWhenUsed/>
    <w:rsid w:val="002559B7"/>
    <w:rPr>
      <w:rFonts w:ascii="Tahoma" w:hAnsi="Tahoma" w:cs="Tahoma"/>
      <w:sz w:val="16"/>
      <w:szCs w:val="16"/>
    </w:rPr>
  </w:style>
  <w:style w:type="character" w:customStyle="1" w:styleId="BalloonTextChar">
    <w:name w:val="Balloon Text Char"/>
    <w:link w:val="BalloonText"/>
    <w:uiPriority w:val="99"/>
    <w:semiHidden/>
    <w:rsid w:val="002559B7"/>
    <w:rPr>
      <w:rFonts w:ascii="Tahoma" w:hAnsi="Tahoma" w:cs="Tahoma"/>
      <w:sz w:val="16"/>
      <w:szCs w:val="16"/>
    </w:rPr>
  </w:style>
  <w:style w:type="paragraph" w:styleId="Revision">
    <w:name w:val="Revision"/>
    <w:hidden/>
    <w:uiPriority w:val="99"/>
    <w:semiHidden/>
    <w:rsid w:val="00162F7F"/>
    <w:rPr>
      <w:sz w:val="24"/>
      <w:szCs w:val="24"/>
      <w:lang w:val="en-US" w:eastAsia="en-US"/>
    </w:rPr>
  </w:style>
  <w:style w:type="paragraph" w:styleId="FootnoteText">
    <w:name w:val="footnote text"/>
    <w:basedOn w:val="Normal"/>
    <w:link w:val="FootnoteTextChar"/>
    <w:uiPriority w:val="99"/>
    <w:semiHidden/>
    <w:unhideWhenUsed/>
    <w:rsid w:val="00A15E11"/>
    <w:rPr>
      <w:sz w:val="20"/>
      <w:szCs w:val="20"/>
    </w:rPr>
  </w:style>
  <w:style w:type="character" w:customStyle="1" w:styleId="FootnoteTextChar">
    <w:name w:val="Footnote Text Char"/>
    <w:basedOn w:val="DefaultParagraphFont"/>
    <w:link w:val="FootnoteText"/>
    <w:uiPriority w:val="99"/>
    <w:semiHidden/>
    <w:rsid w:val="00A15E11"/>
  </w:style>
  <w:style w:type="character" w:styleId="FootnoteReference">
    <w:name w:val="footnote reference"/>
    <w:uiPriority w:val="99"/>
    <w:semiHidden/>
    <w:unhideWhenUsed/>
    <w:rsid w:val="00A15E11"/>
    <w:rPr>
      <w:vertAlign w:val="superscript"/>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B2173"/>
    <w:rPr>
      <w:b/>
      <w:bCs/>
    </w:rPr>
  </w:style>
  <w:style w:type="character" w:customStyle="1" w:styleId="CommentSubjectChar">
    <w:name w:val="Comment Subject Char"/>
    <w:link w:val="CommentSubject"/>
    <w:uiPriority w:val="99"/>
    <w:semiHidden/>
    <w:rsid w:val="008B2173"/>
    <w:rPr>
      <w:b/>
      <w:bCs/>
    </w:rPr>
  </w:style>
  <w:style w:type="character" w:styleId="Hyperlink">
    <w:name w:val="Hyperlink"/>
    <w:uiPriority w:val="99"/>
    <w:unhideWhenUsed/>
    <w:rsid w:val="2F9692C9"/>
    <w:rPr>
      <w:color w:val="0000FF"/>
      <w:u w:val="single"/>
    </w:rPr>
  </w:style>
  <w:style w:type="character" w:styleId="UnresolvedMention">
    <w:name w:val="Unresolved Mention"/>
    <w:uiPriority w:val="99"/>
    <w:semiHidden/>
    <w:unhideWhenUsed/>
    <w:rsid w:val="00A82C71"/>
    <w:rPr>
      <w:color w:val="605E5C"/>
      <w:shd w:val="clear" w:color="auto" w:fill="E1DFDD"/>
    </w:rPr>
  </w:style>
  <w:style w:type="paragraph" w:customStyle="1" w:styleId="headnote">
    <w:name w:val="headnote"/>
    <w:basedOn w:val="Normal"/>
    <w:rsid w:val="004049AC"/>
    <w:pPr>
      <w:spacing w:before="100" w:beforeAutospacing="1" w:after="100" w:afterAutospacing="1"/>
    </w:pPr>
    <w:rPr>
      <w:lang w:val="en-CA" w:eastAsia="en-CA"/>
    </w:rPr>
  </w:style>
  <w:style w:type="paragraph" w:customStyle="1" w:styleId="section">
    <w:name w:val="section"/>
    <w:basedOn w:val="Normal"/>
    <w:rsid w:val="004049AC"/>
    <w:pPr>
      <w:spacing w:before="100" w:beforeAutospacing="1" w:after="100" w:afterAutospacing="1"/>
    </w:pPr>
    <w:rPr>
      <w:lang w:val="en-CA" w:eastAsia="en-CA"/>
    </w:rPr>
  </w:style>
  <w:style w:type="character" w:customStyle="1" w:styleId="canliisectionwithsubsection">
    <w:name w:val="canlii_section_with_subsection"/>
    <w:basedOn w:val="DefaultParagraphFont"/>
    <w:rsid w:val="004049AC"/>
  </w:style>
  <w:style w:type="paragraph" w:customStyle="1" w:styleId="paragraph">
    <w:name w:val="paragraph"/>
    <w:basedOn w:val="Normal"/>
    <w:rsid w:val="004049AC"/>
    <w:pPr>
      <w:spacing w:before="100" w:beforeAutospacing="1" w:after="100" w:afterAutospacing="1"/>
    </w:pPr>
    <w:rPr>
      <w:lang w:val="en-CA" w:eastAsia="en-CA"/>
    </w:rPr>
  </w:style>
  <w:style w:type="paragraph" w:customStyle="1" w:styleId="subpara">
    <w:name w:val="subpara"/>
    <w:basedOn w:val="Normal"/>
    <w:rsid w:val="006E26C9"/>
    <w:pPr>
      <w:spacing w:before="100" w:beforeAutospacing="1" w:after="100" w:afterAutospacing="1"/>
    </w:pPr>
    <w:rPr>
      <w:lang w:val="en-CA" w:eastAsia="en-CA"/>
    </w:rPr>
  </w:style>
  <w:style w:type="paragraph" w:customStyle="1" w:styleId="psubsection">
    <w:name w:val="psubsection"/>
    <w:basedOn w:val="Normal"/>
    <w:rsid w:val="00127970"/>
    <w:pPr>
      <w:spacing w:before="100" w:beforeAutospacing="1" w:after="100" w:afterAutospacing="1"/>
    </w:pPr>
    <w:rPr>
      <w:lang w:val="en-CA" w:eastAsia="en-CA"/>
    </w:rPr>
  </w:style>
  <w:style w:type="paragraph" w:customStyle="1" w:styleId="definition">
    <w:name w:val="definition"/>
    <w:basedOn w:val="Normal"/>
    <w:rsid w:val="00127970"/>
    <w:pPr>
      <w:spacing w:before="100" w:beforeAutospacing="1" w:after="100" w:afterAutospacing="1"/>
    </w:pPr>
    <w:rPr>
      <w:lang w:val="en-CA" w:eastAsia="en-CA"/>
    </w:rPr>
  </w:style>
  <w:style w:type="paragraph" w:customStyle="1" w:styleId="subsection">
    <w:name w:val="subsection"/>
    <w:basedOn w:val="Normal"/>
    <w:rsid w:val="006943D1"/>
    <w:pPr>
      <w:spacing w:before="100" w:beforeAutospacing="1" w:after="100" w:afterAutospacing="1"/>
    </w:pPr>
    <w:rPr>
      <w:lang w:val="en-CA" w:eastAsia="en-CA"/>
    </w:rPr>
  </w:style>
  <w:style w:type="character" w:customStyle="1" w:styleId="canliisubsection">
    <w:name w:val="canlii_subsection"/>
    <w:basedOn w:val="DefaultParagraphFont"/>
    <w:rsid w:val="006943D1"/>
  </w:style>
  <w:style w:type="paragraph" w:styleId="NormalWeb">
    <w:name w:val="Normal (Web)"/>
    <w:basedOn w:val="Normal"/>
    <w:uiPriority w:val="99"/>
    <w:semiHidden/>
    <w:unhideWhenUsed/>
    <w:rsid w:val="00061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www.canlii.org/en/on/laws/stat/so-2007-c-6/latest/so-2007-c-6.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microsoft.com/office/2020/10/relationships/intelligence" Target="intelligence2.xml"/><Relationship Id="rId10" Type="http://schemas.openxmlformats.org/officeDocument/2006/relationships/header" Target="header2.xml"/><Relationship Id="rId19" Type="http://schemas.openxmlformats.org/officeDocument/2006/relationships/hyperlink" Target="https://www.canlii.org/en/on/laws/stat/so-2007-c-6/latest/so-2007-c-6.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C7DD3-76AB-45B3-BA0A-70C711C8F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8386</Words>
  <Characters>47801</Characters>
  <Application>Microsoft Office Word</Application>
  <DocSecurity>4</DocSecurity>
  <Lines>398</Lines>
  <Paragraphs>112</Paragraphs>
  <ScaleCrop>false</ScaleCrop>
  <Company>York University</Company>
  <LinksUpToDate>false</LinksUpToDate>
  <CharactersWithSpaces>56075</CharactersWithSpaces>
  <SharedDoc>false</SharedDoc>
  <HLinks>
    <vt:vector size="12" baseType="variant">
      <vt:variant>
        <vt:i4>2556013</vt:i4>
      </vt:variant>
      <vt:variant>
        <vt:i4>63</vt:i4>
      </vt:variant>
      <vt:variant>
        <vt:i4>0</vt:i4>
      </vt:variant>
      <vt:variant>
        <vt:i4>5</vt:i4>
      </vt:variant>
      <vt:variant>
        <vt:lpwstr>https://www.canlii.org/en/on/laws/stat/so-2007-c-6/latest/so-2007-c-6.html</vt:lpwstr>
      </vt:variant>
      <vt:variant>
        <vt:lpwstr/>
      </vt:variant>
      <vt:variant>
        <vt:i4>6160501</vt:i4>
      </vt:variant>
      <vt:variant>
        <vt:i4>60</vt:i4>
      </vt:variant>
      <vt:variant>
        <vt:i4>0</vt:i4>
      </vt:variant>
      <vt:variant>
        <vt:i4>5</vt:i4>
      </vt:variant>
      <vt:variant>
        <vt:lpwstr>https://www.canlii.org/en/on/laws/stat/so-2007-c-6/latest/so-2007-c-6.html</vt:lpwstr>
      </vt:variant>
      <vt:variant>
        <vt:lpwstr>sec10subsec1_smooth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dc:creator>
  <cp:keywords/>
  <dc:description/>
  <cp:lastModifiedBy>Vijai Dasrat</cp:lastModifiedBy>
  <cp:revision>2</cp:revision>
  <cp:lastPrinted>2026-01-09T19:42:00Z</cp:lastPrinted>
  <dcterms:created xsi:type="dcterms:W3CDTF">2026-01-13T21:15:00Z</dcterms:created>
  <dcterms:modified xsi:type="dcterms:W3CDTF">2026-01-13T21:15:00Z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DAutoUpdate">
    <vt:lpwstr>LAST</vt:lpwstr>
  </op:property>
  <op:property fmtid="{D5CDD505-2E9C-101B-9397-08002B2CF9AE}" pid="3" name="DocsID">
    <vt:lpwstr>2016904</vt:lpwstr>
  </op:property>
  <op:property fmtid="{D5CDD505-2E9C-101B-9397-08002B2CF9AE}" pid="4" name="ndDocumentId">
    <vt:lpwstr>1415-6005-7883</vt:lpwstr>
  </op:property>
</op:Properties>
</file>