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9B99B" w14:textId="77777777" w:rsidR="0039739C" w:rsidRDefault="007E62DB">
      <w:pPr>
        <w:spacing w:line="240" w:lineRule="auto"/>
        <w:jc w:val="center"/>
      </w:pPr>
      <w:r>
        <w:t>WILLMS &amp; SHIER ENVIRONMENTAL LAW MOOT COURT COMPETITION 2026</w:t>
      </w:r>
    </w:p>
    <w:p w14:paraId="41F23105" w14:textId="77777777" w:rsidR="0039739C" w:rsidRDefault="0039739C">
      <w:pPr>
        <w:spacing w:line="240" w:lineRule="auto"/>
        <w:jc w:val="center"/>
      </w:pPr>
    </w:p>
    <w:p w14:paraId="034F7220" w14:textId="77777777" w:rsidR="0039739C" w:rsidRDefault="0039739C">
      <w:pPr>
        <w:spacing w:line="240" w:lineRule="auto"/>
        <w:jc w:val="center"/>
      </w:pPr>
    </w:p>
    <w:p w14:paraId="19D9D8EB" w14:textId="77777777" w:rsidR="0039739C" w:rsidRDefault="007E62DB">
      <w:pPr>
        <w:spacing w:line="240" w:lineRule="auto"/>
        <w:jc w:val="right"/>
      </w:pPr>
      <w:r>
        <w:t>S.E.M.C.C. File Number: 02-14-2026</w:t>
      </w:r>
    </w:p>
    <w:p w14:paraId="5563780E" w14:textId="77777777" w:rsidR="0039739C" w:rsidRDefault="0039739C">
      <w:pPr>
        <w:spacing w:line="240" w:lineRule="auto"/>
        <w:jc w:val="center"/>
      </w:pPr>
    </w:p>
    <w:p w14:paraId="640182E8" w14:textId="77777777" w:rsidR="0039739C" w:rsidRDefault="007E62DB">
      <w:pPr>
        <w:spacing w:line="240" w:lineRule="auto"/>
        <w:jc w:val="center"/>
        <w:rPr>
          <w:b/>
          <w:bCs/>
        </w:rPr>
      </w:pPr>
      <w:r>
        <w:rPr>
          <w:b/>
          <w:bCs/>
        </w:rPr>
        <w:t>IN THE SUPREME ENVIRONMENTAL MOOT COURT OF CANADA</w:t>
      </w:r>
    </w:p>
    <w:p w14:paraId="2907E59C" w14:textId="77777777" w:rsidR="0039739C" w:rsidRDefault="0039739C">
      <w:pPr>
        <w:spacing w:line="240" w:lineRule="auto"/>
        <w:jc w:val="center"/>
      </w:pPr>
    </w:p>
    <w:p w14:paraId="2F0057A8" w14:textId="77777777" w:rsidR="0039739C" w:rsidRDefault="007E62DB">
      <w:pPr>
        <w:spacing w:line="240" w:lineRule="auto"/>
        <w:jc w:val="center"/>
        <w:rPr>
          <w:b/>
          <w:bCs/>
        </w:rPr>
      </w:pPr>
      <w:r>
        <w:rPr>
          <w:b/>
          <w:bCs/>
        </w:rPr>
        <w:t>(ON APPEAL FROM THE ONTARIO COURT OF JUSTICE)</w:t>
      </w:r>
    </w:p>
    <w:p w14:paraId="3B2F9489" w14:textId="77777777" w:rsidR="0039739C" w:rsidRDefault="0039739C">
      <w:pPr>
        <w:spacing w:line="240" w:lineRule="auto"/>
        <w:jc w:val="center"/>
      </w:pPr>
    </w:p>
    <w:p w14:paraId="2B6210B5" w14:textId="77777777" w:rsidR="0039739C" w:rsidRDefault="007E62DB">
      <w:pPr>
        <w:spacing w:line="240" w:lineRule="auto"/>
      </w:pPr>
      <w:r>
        <w:t>B E T W E E N:</w:t>
      </w:r>
    </w:p>
    <w:p w14:paraId="6C27A76C" w14:textId="77777777" w:rsidR="0039739C" w:rsidRDefault="0039739C">
      <w:pPr>
        <w:spacing w:line="240" w:lineRule="auto"/>
        <w:jc w:val="center"/>
      </w:pPr>
    </w:p>
    <w:p w14:paraId="484ED8DD" w14:textId="77777777" w:rsidR="0039739C" w:rsidRDefault="007E62DB">
      <w:pPr>
        <w:spacing w:line="240" w:lineRule="auto"/>
        <w:jc w:val="center"/>
        <w:rPr>
          <w:b/>
          <w:bCs/>
        </w:rPr>
      </w:pPr>
      <w:r>
        <w:rPr>
          <w:b/>
          <w:bCs/>
        </w:rPr>
        <w:t>HIS MAJESTY THE KING</w:t>
      </w:r>
    </w:p>
    <w:p w14:paraId="13E26F14" w14:textId="77777777" w:rsidR="0039739C" w:rsidRDefault="0039739C">
      <w:pPr>
        <w:spacing w:line="240" w:lineRule="auto"/>
        <w:jc w:val="center"/>
      </w:pPr>
    </w:p>
    <w:p w14:paraId="70CC0F1B" w14:textId="77777777" w:rsidR="0039739C" w:rsidRDefault="007E62DB">
      <w:pPr>
        <w:spacing w:line="240" w:lineRule="auto"/>
        <w:jc w:val="right"/>
      </w:pPr>
      <w:r>
        <w:t>APPELLANT</w:t>
      </w:r>
    </w:p>
    <w:p w14:paraId="5F6C6B87" w14:textId="77777777" w:rsidR="0039739C" w:rsidRDefault="0039739C">
      <w:pPr>
        <w:spacing w:line="240" w:lineRule="auto"/>
        <w:jc w:val="center"/>
      </w:pPr>
    </w:p>
    <w:p w14:paraId="5D660976" w14:textId="77777777" w:rsidR="0039739C" w:rsidRDefault="007E62DB">
      <w:pPr>
        <w:spacing w:line="240" w:lineRule="auto"/>
        <w:jc w:val="center"/>
      </w:pPr>
      <w:r>
        <w:t>- and -</w:t>
      </w:r>
    </w:p>
    <w:p w14:paraId="2E85D187" w14:textId="77777777" w:rsidR="0039739C" w:rsidRDefault="0039739C">
      <w:pPr>
        <w:spacing w:line="240" w:lineRule="auto"/>
        <w:jc w:val="center"/>
      </w:pPr>
    </w:p>
    <w:p w14:paraId="5EC403D4" w14:textId="77777777" w:rsidR="0039739C" w:rsidRDefault="0039739C">
      <w:pPr>
        <w:spacing w:line="240" w:lineRule="auto"/>
        <w:jc w:val="center"/>
      </w:pPr>
    </w:p>
    <w:p w14:paraId="20D3C96A" w14:textId="77777777" w:rsidR="0039739C" w:rsidRDefault="007E62DB">
      <w:pPr>
        <w:spacing w:line="240" w:lineRule="auto"/>
        <w:jc w:val="center"/>
        <w:rPr>
          <w:b/>
          <w:bCs/>
        </w:rPr>
      </w:pPr>
      <w:r>
        <w:rPr>
          <w:b/>
          <w:bCs/>
        </w:rPr>
        <w:t>CONSOLIDATED HOMES LTD.</w:t>
      </w:r>
    </w:p>
    <w:p w14:paraId="77E2A279" w14:textId="77777777" w:rsidR="0039739C" w:rsidRDefault="0039739C">
      <w:pPr>
        <w:spacing w:line="240" w:lineRule="auto"/>
        <w:jc w:val="center"/>
      </w:pPr>
    </w:p>
    <w:p w14:paraId="4C7FFA49" w14:textId="77777777" w:rsidR="0039739C" w:rsidRDefault="007E62DB">
      <w:pPr>
        <w:spacing w:line="240" w:lineRule="auto"/>
        <w:jc w:val="right"/>
      </w:pPr>
      <w:r>
        <w:t>RESPONDENT</w:t>
      </w:r>
    </w:p>
    <w:p w14:paraId="64B1A5CC" w14:textId="77777777" w:rsidR="0039739C" w:rsidRDefault="0039739C">
      <w:pPr>
        <w:spacing w:line="240" w:lineRule="auto"/>
        <w:jc w:val="center"/>
      </w:pPr>
    </w:p>
    <w:p w14:paraId="0E3276CD" w14:textId="77777777" w:rsidR="0039739C" w:rsidRDefault="0039739C">
      <w:pPr>
        <w:spacing w:line="240" w:lineRule="auto"/>
        <w:jc w:val="center"/>
      </w:pPr>
    </w:p>
    <w:tbl>
      <w:tblPr>
        <w:tblStyle w:val="a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39739C" w14:paraId="1B60D4D0" w14:textId="77777777">
        <w:tc>
          <w:tcPr>
            <w:tcW w:w="9360" w:type="dxa"/>
          </w:tcPr>
          <w:p w14:paraId="41045B55" w14:textId="77777777" w:rsidR="0039739C" w:rsidRDefault="0039739C">
            <w:pPr>
              <w:jc w:val="center"/>
              <w:rPr>
                <w:b/>
                <w:bCs/>
              </w:rPr>
            </w:pPr>
          </w:p>
          <w:p w14:paraId="5F30A2F2" w14:textId="77777777" w:rsidR="0039739C" w:rsidRDefault="007E62DB">
            <w:pPr>
              <w:jc w:val="center"/>
              <w:rPr>
                <w:b/>
                <w:bCs/>
              </w:rPr>
            </w:pPr>
            <w:r>
              <w:rPr>
                <w:b/>
                <w:bCs/>
              </w:rPr>
              <w:t>FACTUM OF THE APPELLANT</w:t>
            </w:r>
          </w:p>
          <w:p w14:paraId="67E7FA4C" w14:textId="77777777" w:rsidR="0039739C" w:rsidRDefault="007E62DB">
            <w:pPr>
              <w:jc w:val="center"/>
            </w:pPr>
            <w:r>
              <w:rPr>
                <w:b/>
                <w:bCs/>
              </w:rPr>
              <w:t>HIS MAJESTY THE KING</w:t>
            </w:r>
          </w:p>
          <w:p w14:paraId="497A3463" w14:textId="77777777" w:rsidR="0039739C" w:rsidRDefault="007E62DB">
            <w:pPr>
              <w:jc w:val="center"/>
            </w:pPr>
            <w:r>
              <w:t>Pursuant to Rule 12 of the</w:t>
            </w:r>
          </w:p>
          <w:p w14:paraId="7038A0B0" w14:textId="77777777" w:rsidR="0039739C" w:rsidRDefault="007E62DB">
            <w:pPr>
              <w:jc w:val="center"/>
            </w:pPr>
            <w:r>
              <w:t>Willms &amp; Shier Environmental Law Moot Official Competition Rules 2026</w:t>
            </w:r>
          </w:p>
          <w:p w14:paraId="47798143" w14:textId="77777777" w:rsidR="0039739C" w:rsidRDefault="0039739C">
            <w:pPr>
              <w:jc w:val="center"/>
            </w:pPr>
          </w:p>
        </w:tc>
      </w:tr>
    </w:tbl>
    <w:p w14:paraId="6CD0F17F" w14:textId="77777777" w:rsidR="0039739C" w:rsidRDefault="0039739C">
      <w:pPr>
        <w:spacing w:line="240" w:lineRule="auto"/>
        <w:jc w:val="center"/>
      </w:pPr>
    </w:p>
    <w:p w14:paraId="26CD8F59" w14:textId="77777777" w:rsidR="0039739C" w:rsidRDefault="007E62DB">
      <w:pPr>
        <w:spacing w:line="240" w:lineRule="auto"/>
        <w:jc w:val="center"/>
      </w:pPr>
      <w:r>
        <w:t xml:space="preserve">     </w:t>
      </w:r>
    </w:p>
    <w:p w14:paraId="370106B3" w14:textId="77777777" w:rsidR="0039739C" w:rsidRDefault="0039739C">
      <w:pPr>
        <w:spacing w:line="240" w:lineRule="auto"/>
        <w:jc w:val="center"/>
      </w:pPr>
    </w:p>
    <w:p w14:paraId="3D6AD1CD" w14:textId="77777777" w:rsidR="0039739C" w:rsidRDefault="007E62DB">
      <w:pPr>
        <w:spacing w:line="240" w:lineRule="auto"/>
        <w:jc w:val="right"/>
        <w:sectPr w:rsidR="0039739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r>
        <w:t>TEAM #</w:t>
      </w:r>
      <w:bookmarkStart w:id="0" w:name="bookmark=id.av4jb6wfbww4" w:colFirst="0" w:colLast="0"/>
      <w:bookmarkEnd w:id="0"/>
      <w:r>
        <w:t>   2026-11</w:t>
      </w:r>
    </w:p>
    <w:p w14:paraId="45FF77F8" w14:textId="77777777" w:rsidR="0039739C" w:rsidRDefault="007E62DB">
      <w:pPr>
        <w:spacing w:line="240" w:lineRule="auto"/>
        <w:ind w:left="1440" w:hanging="1440"/>
        <w:rPr>
          <w:b/>
          <w:bCs/>
        </w:rPr>
      </w:pPr>
      <w:r>
        <w:rPr>
          <w:b/>
          <w:bCs/>
        </w:rPr>
        <w:lastRenderedPageBreak/>
        <w:t xml:space="preserve">TO: </w:t>
      </w:r>
      <w:r>
        <w:rPr>
          <w:b/>
          <w:bCs/>
        </w:rPr>
        <w:tab/>
      </w:r>
      <w:r>
        <w:rPr>
          <w:b/>
          <w:bCs/>
        </w:rPr>
        <w:t xml:space="preserve">THE REGISTRAR OF THE </w:t>
      </w:r>
      <w:r>
        <w:rPr>
          <w:b/>
          <w:bCs/>
        </w:rPr>
        <w:br/>
        <w:t>SUPREME ENVIRONMENTAL MOOT COURT OF CANADA</w:t>
      </w:r>
    </w:p>
    <w:p w14:paraId="74AA3E68" w14:textId="77777777" w:rsidR="0039739C" w:rsidRDefault="0039739C">
      <w:pPr>
        <w:spacing w:line="240" w:lineRule="auto"/>
        <w:ind w:left="1440" w:hanging="1440"/>
        <w:rPr>
          <w:b/>
          <w:bCs/>
        </w:rPr>
      </w:pPr>
    </w:p>
    <w:p w14:paraId="42290967" w14:textId="77777777" w:rsidR="0039739C" w:rsidRDefault="007E62DB">
      <w:pPr>
        <w:spacing w:line="240" w:lineRule="auto"/>
        <w:ind w:left="1440" w:hanging="1440"/>
        <w:sectPr w:rsidR="0039739C">
          <w:pgSz w:w="12240" w:h="15840"/>
          <w:pgMar w:top="1440" w:right="1440" w:bottom="1440" w:left="1440" w:header="720" w:footer="720" w:gutter="0"/>
          <w:cols w:space="720"/>
          <w:titlePg/>
        </w:sectPr>
      </w:pPr>
      <w:r>
        <w:rPr>
          <w:b/>
          <w:bCs/>
        </w:rPr>
        <w:t xml:space="preserve">AND TO: </w:t>
      </w:r>
      <w:r>
        <w:rPr>
          <w:b/>
          <w:bCs/>
        </w:rPr>
        <w:tab/>
        <w:t>ALL REGISTERED TEAMS</w:t>
      </w:r>
    </w:p>
    <w:p w14:paraId="3B5A845E" w14:textId="77777777" w:rsidR="0039739C" w:rsidRDefault="007E62DB">
      <w:pPr>
        <w:spacing w:before="240" w:after="240" w:line="360" w:lineRule="auto"/>
        <w:jc w:val="both"/>
      </w:pPr>
      <w:r>
        <w:rPr>
          <w:b/>
          <w:bCs/>
        </w:rPr>
        <w:lastRenderedPageBreak/>
        <w:t>TABLE OF CONTENTS</w:t>
      </w:r>
    </w:p>
    <w:sdt>
      <w:sdtPr>
        <w:id w:val="178947148"/>
        <w:docPartObj>
          <w:docPartGallery w:val="Table of Contents"/>
          <w:docPartUnique/>
        </w:docPartObj>
      </w:sdtPr>
      <w:sdtEndPr/>
      <w:sdtContent>
        <w:p w14:paraId="1A94DCB9" w14:textId="77777777" w:rsidR="0039739C" w:rsidRDefault="007E62DB">
          <w:pPr>
            <w:widowControl w:val="0"/>
            <w:tabs>
              <w:tab w:val="right" w:leader="dot" w:pos="12000"/>
            </w:tabs>
            <w:spacing w:before="240" w:after="240" w:line="240" w:lineRule="auto"/>
            <w:rPr>
              <w:rFonts w:ascii="Arial" w:eastAsia="Arial" w:hAnsi="Arial" w:cs="Arial"/>
              <w:b/>
              <w:bCs/>
              <w:color w:val="000000"/>
              <w:sz w:val="22"/>
              <w:szCs w:val="22"/>
            </w:rPr>
          </w:pPr>
          <w:r>
            <w:fldChar w:fldCharType="begin"/>
          </w:r>
          <w:r>
            <w:instrText xml:space="preserve"> TOC \h \u \z \t "Heading 1,1,Heading 2,2,Heading 3,3,"</w:instrText>
          </w:r>
          <w:r>
            <w:fldChar w:fldCharType="separate"/>
          </w:r>
          <w:hyperlink w:anchor="_heading=h.21iysp2wcbi0">
            <w:r w:rsidR="0039739C">
              <w:rPr>
                <w:b/>
                <w:bCs/>
                <w:color w:val="000000"/>
              </w:rPr>
              <w:t>PART I -- OVERVIEW AND STATEMENT OF FACTS</w:t>
            </w:r>
            <w:r w:rsidR="0039739C">
              <w:rPr>
                <w:b/>
                <w:bCs/>
                <w:color w:val="000000"/>
              </w:rPr>
              <w:tab/>
              <w:t>1</w:t>
            </w:r>
          </w:hyperlink>
        </w:p>
        <w:p w14:paraId="5BE45F20" w14:textId="77777777" w:rsidR="0039739C" w:rsidRDefault="0039739C">
          <w:pPr>
            <w:widowControl w:val="0"/>
            <w:tabs>
              <w:tab w:val="right" w:leader="dot" w:pos="12000"/>
            </w:tabs>
            <w:spacing w:before="240" w:after="240" w:line="240" w:lineRule="auto"/>
            <w:ind w:left="360"/>
            <w:rPr>
              <w:rFonts w:ascii="Arial" w:eastAsia="Arial" w:hAnsi="Arial" w:cs="Arial"/>
              <w:color w:val="000000"/>
              <w:sz w:val="22"/>
              <w:szCs w:val="22"/>
            </w:rPr>
          </w:pPr>
          <w:hyperlink w:anchor="_heading=h.51ckit3cbtb1">
            <w:r>
              <w:rPr>
                <w:color w:val="000000"/>
              </w:rPr>
              <w:t>A. Overview</w:t>
            </w:r>
            <w:r>
              <w:rPr>
                <w:color w:val="000000"/>
              </w:rPr>
              <w:tab/>
              <w:t>1</w:t>
            </w:r>
          </w:hyperlink>
        </w:p>
        <w:p w14:paraId="6322381F" w14:textId="77777777" w:rsidR="0039739C" w:rsidRDefault="0039739C">
          <w:pPr>
            <w:widowControl w:val="0"/>
            <w:tabs>
              <w:tab w:val="right" w:leader="dot" w:pos="12000"/>
            </w:tabs>
            <w:spacing w:before="240" w:after="240" w:line="240" w:lineRule="auto"/>
            <w:ind w:left="360"/>
            <w:rPr>
              <w:rFonts w:ascii="Arial" w:eastAsia="Arial" w:hAnsi="Arial" w:cs="Arial"/>
              <w:color w:val="000000"/>
              <w:sz w:val="22"/>
              <w:szCs w:val="22"/>
            </w:rPr>
          </w:pPr>
          <w:hyperlink w:anchor="_heading=h.mm3i9ik3dpdr">
            <w:r>
              <w:rPr>
                <w:color w:val="000000"/>
              </w:rPr>
              <w:t>B. Statement of the Facts</w:t>
            </w:r>
            <w:r>
              <w:rPr>
                <w:color w:val="000000"/>
              </w:rPr>
              <w:tab/>
              <w:t>2</w:t>
            </w:r>
          </w:hyperlink>
        </w:p>
        <w:p w14:paraId="32CFF3E0" w14:textId="77777777" w:rsidR="0039739C" w:rsidRDefault="0039739C">
          <w:pPr>
            <w:widowControl w:val="0"/>
            <w:tabs>
              <w:tab w:val="right" w:leader="dot" w:pos="12000"/>
            </w:tabs>
            <w:spacing w:before="240" w:after="240" w:line="240" w:lineRule="auto"/>
            <w:ind w:left="720"/>
            <w:rPr>
              <w:rFonts w:ascii="Arial" w:eastAsia="Arial" w:hAnsi="Arial" w:cs="Arial"/>
              <w:color w:val="000000"/>
              <w:sz w:val="22"/>
              <w:szCs w:val="22"/>
            </w:rPr>
          </w:pPr>
          <w:hyperlink w:anchor="_heading=h.19mx57hrvv9b">
            <w:r>
              <w:rPr>
                <w:color w:val="000000"/>
              </w:rPr>
              <w:t>(i) Blanding’s Turtles</w:t>
            </w:r>
            <w:r>
              <w:rPr>
                <w:color w:val="000000"/>
              </w:rPr>
              <w:tab/>
              <w:t>2</w:t>
            </w:r>
          </w:hyperlink>
        </w:p>
        <w:p w14:paraId="6ECBA074" w14:textId="77777777" w:rsidR="0039739C" w:rsidRDefault="0039739C">
          <w:pPr>
            <w:widowControl w:val="0"/>
            <w:tabs>
              <w:tab w:val="right" w:leader="dot" w:pos="12000"/>
            </w:tabs>
            <w:spacing w:before="240" w:after="240" w:line="240" w:lineRule="auto"/>
            <w:ind w:left="720"/>
            <w:rPr>
              <w:rFonts w:ascii="Arial" w:eastAsia="Arial" w:hAnsi="Arial" w:cs="Arial"/>
              <w:color w:val="000000"/>
              <w:sz w:val="22"/>
              <w:szCs w:val="22"/>
            </w:rPr>
          </w:pPr>
          <w:hyperlink w:anchor="_heading=h.ggqyrw9xuiso">
            <w:r>
              <w:rPr>
                <w:color w:val="000000"/>
              </w:rPr>
              <w:t>(ii) The Grubbed Area</w:t>
            </w:r>
            <w:r>
              <w:rPr>
                <w:color w:val="000000"/>
              </w:rPr>
              <w:tab/>
              <w:t>3</w:t>
            </w:r>
          </w:hyperlink>
        </w:p>
        <w:p w14:paraId="14D7784E" w14:textId="77777777" w:rsidR="0039739C" w:rsidRDefault="0039739C">
          <w:pPr>
            <w:widowControl w:val="0"/>
            <w:tabs>
              <w:tab w:val="right" w:leader="dot" w:pos="12000"/>
            </w:tabs>
            <w:spacing w:before="240" w:after="240" w:line="240" w:lineRule="auto"/>
            <w:ind w:left="720"/>
            <w:rPr>
              <w:rFonts w:ascii="Arial" w:eastAsia="Arial" w:hAnsi="Arial" w:cs="Arial"/>
              <w:color w:val="000000"/>
              <w:sz w:val="22"/>
              <w:szCs w:val="22"/>
            </w:rPr>
          </w:pPr>
          <w:hyperlink w:anchor="_heading=h.hkdwkjardx0x">
            <w:r>
              <w:rPr>
                <w:color w:val="000000"/>
              </w:rPr>
              <w:t>(iii) Statutory Scheme</w:t>
            </w:r>
            <w:r>
              <w:rPr>
                <w:color w:val="000000"/>
              </w:rPr>
              <w:tab/>
              <w:t>3</w:t>
            </w:r>
          </w:hyperlink>
        </w:p>
        <w:p w14:paraId="292F0D0C" w14:textId="77777777" w:rsidR="0039739C" w:rsidRDefault="0039739C">
          <w:pPr>
            <w:widowControl w:val="0"/>
            <w:tabs>
              <w:tab w:val="right" w:leader="dot" w:pos="12000"/>
            </w:tabs>
            <w:spacing w:before="240" w:after="240" w:line="240" w:lineRule="auto"/>
            <w:ind w:left="720"/>
            <w:rPr>
              <w:rFonts w:ascii="Arial" w:eastAsia="Arial" w:hAnsi="Arial" w:cs="Arial"/>
              <w:color w:val="000000"/>
              <w:sz w:val="22"/>
              <w:szCs w:val="22"/>
            </w:rPr>
          </w:pPr>
          <w:hyperlink w:anchor="_heading=h.ycsmcmms3gle">
            <w:r>
              <w:rPr>
                <w:color w:val="000000"/>
              </w:rPr>
              <w:t>(iv) Facts Leading Up to Trial</w:t>
            </w:r>
            <w:r>
              <w:rPr>
                <w:color w:val="000000"/>
              </w:rPr>
              <w:tab/>
              <w:t>4</w:t>
            </w:r>
          </w:hyperlink>
        </w:p>
        <w:p w14:paraId="0D144E7E" w14:textId="77777777" w:rsidR="0039739C" w:rsidRDefault="0039739C">
          <w:pPr>
            <w:widowControl w:val="0"/>
            <w:tabs>
              <w:tab w:val="right" w:leader="dot" w:pos="12000"/>
            </w:tabs>
            <w:spacing w:before="240" w:after="240" w:line="240" w:lineRule="auto"/>
            <w:ind w:left="720"/>
            <w:rPr>
              <w:rFonts w:ascii="Arial" w:eastAsia="Arial" w:hAnsi="Arial" w:cs="Arial"/>
              <w:color w:val="000000"/>
              <w:sz w:val="22"/>
              <w:szCs w:val="22"/>
            </w:rPr>
          </w:pPr>
          <w:hyperlink w:anchor="_heading=h.8rw83smefydk">
            <w:r>
              <w:rPr>
                <w:color w:val="000000"/>
              </w:rPr>
              <w:t>(v) The Offence</w:t>
            </w:r>
            <w:r>
              <w:rPr>
                <w:color w:val="000000"/>
              </w:rPr>
              <w:tab/>
              <w:t>5</w:t>
            </w:r>
          </w:hyperlink>
        </w:p>
        <w:p w14:paraId="5F13F60A" w14:textId="77777777" w:rsidR="0039739C" w:rsidRDefault="0039739C">
          <w:pPr>
            <w:widowControl w:val="0"/>
            <w:tabs>
              <w:tab w:val="right" w:leader="dot" w:pos="12000"/>
            </w:tabs>
            <w:spacing w:before="240" w:after="240" w:line="240" w:lineRule="auto"/>
            <w:ind w:left="720"/>
            <w:rPr>
              <w:rFonts w:ascii="Arial" w:eastAsia="Arial" w:hAnsi="Arial" w:cs="Arial"/>
              <w:color w:val="000000"/>
              <w:sz w:val="22"/>
              <w:szCs w:val="22"/>
            </w:rPr>
          </w:pPr>
          <w:hyperlink w:anchor="_heading=h.u2r2i18kk3sl">
            <w:r>
              <w:rPr>
                <w:color w:val="000000"/>
              </w:rPr>
              <w:t>(vi) Evidence at Trial</w:t>
            </w:r>
            <w:r>
              <w:rPr>
                <w:color w:val="000000"/>
              </w:rPr>
              <w:tab/>
              <w:t>5</w:t>
            </w:r>
          </w:hyperlink>
        </w:p>
        <w:p w14:paraId="1BD2B54D" w14:textId="77777777" w:rsidR="0039739C" w:rsidRDefault="0039739C">
          <w:pPr>
            <w:widowControl w:val="0"/>
            <w:tabs>
              <w:tab w:val="right" w:leader="dot" w:pos="12000"/>
            </w:tabs>
            <w:spacing w:before="240" w:after="240" w:line="240" w:lineRule="auto"/>
            <w:ind w:left="720"/>
            <w:rPr>
              <w:rFonts w:ascii="Arial" w:eastAsia="Arial" w:hAnsi="Arial" w:cs="Arial"/>
              <w:color w:val="000000"/>
              <w:sz w:val="22"/>
              <w:szCs w:val="22"/>
            </w:rPr>
          </w:pPr>
          <w:hyperlink w:anchor="_heading=h.xwf1xeh384z8">
            <w:r>
              <w:rPr>
                <w:color w:val="000000"/>
              </w:rPr>
              <w:t>(vii) The Trial Decision</w:t>
            </w:r>
            <w:r>
              <w:rPr>
                <w:color w:val="000000"/>
              </w:rPr>
              <w:tab/>
              <w:t>7</w:t>
            </w:r>
          </w:hyperlink>
        </w:p>
        <w:p w14:paraId="7D821260" w14:textId="77777777" w:rsidR="0039739C" w:rsidRDefault="0039739C">
          <w:pPr>
            <w:widowControl w:val="0"/>
            <w:tabs>
              <w:tab w:val="right" w:leader="dot" w:pos="12000"/>
            </w:tabs>
            <w:spacing w:before="240" w:after="240" w:line="240" w:lineRule="auto"/>
            <w:ind w:left="720"/>
            <w:rPr>
              <w:rFonts w:ascii="Arial" w:eastAsia="Arial" w:hAnsi="Arial" w:cs="Arial"/>
              <w:color w:val="000000"/>
              <w:sz w:val="22"/>
              <w:szCs w:val="22"/>
            </w:rPr>
          </w:pPr>
          <w:hyperlink w:anchor="_heading=h.tvoabr66psxn">
            <w:r>
              <w:rPr>
                <w:color w:val="000000"/>
              </w:rPr>
              <w:t>(viii) The Appeal Decision</w:t>
            </w:r>
            <w:r>
              <w:rPr>
                <w:color w:val="000000"/>
              </w:rPr>
              <w:tab/>
              <w:t>7</w:t>
            </w:r>
          </w:hyperlink>
        </w:p>
        <w:p w14:paraId="0207F10D" w14:textId="77777777" w:rsidR="0039739C" w:rsidRDefault="0039739C">
          <w:pPr>
            <w:widowControl w:val="0"/>
            <w:tabs>
              <w:tab w:val="right" w:leader="dot" w:pos="12000"/>
            </w:tabs>
            <w:spacing w:before="240" w:after="240" w:line="240" w:lineRule="auto"/>
            <w:ind w:left="720"/>
            <w:rPr>
              <w:rFonts w:ascii="Arial" w:eastAsia="Arial" w:hAnsi="Arial" w:cs="Arial"/>
              <w:color w:val="000000"/>
              <w:sz w:val="22"/>
              <w:szCs w:val="22"/>
            </w:rPr>
          </w:pPr>
          <w:hyperlink w:anchor="_heading=h.713aunsv7d5t">
            <w:r>
              <w:rPr>
                <w:color w:val="000000"/>
              </w:rPr>
              <w:t>(ix) 2025 Amendments to “Habitat”</w:t>
            </w:r>
            <w:r>
              <w:rPr>
                <w:color w:val="000000"/>
              </w:rPr>
              <w:tab/>
              <w:t>8</w:t>
            </w:r>
          </w:hyperlink>
        </w:p>
        <w:p w14:paraId="05B74316" w14:textId="77777777" w:rsidR="0039739C" w:rsidRDefault="0039739C">
          <w:pPr>
            <w:widowControl w:val="0"/>
            <w:tabs>
              <w:tab w:val="right" w:leader="dot" w:pos="12000"/>
            </w:tabs>
            <w:spacing w:before="240" w:after="240" w:line="240" w:lineRule="auto"/>
            <w:rPr>
              <w:rFonts w:ascii="Arial" w:eastAsia="Arial" w:hAnsi="Arial" w:cs="Arial"/>
              <w:b/>
              <w:bCs/>
              <w:color w:val="000000"/>
              <w:sz w:val="22"/>
              <w:szCs w:val="22"/>
            </w:rPr>
          </w:pPr>
          <w:hyperlink w:anchor="_heading=h.uwwk36kfzkoa">
            <w:r>
              <w:rPr>
                <w:b/>
                <w:bCs/>
                <w:color w:val="000000"/>
              </w:rPr>
              <w:t>PART II -- QUESTIONS IN ISSUE</w:t>
            </w:r>
            <w:r>
              <w:rPr>
                <w:b/>
                <w:bCs/>
                <w:color w:val="000000"/>
              </w:rPr>
              <w:tab/>
              <w:t>9</w:t>
            </w:r>
          </w:hyperlink>
        </w:p>
        <w:p w14:paraId="629561C8" w14:textId="77777777" w:rsidR="0039739C" w:rsidRDefault="0039739C">
          <w:pPr>
            <w:widowControl w:val="0"/>
            <w:tabs>
              <w:tab w:val="right" w:leader="dot" w:pos="12000"/>
            </w:tabs>
            <w:spacing w:before="240" w:after="240" w:line="240" w:lineRule="auto"/>
            <w:rPr>
              <w:rFonts w:ascii="Arial" w:eastAsia="Arial" w:hAnsi="Arial" w:cs="Arial"/>
              <w:b/>
              <w:bCs/>
              <w:color w:val="000000"/>
              <w:sz w:val="22"/>
              <w:szCs w:val="22"/>
            </w:rPr>
          </w:pPr>
          <w:hyperlink w:anchor="_heading=h.2050a6jvwqj4">
            <w:r>
              <w:rPr>
                <w:b/>
                <w:bCs/>
                <w:color w:val="000000"/>
              </w:rPr>
              <w:t>PART III -- ARGUMENT</w:t>
            </w:r>
            <w:r>
              <w:rPr>
                <w:b/>
                <w:bCs/>
                <w:color w:val="000000"/>
              </w:rPr>
              <w:tab/>
              <w:t>9</w:t>
            </w:r>
          </w:hyperlink>
        </w:p>
        <w:p w14:paraId="17D52EBD" w14:textId="77777777" w:rsidR="0039739C" w:rsidRDefault="0039739C">
          <w:pPr>
            <w:widowControl w:val="0"/>
            <w:tabs>
              <w:tab w:val="right" w:leader="dot" w:pos="12000"/>
            </w:tabs>
            <w:spacing w:before="240" w:after="240" w:line="240" w:lineRule="auto"/>
            <w:ind w:left="360"/>
            <w:rPr>
              <w:rFonts w:ascii="Arial" w:eastAsia="Arial" w:hAnsi="Arial" w:cs="Arial"/>
              <w:color w:val="000000"/>
              <w:sz w:val="22"/>
              <w:szCs w:val="22"/>
            </w:rPr>
          </w:pPr>
          <w:hyperlink w:anchor="_heading=h.895wvllkgvyn">
            <w:r>
              <w:rPr>
                <w:color w:val="000000"/>
              </w:rPr>
              <w:t>A. Interpretation of the ESA’s Purpose Supports a Purposive and Adaptable Approach</w:t>
            </w:r>
            <w:r>
              <w:rPr>
                <w:color w:val="000000"/>
              </w:rPr>
              <w:tab/>
              <w:t>9</w:t>
            </w:r>
          </w:hyperlink>
        </w:p>
        <w:p w14:paraId="686EC8DF" w14:textId="77777777" w:rsidR="0039739C" w:rsidRDefault="0039739C">
          <w:pPr>
            <w:widowControl w:val="0"/>
            <w:tabs>
              <w:tab w:val="right" w:leader="dot" w:pos="12000"/>
            </w:tabs>
            <w:spacing w:before="240" w:after="240" w:line="240" w:lineRule="auto"/>
            <w:ind w:left="360"/>
            <w:rPr>
              <w:rFonts w:ascii="Arial" w:eastAsia="Arial" w:hAnsi="Arial" w:cs="Arial"/>
              <w:color w:val="000000"/>
              <w:sz w:val="22"/>
              <w:szCs w:val="22"/>
            </w:rPr>
          </w:pPr>
          <w:hyperlink w:anchor="_heading=h.31z3bicmlm0d">
            <w:r>
              <w:rPr>
                <w:color w:val="000000"/>
              </w:rPr>
              <w:t>B. Standard of Review</w:t>
            </w:r>
            <w:r>
              <w:rPr>
                <w:color w:val="000000"/>
              </w:rPr>
              <w:tab/>
              <w:t>11</w:t>
            </w:r>
          </w:hyperlink>
        </w:p>
        <w:p w14:paraId="7D1D0666" w14:textId="77777777" w:rsidR="0039739C" w:rsidRDefault="0039739C">
          <w:pPr>
            <w:widowControl w:val="0"/>
            <w:tabs>
              <w:tab w:val="right" w:leader="dot" w:pos="12000"/>
            </w:tabs>
            <w:spacing w:before="240" w:after="240" w:line="240" w:lineRule="auto"/>
            <w:ind w:left="360"/>
            <w:rPr>
              <w:rFonts w:ascii="Arial" w:eastAsia="Arial" w:hAnsi="Arial" w:cs="Arial"/>
              <w:color w:val="000000"/>
              <w:sz w:val="22"/>
              <w:szCs w:val="22"/>
            </w:rPr>
          </w:pPr>
          <w:hyperlink w:anchor="_heading=h.maj7c829suc3">
            <w:r>
              <w:rPr>
                <w:color w:val="000000"/>
              </w:rPr>
              <w:t>C. Error One: The OCJ Erred in Failing to Rely on the Blanding’s Turtle Sightings</w:t>
            </w:r>
            <w:r>
              <w:rPr>
                <w:color w:val="000000"/>
              </w:rPr>
              <w:tab/>
              <w:t>11</w:t>
            </w:r>
          </w:hyperlink>
        </w:p>
        <w:p w14:paraId="5D8B6CC4" w14:textId="77777777" w:rsidR="0039739C" w:rsidRDefault="0039739C">
          <w:pPr>
            <w:widowControl w:val="0"/>
            <w:tabs>
              <w:tab w:val="right" w:leader="dot" w:pos="12000"/>
            </w:tabs>
            <w:spacing w:before="240" w:after="240" w:line="240" w:lineRule="auto"/>
            <w:ind w:left="720"/>
            <w:rPr>
              <w:rFonts w:ascii="Arial" w:eastAsia="Arial" w:hAnsi="Arial" w:cs="Arial"/>
              <w:color w:val="000000"/>
              <w:sz w:val="22"/>
              <w:szCs w:val="22"/>
            </w:rPr>
          </w:pPr>
          <w:hyperlink w:anchor="_heading=h.owt2edfzo3ap">
            <w:r>
              <w:rPr>
                <w:color w:val="000000"/>
              </w:rPr>
              <w:t>(i) The Legislative Purpose of the ESA Requires Community Involvement</w:t>
            </w:r>
            <w:r>
              <w:rPr>
                <w:color w:val="000000"/>
              </w:rPr>
              <w:tab/>
              <w:t>11</w:t>
            </w:r>
          </w:hyperlink>
        </w:p>
        <w:p w14:paraId="48D882D4" w14:textId="77777777" w:rsidR="0039739C" w:rsidRDefault="0039739C">
          <w:pPr>
            <w:widowControl w:val="0"/>
            <w:tabs>
              <w:tab w:val="right" w:leader="dot" w:pos="12000"/>
            </w:tabs>
            <w:spacing w:before="240" w:after="240" w:line="240" w:lineRule="auto"/>
            <w:ind w:left="720"/>
            <w:rPr>
              <w:rFonts w:ascii="Arial" w:eastAsia="Arial" w:hAnsi="Arial" w:cs="Arial"/>
              <w:color w:val="000000"/>
              <w:sz w:val="22"/>
              <w:szCs w:val="22"/>
            </w:rPr>
          </w:pPr>
          <w:hyperlink w:anchor="_heading=h.an91w6dur0e">
            <w:r>
              <w:rPr>
                <w:color w:val="000000"/>
              </w:rPr>
              <w:t>(ii) The Trial Judge’s Assessment of the Evidence is Owed Deference</w:t>
            </w:r>
            <w:r>
              <w:rPr>
                <w:color w:val="000000"/>
              </w:rPr>
              <w:tab/>
              <w:t>12</w:t>
            </w:r>
          </w:hyperlink>
        </w:p>
        <w:p w14:paraId="351FE0DF" w14:textId="77777777" w:rsidR="0039739C" w:rsidRDefault="0039739C">
          <w:pPr>
            <w:widowControl w:val="0"/>
            <w:tabs>
              <w:tab w:val="right" w:leader="dot" w:pos="12000"/>
            </w:tabs>
            <w:spacing w:before="240" w:after="240" w:line="240" w:lineRule="auto"/>
            <w:ind w:left="720"/>
            <w:rPr>
              <w:rFonts w:ascii="Arial" w:eastAsia="Arial" w:hAnsi="Arial" w:cs="Arial"/>
              <w:color w:val="000000"/>
              <w:sz w:val="22"/>
              <w:szCs w:val="22"/>
            </w:rPr>
          </w:pPr>
          <w:hyperlink w:anchor="_heading=h.7g55p7n26m7g">
            <w:r>
              <w:rPr>
                <w:color w:val="000000"/>
              </w:rPr>
              <w:t>(iii) No Legal Justification to Dismiss “After-the-Fact” Evidence</w:t>
            </w:r>
            <w:r>
              <w:rPr>
                <w:color w:val="000000"/>
              </w:rPr>
              <w:tab/>
              <w:t>13</w:t>
            </w:r>
          </w:hyperlink>
        </w:p>
        <w:p w14:paraId="2302AD65" w14:textId="77777777" w:rsidR="0039739C" w:rsidRDefault="0039739C">
          <w:pPr>
            <w:widowControl w:val="0"/>
            <w:tabs>
              <w:tab w:val="right" w:leader="dot" w:pos="12000"/>
            </w:tabs>
            <w:spacing w:before="240" w:after="240" w:line="240" w:lineRule="auto"/>
            <w:ind w:left="360"/>
            <w:rPr>
              <w:rFonts w:ascii="Arial" w:eastAsia="Arial" w:hAnsi="Arial" w:cs="Arial"/>
              <w:color w:val="000000"/>
              <w:sz w:val="22"/>
              <w:szCs w:val="22"/>
            </w:rPr>
          </w:pPr>
          <w:hyperlink w:anchor="_heading=h.f0zffoarceqe">
            <w:r>
              <w:rPr>
                <w:color w:val="000000"/>
              </w:rPr>
              <w:t>D. Error Two: The OCJ Erred in Failing to Rely on the GHD to Clarify the ESA</w:t>
            </w:r>
            <w:r>
              <w:rPr>
                <w:color w:val="000000"/>
              </w:rPr>
              <w:tab/>
              <w:t>14</w:t>
            </w:r>
          </w:hyperlink>
        </w:p>
        <w:p w14:paraId="38C2C220" w14:textId="77777777" w:rsidR="0039739C" w:rsidRDefault="0039739C">
          <w:pPr>
            <w:widowControl w:val="0"/>
            <w:tabs>
              <w:tab w:val="right" w:leader="dot" w:pos="12000"/>
            </w:tabs>
            <w:spacing w:before="240" w:after="240" w:line="240" w:lineRule="auto"/>
            <w:ind w:left="720"/>
            <w:rPr>
              <w:rFonts w:ascii="Arial" w:eastAsia="Arial" w:hAnsi="Arial" w:cs="Arial"/>
              <w:color w:val="000000"/>
              <w:sz w:val="22"/>
              <w:szCs w:val="22"/>
            </w:rPr>
          </w:pPr>
          <w:hyperlink w:anchor="_heading=h.xlhvrvwdxw71">
            <w:r>
              <w:rPr>
                <w:color w:val="000000"/>
              </w:rPr>
              <w:t>(i) The ESA Habitat Definition Requires Clarification</w:t>
            </w:r>
            <w:r>
              <w:rPr>
                <w:color w:val="000000"/>
              </w:rPr>
              <w:tab/>
              <w:t>14</w:t>
            </w:r>
          </w:hyperlink>
        </w:p>
        <w:p w14:paraId="229E1593" w14:textId="77777777" w:rsidR="0039739C" w:rsidRDefault="0039739C">
          <w:pPr>
            <w:widowControl w:val="0"/>
            <w:tabs>
              <w:tab w:val="right" w:leader="dot" w:pos="12000"/>
            </w:tabs>
            <w:spacing w:before="240" w:after="240" w:line="240" w:lineRule="auto"/>
            <w:ind w:left="360"/>
            <w:rPr>
              <w:rFonts w:ascii="Arial" w:eastAsia="Arial" w:hAnsi="Arial" w:cs="Arial"/>
              <w:color w:val="000000"/>
              <w:sz w:val="22"/>
              <w:szCs w:val="22"/>
            </w:rPr>
          </w:pPr>
          <w:hyperlink w:anchor="_heading=h.pv38hueuqu8t">
            <w:r>
              <w:rPr>
                <w:color w:val="000000"/>
              </w:rPr>
              <w:t>E. Error Three: The OCJ Failed to Consider Blanding’s Turtles’ Indirect Dependence</w:t>
            </w:r>
            <w:r>
              <w:rPr>
                <w:color w:val="000000"/>
              </w:rPr>
              <w:tab/>
              <w:t>16</w:t>
            </w:r>
          </w:hyperlink>
        </w:p>
        <w:p w14:paraId="25AE7AFA" w14:textId="77777777" w:rsidR="0039739C" w:rsidRDefault="0039739C">
          <w:pPr>
            <w:widowControl w:val="0"/>
            <w:tabs>
              <w:tab w:val="right" w:leader="dot" w:pos="12000"/>
            </w:tabs>
            <w:spacing w:before="240" w:after="240" w:line="240" w:lineRule="auto"/>
            <w:ind w:left="720"/>
            <w:rPr>
              <w:rFonts w:ascii="Arial" w:eastAsia="Arial" w:hAnsi="Arial" w:cs="Arial"/>
              <w:color w:val="000000"/>
              <w:sz w:val="22"/>
              <w:szCs w:val="22"/>
            </w:rPr>
          </w:pPr>
          <w:hyperlink w:anchor="_heading=h.psihwkwosk7n">
            <w:r>
              <w:rPr>
                <w:color w:val="000000"/>
              </w:rPr>
              <w:t>(i) Interpretations of ‘Indirectly Depends” Suggest a Broad and Flexible Scheme</w:t>
            </w:r>
            <w:r>
              <w:rPr>
                <w:color w:val="000000"/>
              </w:rPr>
              <w:tab/>
              <w:t>17</w:t>
            </w:r>
          </w:hyperlink>
        </w:p>
        <w:p w14:paraId="31B082BE" w14:textId="77777777" w:rsidR="0039739C" w:rsidRDefault="0039739C">
          <w:pPr>
            <w:widowControl w:val="0"/>
            <w:tabs>
              <w:tab w:val="right" w:leader="dot" w:pos="12000"/>
            </w:tabs>
            <w:spacing w:before="240" w:after="240" w:line="240" w:lineRule="auto"/>
            <w:ind w:left="720"/>
            <w:rPr>
              <w:rFonts w:ascii="Arial" w:eastAsia="Arial" w:hAnsi="Arial" w:cs="Arial"/>
              <w:color w:val="000000"/>
              <w:sz w:val="22"/>
              <w:szCs w:val="22"/>
            </w:rPr>
          </w:pPr>
          <w:hyperlink w:anchor="_heading=h.dbvw132wkavp">
            <w:r>
              <w:rPr>
                <w:color w:val="000000"/>
              </w:rPr>
              <w:t>(ii) The Appeal Judge’s Interpretation is Inconsistent with the ESA’s Purpose</w:t>
            </w:r>
            <w:r>
              <w:rPr>
                <w:color w:val="000000"/>
              </w:rPr>
              <w:tab/>
              <w:t>18</w:t>
            </w:r>
          </w:hyperlink>
        </w:p>
        <w:p w14:paraId="5B947628" w14:textId="77777777" w:rsidR="0039739C" w:rsidRDefault="0039739C">
          <w:pPr>
            <w:widowControl w:val="0"/>
            <w:tabs>
              <w:tab w:val="right" w:leader="dot" w:pos="12000"/>
            </w:tabs>
            <w:spacing w:before="240" w:after="240" w:line="240" w:lineRule="auto"/>
            <w:ind w:left="360"/>
            <w:rPr>
              <w:rFonts w:ascii="Arial" w:eastAsia="Arial" w:hAnsi="Arial" w:cs="Arial"/>
              <w:color w:val="000000"/>
              <w:sz w:val="22"/>
              <w:szCs w:val="22"/>
            </w:rPr>
          </w:pPr>
          <w:hyperlink w:anchor="_heading=h.jufv9ucvews9">
            <w:r>
              <w:rPr>
                <w:color w:val="000000"/>
              </w:rPr>
              <w:t>F. CHL Should Still Be Convicted With a Narrower Definition of “Habitat”</w:t>
            </w:r>
            <w:r>
              <w:rPr>
                <w:color w:val="000000"/>
              </w:rPr>
              <w:tab/>
              <w:t>19</w:t>
            </w:r>
          </w:hyperlink>
        </w:p>
        <w:p w14:paraId="6985D324" w14:textId="77777777" w:rsidR="0039739C" w:rsidRDefault="0039739C">
          <w:pPr>
            <w:widowControl w:val="0"/>
            <w:tabs>
              <w:tab w:val="right" w:leader="dot" w:pos="12000"/>
            </w:tabs>
            <w:spacing w:before="240" w:after="240" w:line="240" w:lineRule="auto"/>
            <w:ind w:left="720"/>
            <w:rPr>
              <w:rFonts w:ascii="Arial" w:eastAsia="Arial" w:hAnsi="Arial" w:cs="Arial"/>
              <w:color w:val="000000"/>
              <w:sz w:val="22"/>
              <w:szCs w:val="22"/>
            </w:rPr>
          </w:pPr>
          <w:hyperlink w:anchor="_heading=h.p0yqrae6w0pu">
            <w:r>
              <w:rPr>
                <w:color w:val="000000"/>
              </w:rPr>
              <w:t>(i) Amended Definitions and Purpose Statements</w:t>
            </w:r>
            <w:r>
              <w:rPr>
                <w:color w:val="000000"/>
              </w:rPr>
              <w:tab/>
              <w:t>19</w:t>
            </w:r>
          </w:hyperlink>
        </w:p>
        <w:p w14:paraId="4E01FA86" w14:textId="77777777" w:rsidR="0039739C" w:rsidRDefault="0039739C">
          <w:pPr>
            <w:widowControl w:val="0"/>
            <w:tabs>
              <w:tab w:val="right" w:leader="dot" w:pos="12000"/>
            </w:tabs>
            <w:spacing w:before="240" w:after="240" w:line="240" w:lineRule="auto"/>
            <w:ind w:left="720"/>
            <w:rPr>
              <w:rFonts w:ascii="Arial" w:eastAsia="Arial" w:hAnsi="Arial" w:cs="Arial"/>
              <w:color w:val="000000"/>
              <w:sz w:val="22"/>
              <w:szCs w:val="22"/>
            </w:rPr>
          </w:pPr>
          <w:hyperlink w:anchor="_heading=h.avd6o51ied8u">
            <w:r>
              <w:rPr>
                <w:color w:val="000000"/>
              </w:rPr>
              <w:t>(ii) Convicting at Trial With a New Definition of “Habitat”</w:t>
            </w:r>
            <w:r>
              <w:rPr>
                <w:color w:val="000000"/>
              </w:rPr>
              <w:tab/>
              <w:t>20</w:t>
            </w:r>
          </w:hyperlink>
        </w:p>
        <w:p w14:paraId="3CF4B67B" w14:textId="77777777" w:rsidR="0039739C" w:rsidRDefault="0039739C">
          <w:pPr>
            <w:widowControl w:val="0"/>
            <w:tabs>
              <w:tab w:val="right" w:leader="dot" w:pos="12000"/>
            </w:tabs>
            <w:spacing w:before="240" w:after="240" w:line="240" w:lineRule="auto"/>
            <w:rPr>
              <w:rFonts w:ascii="Arial" w:eastAsia="Arial" w:hAnsi="Arial" w:cs="Arial"/>
              <w:b/>
              <w:bCs/>
              <w:color w:val="000000"/>
              <w:sz w:val="22"/>
              <w:szCs w:val="22"/>
            </w:rPr>
          </w:pPr>
          <w:hyperlink w:anchor="_heading=h.8nm7ky9fipl">
            <w:r>
              <w:rPr>
                <w:b/>
                <w:bCs/>
                <w:color w:val="000000"/>
              </w:rPr>
              <w:t>PART IV -- SUBMISSIONS IN SUPPORT OF COSTS</w:t>
            </w:r>
            <w:r>
              <w:rPr>
                <w:b/>
                <w:bCs/>
                <w:color w:val="000000"/>
              </w:rPr>
              <w:tab/>
              <w:t>22</w:t>
            </w:r>
          </w:hyperlink>
        </w:p>
        <w:p w14:paraId="13095152" w14:textId="77777777" w:rsidR="0039739C" w:rsidRDefault="0039739C">
          <w:pPr>
            <w:widowControl w:val="0"/>
            <w:tabs>
              <w:tab w:val="right" w:leader="dot" w:pos="12000"/>
            </w:tabs>
            <w:spacing w:before="240" w:after="240" w:line="240" w:lineRule="auto"/>
            <w:rPr>
              <w:rFonts w:ascii="Arial" w:eastAsia="Arial" w:hAnsi="Arial" w:cs="Arial"/>
              <w:b/>
              <w:bCs/>
              <w:color w:val="000000"/>
              <w:sz w:val="22"/>
              <w:szCs w:val="22"/>
            </w:rPr>
          </w:pPr>
          <w:hyperlink w:anchor="_heading=h.a2act04emagj">
            <w:r>
              <w:rPr>
                <w:b/>
                <w:bCs/>
                <w:color w:val="000000"/>
              </w:rPr>
              <w:t>PART V -- ORDER SOUGHT</w:t>
            </w:r>
            <w:r>
              <w:rPr>
                <w:b/>
                <w:bCs/>
                <w:color w:val="000000"/>
              </w:rPr>
              <w:tab/>
              <w:t>22</w:t>
            </w:r>
          </w:hyperlink>
        </w:p>
        <w:p w14:paraId="678178F3" w14:textId="77777777" w:rsidR="0039739C" w:rsidRDefault="0039739C">
          <w:pPr>
            <w:widowControl w:val="0"/>
            <w:tabs>
              <w:tab w:val="right" w:leader="dot" w:pos="12000"/>
            </w:tabs>
            <w:spacing w:before="240" w:after="240" w:line="240" w:lineRule="auto"/>
            <w:rPr>
              <w:rFonts w:ascii="Arial" w:eastAsia="Arial" w:hAnsi="Arial" w:cs="Arial"/>
              <w:b/>
              <w:bCs/>
              <w:color w:val="000000"/>
              <w:sz w:val="22"/>
              <w:szCs w:val="22"/>
            </w:rPr>
          </w:pPr>
          <w:hyperlink w:anchor="_heading=h.vlkocys9mrjp">
            <w:r>
              <w:rPr>
                <w:b/>
                <w:bCs/>
                <w:color w:val="000000"/>
              </w:rPr>
              <w:t>PART VI -- TABLE OF AUTHORITIES</w:t>
            </w:r>
            <w:r>
              <w:rPr>
                <w:b/>
                <w:bCs/>
                <w:color w:val="000000"/>
              </w:rPr>
              <w:tab/>
              <w:t>23</w:t>
            </w:r>
          </w:hyperlink>
          <w:r w:rsidR="007E62DB">
            <w:fldChar w:fldCharType="end"/>
          </w:r>
        </w:p>
      </w:sdtContent>
    </w:sdt>
    <w:p w14:paraId="6D09EB06" w14:textId="77777777" w:rsidR="0039739C" w:rsidRDefault="0039739C">
      <w:pPr>
        <w:widowControl w:val="0"/>
        <w:tabs>
          <w:tab w:val="right" w:pos="12000"/>
        </w:tabs>
        <w:spacing w:before="240" w:after="240" w:line="360" w:lineRule="auto"/>
        <w:jc w:val="both"/>
        <w:rPr>
          <w:rFonts w:ascii="Arial" w:eastAsia="Arial" w:hAnsi="Arial" w:cs="Arial"/>
          <w:b/>
          <w:bCs/>
          <w:color w:val="000000"/>
          <w:sz w:val="22"/>
          <w:szCs w:val="22"/>
        </w:rPr>
      </w:pPr>
    </w:p>
    <w:p w14:paraId="308A42D6" w14:textId="77777777" w:rsidR="0039739C" w:rsidRDefault="0039739C">
      <w:pPr>
        <w:spacing w:line="360" w:lineRule="auto"/>
        <w:jc w:val="both"/>
      </w:pPr>
    </w:p>
    <w:p w14:paraId="4332D6BF" w14:textId="77777777" w:rsidR="0039739C" w:rsidRDefault="0039739C">
      <w:pPr>
        <w:spacing w:line="360" w:lineRule="auto"/>
        <w:jc w:val="both"/>
        <w:sectPr w:rsidR="0039739C">
          <w:headerReference w:type="default" r:id="rId14"/>
          <w:pgSz w:w="12240" w:h="15840"/>
          <w:pgMar w:top="1440" w:right="1440" w:bottom="1440" w:left="1440" w:header="720" w:footer="720" w:gutter="0"/>
          <w:pgNumType w:start="1"/>
          <w:cols w:space="720"/>
        </w:sectPr>
      </w:pPr>
    </w:p>
    <w:p w14:paraId="10653069" w14:textId="77777777" w:rsidR="0039739C" w:rsidRDefault="007E62DB">
      <w:pPr>
        <w:pStyle w:val="Heading1"/>
        <w:spacing w:before="120" w:after="240"/>
        <w:jc w:val="both"/>
        <w:rPr>
          <w:rFonts w:ascii="Times New Roman" w:eastAsia="Times New Roman" w:hAnsi="Times New Roman" w:cs="Times New Roman"/>
        </w:rPr>
      </w:pPr>
      <w:bookmarkStart w:id="1" w:name="_heading=h.21iysp2wcbi0" w:colFirst="0" w:colLast="0"/>
      <w:bookmarkEnd w:id="1"/>
      <w:r>
        <w:rPr>
          <w:rFonts w:ascii="Times New Roman" w:eastAsia="Times New Roman" w:hAnsi="Times New Roman" w:cs="Times New Roman"/>
        </w:rPr>
        <w:lastRenderedPageBreak/>
        <w:t>PART I -- OVERVIEW AND STATEMENT OF FACTS</w:t>
      </w:r>
    </w:p>
    <w:p w14:paraId="14FEE984" w14:textId="77777777" w:rsidR="0039739C" w:rsidRDefault="007E62DB">
      <w:pPr>
        <w:pStyle w:val="Heading2"/>
        <w:spacing w:after="240"/>
        <w:rPr>
          <w:u w:val="single"/>
        </w:rPr>
      </w:pPr>
      <w:bookmarkStart w:id="2" w:name="_heading=h.51ckit3cbtb1" w:colFirst="0" w:colLast="0"/>
      <w:bookmarkEnd w:id="2"/>
      <w:r>
        <w:rPr>
          <w:u w:val="single"/>
        </w:rPr>
        <w:t>A. Overview</w:t>
      </w:r>
    </w:p>
    <w:p w14:paraId="1251175E" w14:textId="77777777" w:rsidR="0039739C" w:rsidRDefault="007E62DB">
      <w:pPr>
        <w:numPr>
          <w:ilvl w:val="0"/>
          <w:numId w:val="3"/>
        </w:numPr>
        <w:spacing w:before="120" w:after="120" w:line="360" w:lineRule="auto"/>
        <w:jc w:val="both"/>
      </w:pPr>
      <w:r>
        <w:t xml:space="preserve">This appeal concerns the interpretation of “habitat” under the </w:t>
      </w:r>
      <w:r>
        <w:rPr>
          <w:i/>
          <w:iCs/>
        </w:rPr>
        <w:t>Endangered Species Act, 2007,</w:t>
      </w:r>
      <w:r>
        <w:t xml:space="preserve"> S.O. 2007, c. 6 (the “</w:t>
      </w:r>
      <w:r>
        <w:rPr>
          <w:b/>
          <w:bCs/>
          <w:i/>
          <w:iCs/>
        </w:rPr>
        <w:t>ESA</w:t>
      </w:r>
      <w:r>
        <w:t>” or “</w:t>
      </w:r>
      <w:r>
        <w:rPr>
          <w:b/>
          <w:bCs/>
        </w:rPr>
        <w:t>Act</w:t>
      </w:r>
      <w:r>
        <w:t xml:space="preserve">”) and the evidentiary requirements to prove the existence of habitat pursuant the Act. The </w:t>
      </w:r>
      <w:r>
        <w:rPr>
          <w:i/>
          <w:iCs/>
        </w:rPr>
        <w:t>ESA</w:t>
      </w:r>
      <w:r>
        <w:t>’s broad definition of “habitat” is central to fulfilling its remedial purpose. Further, this appeal exemplifies the significance of scientific evidence.</w:t>
      </w:r>
    </w:p>
    <w:p w14:paraId="4BFA1D48" w14:textId="77777777" w:rsidR="0039739C" w:rsidRDefault="007E62DB">
      <w:pPr>
        <w:numPr>
          <w:ilvl w:val="0"/>
          <w:numId w:val="3"/>
        </w:numPr>
        <w:spacing w:before="120" w:after="120" w:line="360" w:lineRule="auto"/>
        <w:jc w:val="both"/>
      </w:pPr>
      <w:r>
        <w:t>In 2018, Consolidated Homes Limited (“</w:t>
      </w:r>
      <w:r>
        <w:rPr>
          <w:b/>
          <w:bCs/>
        </w:rPr>
        <w:t>CHL</w:t>
      </w:r>
      <w:r>
        <w:t>”), a housing development company, was charged with unlawfully damaging the habitat of an endangered species, Blanding’s turtle. CHL grubbed land near Circle Lake in North Bay, Ontario (the “</w:t>
      </w:r>
      <w:r>
        <w:rPr>
          <w:b/>
          <w:bCs/>
        </w:rPr>
        <w:t>Grubbed Area</w:t>
      </w:r>
      <w:r>
        <w:t>”), but has maintained that the impugned area was not Blanding’s turtle habitat. CHL was convicted at trial (the “</w:t>
      </w:r>
      <w:r>
        <w:rPr>
          <w:b/>
          <w:bCs/>
        </w:rPr>
        <w:t>Trial Decision</w:t>
      </w:r>
      <w:r>
        <w:t>”), but acquitted on appeal (the “</w:t>
      </w:r>
      <w:r>
        <w:rPr>
          <w:b/>
          <w:bCs/>
        </w:rPr>
        <w:t>Appeal Decision</w:t>
      </w:r>
      <w:r>
        <w:t>”).</w:t>
      </w:r>
    </w:p>
    <w:p w14:paraId="55422C78" w14:textId="77777777" w:rsidR="0039739C" w:rsidRDefault="007E62DB">
      <w:pPr>
        <w:numPr>
          <w:ilvl w:val="0"/>
          <w:numId w:val="3"/>
        </w:numPr>
        <w:spacing w:before="120" w:after="120" w:line="360" w:lineRule="auto"/>
        <w:jc w:val="both"/>
      </w:pPr>
      <w:r>
        <w:t>On this appeal, the appellant, His Majesty the King (the “</w:t>
      </w:r>
      <w:r>
        <w:rPr>
          <w:b/>
          <w:bCs/>
        </w:rPr>
        <w:t>Province</w:t>
      </w:r>
      <w:r>
        <w:t>” or the “</w:t>
      </w:r>
      <w:r>
        <w:rPr>
          <w:b/>
          <w:bCs/>
        </w:rPr>
        <w:t>Crown</w:t>
      </w:r>
      <w:r>
        <w:t>”), submits that the Appeal Decision should be set aside on the basis of three errors of law:</w:t>
      </w:r>
    </w:p>
    <w:p w14:paraId="66B0E536" w14:textId="77777777" w:rsidR="0039739C" w:rsidRDefault="007E62DB">
      <w:pPr>
        <w:numPr>
          <w:ilvl w:val="2"/>
          <w:numId w:val="3"/>
        </w:numPr>
        <w:spacing w:before="120" w:after="120" w:line="360" w:lineRule="auto"/>
        <w:ind w:left="1418" w:hanging="698"/>
        <w:jc w:val="both"/>
      </w:pPr>
      <w:r>
        <w:t>the OCJ judge, sitting as an appeal judge (the “</w:t>
      </w:r>
      <w:r>
        <w:rPr>
          <w:b/>
          <w:bCs/>
        </w:rPr>
        <w:t>Appeal Judge</w:t>
      </w:r>
      <w:r>
        <w:t>”), erred in finding that the trial judge in this case (the “</w:t>
      </w:r>
      <w:r>
        <w:rPr>
          <w:b/>
          <w:bCs/>
        </w:rPr>
        <w:t>Trial Judge</w:t>
      </w:r>
      <w:r>
        <w:t>”) incorrectly relied on sightings of Blanding’s turtle near the Grubbed Area;</w:t>
      </w:r>
    </w:p>
    <w:p w14:paraId="2B563EDB" w14:textId="77777777" w:rsidR="0039739C" w:rsidRDefault="007E62DB">
      <w:pPr>
        <w:numPr>
          <w:ilvl w:val="2"/>
          <w:numId w:val="3"/>
        </w:numPr>
        <w:spacing w:before="120" w:after="120" w:line="360" w:lineRule="auto"/>
        <w:ind w:left="1418" w:hanging="698"/>
        <w:jc w:val="both"/>
      </w:pPr>
      <w:r>
        <w:t>the Appeal Judge erred in finding that the Trial Judge incorrectly relied on the “General Habitat Description for the Blanding’s Turtle”, a scientific document commissioned by the Province detailing Blanding’s turtle habitat; and</w:t>
      </w:r>
    </w:p>
    <w:p w14:paraId="26B6232A" w14:textId="77777777" w:rsidR="0039739C" w:rsidRDefault="007E62DB">
      <w:pPr>
        <w:numPr>
          <w:ilvl w:val="2"/>
          <w:numId w:val="3"/>
        </w:numPr>
        <w:spacing w:before="120" w:after="120" w:line="360" w:lineRule="auto"/>
        <w:ind w:left="1418" w:hanging="698"/>
        <w:jc w:val="both"/>
      </w:pPr>
      <w:r>
        <w:t>the Appeal Judge erred in failing to consider that Blanding’s turtles indirectly depended on the Grubbed Area as habitat.</w:t>
      </w:r>
    </w:p>
    <w:p w14:paraId="346FC04D" w14:textId="77777777" w:rsidR="0039739C" w:rsidRDefault="007E62DB">
      <w:pPr>
        <w:numPr>
          <w:ilvl w:val="0"/>
          <w:numId w:val="3"/>
        </w:numPr>
        <w:spacing w:before="120" w:after="120" w:line="360" w:lineRule="auto"/>
        <w:jc w:val="both"/>
      </w:pPr>
      <w:r>
        <w:t>Further, the Province submits that even if CHL were charged under an amended definition of “habitat”, introduced in 2025, the trial would have been decided in the same way.</w:t>
      </w:r>
    </w:p>
    <w:p w14:paraId="3E310CBC" w14:textId="77777777" w:rsidR="0039739C" w:rsidRDefault="007E62DB">
      <w:pPr>
        <w:numPr>
          <w:ilvl w:val="0"/>
          <w:numId w:val="3"/>
        </w:numPr>
        <w:spacing w:before="120" w:after="120" w:line="360" w:lineRule="auto"/>
        <w:jc w:val="both"/>
      </w:pPr>
      <w:r>
        <w:t xml:space="preserve">This appeal should be allowed. The Appeal Judge’s errors illustrate an unacceptable interpretation of the </w:t>
      </w:r>
      <w:r>
        <w:rPr>
          <w:i/>
          <w:iCs/>
        </w:rPr>
        <w:t>ESA</w:t>
      </w:r>
      <w:r>
        <w:t xml:space="preserve"> and a failure to provide appropriate deference to the fact-finding role of a trial judge. This court should correct these errors; thereby ensuring that the purpose of the Act in furtherance of the protection of endangered species is properly fulfilled.</w:t>
      </w:r>
    </w:p>
    <w:p w14:paraId="7AC25C10" w14:textId="77777777" w:rsidR="0039739C" w:rsidRDefault="007E62DB">
      <w:pPr>
        <w:pStyle w:val="Heading2"/>
        <w:spacing w:before="240" w:after="240" w:line="360" w:lineRule="auto"/>
        <w:jc w:val="both"/>
        <w:rPr>
          <w:u w:val="single"/>
        </w:rPr>
      </w:pPr>
      <w:bookmarkStart w:id="3" w:name="_heading=h.mm3i9ik3dpdr" w:colFirst="0" w:colLast="0"/>
      <w:bookmarkEnd w:id="3"/>
      <w:r>
        <w:rPr>
          <w:u w:val="single"/>
        </w:rPr>
        <w:lastRenderedPageBreak/>
        <w:t>B. Statement of the Facts</w:t>
      </w:r>
    </w:p>
    <w:p w14:paraId="0D52D4DE" w14:textId="77777777" w:rsidR="0039739C" w:rsidRDefault="007E62DB">
      <w:pPr>
        <w:pStyle w:val="Heading2"/>
        <w:spacing w:before="240" w:after="240" w:line="360" w:lineRule="auto"/>
        <w:jc w:val="both"/>
      </w:pPr>
      <w:bookmarkStart w:id="4" w:name="_heading=h.yg8x2xs9my60" w:colFirst="0" w:colLast="0"/>
      <w:bookmarkEnd w:id="4"/>
      <w:r>
        <w:t>(i) Blanding’s Turtles</w:t>
      </w:r>
    </w:p>
    <w:p w14:paraId="3DBCF049" w14:textId="77777777" w:rsidR="0039739C" w:rsidRDefault="007E62DB">
      <w:pPr>
        <w:numPr>
          <w:ilvl w:val="0"/>
          <w:numId w:val="3"/>
        </w:numPr>
        <w:spacing w:before="120" w:line="360" w:lineRule="auto"/>
        <w:jc w:val="both"/>
      </w:pPr>
      <w:r>
        <w:t>Blanding’s turtles are listed as threatened under the Species at Risk in Ontario List (the “</w:t>
      </w:r>
      <w:r>
        <w:rPr>
          <w:b/>
          <w:bCs/>
        </w:rPr>
        <w:t>SRO List</w:t>
      </w:r>
      <w:r>
        <w:t xml:space="preserve">”). Blanding’s turtles are a semi-aquatic species primarily found in the Great Lakes and St. Lawrence area. The turtles use terrestrial habitats for nesting, foraging, thermoregulation, and movement. Aquatic sites are often used in the overwintering time to protect themselves from freezing. </w:t>
      </w:r>
    </w:p>
    <w:p w14:paraId="145AFDBC" w14:textId="77777777" w:rsidR="0039739C" w:rsidRDefault="007E62DB" w:rsidP="00C96177">
      <w:pPr>
        <w:spacing w:after="120" w:line="240" w:lineRule="auto"/>
        <w:jc w:val="right"/>
        <w:rPr>
          <w:sz w:val="20"/>
          <w:szCs w:val="20"/>
        </w:rPr>
      </w:pPr>
      <w:r>
        <w:rPr>
          <w:sz w:val="20"/>
          <w:szCs w:val="20"/>
        </w:rPr>
        <w:tab/>
      </w:r>
      <w:r>
        <w:rPr>
          <w:i/>
          <w:iCs/>
          <w:sz w:val="20"/>
          <w:szCs w:val="20"/>
        </w:rPr>
        <w:t>Species at Risk in Ontario List</w:t>
      </w:r>
      <w:r>
        <w:rPr>
          <w:sz w:val="20"/>
          <w:szCs w:val="20"/>
        </w:rPr>
        <w:t>, Ontario Regulation 230/08, Sched 2 [</w:t>
      </w:r>
      <w:r>
        <w:rPr>
          <w:i/>
          <w:iCs/>
          <w:sz w:val="20"/>
          <w:szCs w:val="20"/>
        </w:rPr>
        <w:t>Reg. 230-08</w:t>
      </w:r>
      <w:r>
        <w:rPr>
          <w:sz w:val="20"/>
          <w:szCs w:val="20"/>
        </w:rPr>
        <w:t>].</w:t>
      </w:r>
    </w:p>
    <w:p w14:paraId="01C4C747" w14:textId="77777777" w:rsidR="0039739C" w:rsidRDefault="007E62DB" w:rsidP="00C96177">
      <w:pPr>
        <w:spacing w:before="120" w:after="240" w:line="240" w:lineRule="auto"/>
        <w:ind w:left="720"/>
        <w:jc w:val="right"/>
        <w:rPr>
          <w:sz w:val="20"/>
          <w:szCs w:val="20"/>
        </w:rPr>
      </w:pPr>
      <w:r>
        <w:rPr>
          <w:sz w:val="20"/>
          <w:szCs w:val="20"/>
        </w:rPr>
        <w:t xml:space="preserve">Ontario, Ministry of the Environment Conservation and Parks, July 2013 (updated March 2021) </w:t>
      </w:r>
      <w:r>
        <w:rPr>
          <w:i/>
          <w:iCs/>
          <w:sz w:val="20"/>
          <w:szCs w:val="20"/>
        </w:rPr>
        <w:t xml:space="preserve">General Habitat Description for the Blanding’s turtle </w:t>
      </w:r>
      <w:r>
        <w:rPr>
          <w:sz w:val="20"/>
          <w:szCs w:val="20"/>
        </w:rPr>
        <w:t>(2021) at 1 [</w:t>
      </w:r>
      <w:r>
        <w:rPr>
          <w:i/>
          <w:iCs/>
          <w:sz w:val="20"/>
          <w:szCs w:val="20"/>
        </w:rPr>
        <w:t>GHD</w:t>
      </w:r>
      <w:r>
        <w:rPr>
          <w:sz w:val="20"/>
          <w:szCs w:val="20"/>
        </w:rPr>
        <w:t>].</w:t>
      </w:r>
    </w:p>
    <w:p w14:paraId="751DA82F" w14:textId="77777777" w:rsidR="0039739C" w:rsidRDefault="007E62DB" w:rsidP="00C96177">
      <w:pPr>
        <w:numPr>
          <w:ilvl w:val="0"/>
          <w:numId w:val="3"/>
        </w:numPr>
        <w:spacing w:before="120" w:line="360" w:lineRule="auto"/>
        <w:jc w:val="both"/>
      </w:pPr>
      <w:r>
        <w:t>In convicting CHL, the Trial Judge relied on a document called the “General Habitat Description of Blanding’s Turtles” (the “</w:t>
      </w:r>
      <w:r>
        <w:rPr>
          <w:b/>
          <w:bCs/>
        </w:rPr>
        <w:t>GHD</w:t>
      </w:r>
      <w:r>
        <w:t>”) (Trial Decision). The GHD is a technical document commissioned by the Province “that provides greater clarity on the area of habitat itsprotected for a species based on the general habitat definition found in the</w:t>
      </w:r>
      <w:r>
        <w:rPr>
          <w:i/>
          <w:iCs/>
        </w:rPr>
        <w:t xml:space="preserve"> </w:t>
      </w:r>
      <w:r>
        <w:t>[</w:t>
      </w:r>
      <w:r>
        <w:rPr>
          <w:i/>
          <w:iCs/>
        </w:rPr>
        <w:t>ESA</w:t>
      </w:r>
      <w:r>
        <w:t>]”. This type of document is available for many of the species named on the SRO List. For a given species, a GHD is made with the “best scientific information available”.</w:t>
      </w:r>
    </w:p>
    <w:p w14:paraId="0DCA1887" w14:textId="77777777" w:rsidR="0039739C" w:rsidRDefault="007E62DB" w:rsidP="00C96177">
      <w:pPr>
        <w:spacing w:after="120" w:line="240" w:lineRule="auto"/>
        <w:jc w:val="right"/>
        <w:rPr>
          <w:sz w:val="20"/>
          <w:szCs w:val="20"/>
        </w:rPr>
      </w:pPr>
      <w:r>
        <w:rPr>
          <w:i/>
          <w:iCs/>
          <w:sz w:val="20"/>
          <w:szCs w:val="20"/>
        </w:rPr>
        <w:t>R v Consolidated Homes</w:t>
      </w:r>
      <w:r>
        <w:rPr>
          <w:sz w:val="20"/>
          <w:szCs w:val="20"/>
        </w:rPr>
        <w:t xml:space="preserve"> (12 October 2022)</w:t>
      </w:r>
      <w:r>
        <w:rPr>
          <w:i/>
          <w:iCs/>
          <w:sz w:val="20"/>
          <w:szCs w:val="20"/>
        </w:rPr>
        <w:t>,</w:t>
      </w:r>
      <w:r>
        <w:rPr>
          <w:sz w:val="20"/>
          <w:szCs w:val="20"/>
        </w:rPr>
        <w:t xml:space="preserve"> North Bay 2560-999-19-0038-00 (ONCJ (GD)) [Trial Decision].</w:t>
      </w:r>
    </w:p>
    <w:p w14:paraId="1D1BAA6B" w14:textId="77777777" w:rsidR="0039739C" w:rsidRDefault="007E62DB">
      <w:pPr>
        <w:spacing w:before="120" w:after="240" w:line="240" w:lineRule="auto"/>
        <w:ind w:left="720"/>
        <w:jc w:val="right"/>
        <w:rPr>
          <w:sz w:val="20"/>
          <w:szCs w:val="20"/>
        </w:rPr>
      </w:pPr>
      <w:r>
        <w:rPr>
          <w:i/>
          <w:iCs/>
          <w:sz w:val="20"/>
          <w:szCs w:val="20"/>
        </w:rPr>
        <w:t>GHD</w:t>
      </w:r>
      <w:r>
        <w:rPr>
          <w:sz w:val="20"/>
          <w:szCs w:val="20"/>
        </w:rPr>
        <w:t xml:space="preserve">, </w:t>
      </w:r>
      <w:r>
        <w:rPr>
          <w:i/>
          <w:iCs/>
          <w:sz w:val="20"/>
          <w:szCs w:val="20"/>
        </w:rPr>
        <w:t>supra</w:t>
      </w:r>
      <w:r>
        <w:rPr>
          <w:sz w:val="20"/>
          <w:szCs w:val="20"/>
        </w:rPr>
        <w:t xml:space="preserve"> para 6 at 1.</w:t>
      </w:r>
    </w:p>
    <w:p w14:paraId="49658743" w14:textId="77777777" w:rsidR="0039739C" w:rsidRDefault="007E62DB">
      <w:pPr>
        <w:numPr>
          <w:ilvl w:val="0"/>
          <w:numId w:val="3"/>
        </w:numPr>
        <w:spacing w:before="120" w:after="240" w:line="360" w:lineRule="auto"/>
        <w:jc w:val="both"/>
      </w:pPr>
      <w:r>
        <w:t>Surrounding the Grubbed Area, there have been three documented sightings of Blanding’s turtles since 2007. These sightings have been collected by the Natural Heritage Information Centre (the “</w:t>
      </w:r>
      <w:r>
        <w:rPr>
          <w:b/>
          <w:bCs/>
        </w:rPr>
        <w:t>NHIC</w:t>
      </w:r>
      <w:r>
        <w:t>”) (Examination-in-Chief of Shamus Snell), a provincial database for endangered species. These are the documented sightings:</w:t>
      </w:r>
    </w:p>
    <w:sdt>
      <w:sdtPr>
        <w:tag w:val="goog_rdk_0"/>
        <w:id w:val="953650408"/>
        <w:lock w:val="contentLocked"/>
      </w:sdtPr>
      <w:sdtEndPr/>
      <w:sdtContent>
        <w:tbl>
          <w:tblPr>
            <w:tblStyle w:val="aa"/>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6720"/>
          </w:tblGrid>
          <w:tr w:rsidR="0039739C" w14:paraId="67B28377" w14:textId="77777777">
            <w:tc>
              <w:tcPr>
                <w:tcW w:w="1920" w:type="dxa"/>
                <w:tcMar>
                  <w:top w:w="100" w:type="dxa"/>
                  <w:left w:w="100" w:type="dxa"/>
                  <w:bottom w:w="100" w:type="dxa"/>
                  <w:right w:w="100" w:type="dxa"/>
                </w:tcMar>
              </w:tcPr>
              <w:p w14:paraId="5702FE9D" w14:textId="77777777" w:rsidR="0039739C" w:rsidRDefault="007E62DB">
                <w:pPr>
                  <w:widowControl w:val="0"/>
                  <w:pBdr>
                    <w:top w:val="nil"/>
                    <w:left w:val="nil"/>
                    <w:bottom w:val="nil"/>
                    <w:right w:val="nil"/>
                    <w:between w:val="nil"/>
                  </w:pBdr>
                  <w:spacing w:line="240" w:lineRule="auto"/>
                  <w:rPr>
                    <w:b/>
                    <w:bCs/>
                  </w:rPr>
                </w:pPr>
                <w:r>
                  <w:rPr>
                    <w:b/>
                    <w:bCs/>
                  </w:rPr>
                  <w:t>2007</w:t>
                </w:r>
              </w:p>
            </w:tc>
            <w:tc>
              <w:tcPr>
                <w:tcW w:w="6720" w:type="dxa"/>
                <w:tcMar>
                  <w:top w:w="100" w:type="dxa"/>
                  <w:left w:w="100" w:type="dxa"/>
                  <w:bottom w:w="100" w:type="dxa"/>
                  <w:right w:w="100" w:type="dxa"/>
                </w:tcMar>
              </w:tcPr>
              <w:p w14:paraId="28EEAEBE" w14:textId="77777777" w:rsidR="0039739C" w:rsidRDefault="007E62DB">
                <w:pPr>
                  <w:widowControl w:val="0"/>
                  <w:pBdr>
                    <w:top w:val="nil"/>
                    <w:left w:val="nil"/>
                    <w:bottom w:val="nil"/>
                    <w:right w:val="nil"/>
                    <w:between w:val="nil"/>
                  </w:pBdr>
                  <w:spacing w:line="240" w:lineRule="auto"/>
                </w:pPr>
                <w:r>
                  <w:t xml:space="preserve">Sighting by a lay person close to the location of the offence (Appeal Decision; Examination-in-Chief of Shamus Snell). </w:t>
                </w:r>
              </w:p>
            </w:tc>
          </w:tr>
          <w:tr w:rsidR="0039739C" w14:paraId="14470152" w14:textId="77777777">
            <w:tc>
              <w:tcPr>
                <w:tcW w:w="1920" w:type="dxa"/>
                <w:tcMar>
                  <w:top w:w="100" w:type="dxa"/>
                  <w:left w:w="100" w:type="dxa"/>
                  <w:bottom w:w="100" w:type="dxa"/>
                  <w:right w:w="100" w:type="dxa"/>
                </w:tcMar>
              </w:tcPr>
              <w:p w14:paraId="466A6145" w14:textId="77777777" w:rsidR="0039739C" w:rsidRDefault="007E62DB">
                <w:pPr>
                  <w:widowControl w:val="0"/>
                  <w:pBdr>
                    <w:top w:val="nil"/>
                    <w:left w:val="nil"/>
                    <w:bottom w:val="nil"/>
                    <w:right w:val="nil"/>
                    <w:between w:val="nil"/>
                  </w:pBdr>
                  <w:spacing w:line="240" w:lineRule="auto"/>
                  <w:rPr>
                    <w:b/>
                    <w:bCs/>
                  </w:rPr>
                </w:pPr>
                <w:r>
                  <w:rPr>
                    <w:b/>
                    <w:bCs/>
                  </w:rPr>
                  <w:t>2017</w:t>
                </w:r>
              </w:p>
            </w:tc>
            <w:tc>
              <w:tcPr>
                <w:tcW w:w="6720" w:type="dxa"/>
                <w:tcMar>
                  <w:top w:w="100" w:type="dxa"/>
                  <w:left w:w="100" w:type="dxa"/>
                  <w:bottom w:w="100" w:type="dxa"/>
                  <w:right w:w="100" w:type="dxa"/>
                </w:tcMar>
              </w:tcPr>
              <w:p w14:paraId="7A226343" w14:textId="77777777" w:rsidR="0039739C" w:rsidRDefault="007E62DB">
                <w:pPr>
                  <w:widowControl w:val="0"/>
                  <w:pBdr>
                    <w:top w:val="nil"/>
                    <w:left w:val="nil"/>
                    <w:bottom w:val="nil"/>
                    <w:right w:val="nil"/>
                    <w:between w:val="nil"/>
                  </w:pBdr>
                  <w:spacing w:line="240" w:lineRule="auto"/>
                </w:pPr>
                <w:r>
                  <w:t xml:space="preserve">Sighting by the Ministry’s staff, near the </w:t>
                </w:r>
                <w:r>
                  <w:t>location of the offence (Appeal Decision).</w:t>
                </w:r>
              </w:p>
            </w:tc>
          </w:tr>
          <w:tr w:rsidR="0039739C" w14:paraId="7470EAB5" w14:textId="77777777">
            <w:tc>
              <w:tcPr>
                <w:tcW w:w="1920" w:type="dxa"/>
                <w:tcMar>
                  <w:top w:w="100" w:type="dxa"/>
                  <w:left w:w="100" w:type="dxa"/>
                  <w:bottom w:w="100" w:type="dxa"/>
                  <w:right w:w="100" w:type="dxa"/>
                </w:tcMar>
              </w:tcPr>
              <w:p w14:paraId="030A638F" w14:textId="77777777" w:rsidR="0039739C" w:rsidRDefault="007E62DB">
                <w:pPr>
                  <w:widowControl w:val="0"/>
                  <w:pBdr>
                    <w:top w:val="nil"/>
                    <w:left w:val="nil"/>
                    <w:bottom w:val="nil"/>
                    <w:right w:val="nil"/>
                    <w:between w:val="nil"/>
                  </w:pBdr>
                  <w:spacing w:line="240" w:lineRule="auto"/>
                  <w:rPr>
                    <w:b/>
                    <w:bCs/>
                  </w:rPr>
                </w:pPr>
                <w:r>
                  <w:rPr>
                    <w:b/>
                    <w:bCs/>
                  </w:rPr>
                  <w:t>June 11, 2020</w:t>
                </w:r>
              </w:p>
            </w:tc>
            <w:tc>
              <w:tcPr>
                <w:tcW w:w="6720" w:type="dxa"/>
                <w:tcMar>
                  <w:top w:w="100" w:type="dxa"/>
                  <w:left w:w="100" w:type="dxa"/>
                  <w:bottom w:w="100" w:type="dxa"/>
                  <w:right w:w="100" w:type="dxa"/>
                </w:tcMar>
              </w:tcPr>
              <w:p w14:paraId="409A2457" w14:textId="77777777" w:rsidR="0039739C" w:rsidRDefault="007E62DB">
                <w:pPr>
                  <w:widowControl w:val="0"/>
                  <w:pBdr>
                    <w:top w:val="nil"/>
                    <w:left w:val="nil"/>
                    <w:bottom w:val="nil"/>
                    <w:right w:val="nil"/>
                    <w:between w:val="nil"/>
                  </w:pBdr>
                  <w:spacing w:line="240" w:lineRule="auto"/>
                </w:pPr>
                <w:r>
                  <w:t>Sighting by Maria Badilla (“</w:t>
                </w:r>
                <w:r>
                  <w:rPr>
                    <w:b/>
                    <w:bCs/>
                  </w:rPr>
                  <w:t>Ms. Badilla</w:t>
                </w:r>
                <w:r>
                  <w:t>”). She resided at 1 Circle Lake Road. The turtle was located at the end of the water in the Circle Lake area, and she took a photo of it, which was submitted as evidence (Trial Decision).</w:t>
                </w:r>
              </w:p>
            </w:tc>
          </w:tr>
        </w:tbl>
      </w:sdtContent>
    </w:sdt>
    <w:p w14:paraId="2AE90F13" w14:textId="77777777" w:rsidR="0039739C" w:rsidRDefault="007E62DB">
      <w:pPr>
        <w:spacing w:before="240" w:after="120" w:line="240" w:lineRule="auto"/>
        <w:ind w:left="720"/>
        <w:jc w:val="right"/>
        <w:rPr>
          <w:sz w:val="20"/>
          <w:szCs w:val="20"/>
        </w:rPr>
      </w:pPr>
      <w:r>
        <w:rPr>
          <w:i/>
          <w:iCs/>
          <w:sz w:val="20"/>
          <w:szCs w:val="20"/>
        </w:rPr>
        <w:lastRenderedPageBreak/>
        <w:t xml:space="preserve">R v Consolidated Homes Ltd. </w:t>
      </w:r>
      <w:r>
        <w:rPr>
          <w:sz w:val="20"/>
          <w:szCs w:val="20"/>
        </w:rPr>
        <w:t>(20 August 2024), North Bay 2560-999-19-0038 (OCNJ (GD)) at 14-15 [Appeal Decision].</w:t>
      </w:r>
    </w:p>
    <w:p w14:paraId="49F42657" w14:textId="77777777" w:rsidR="0039739C" w:rsidRDefault="007E62DB">
      <w:pPr>
        <w:jc w:val="right"/>
        <w:rPr>
          <w:sz w:val="20"/>
          <w:szCs w:val="20"/>
        </w:rPr>
      </w:pPr>
      <w:r>
        <w:rPr>
          <w:sz w:val="20"/>
          <w:szCs w:val="20"/>
        </w:rPr>
        <w:t xml:space="preserve">Trial Decision, </w:t>
      </w:r>
      <w:r>
        <w:rPr>
          <w:i/>
          <w:iCs/>
          <w:sz w:val="20"/>
          <w:szCs w:val="20"/>
        </w:rPr>
        <w:t>supra</w:t>
      </w:r>
      <w:r>
        <w:rPr>
          <w:sz w:val="20"/>
          <w:szCs w:val="20"/>
        </w:rPr>
        <w:t xml:space="preserve"> para 7, (Evidence, Examination-in-Chief of Shamus Snell, Trial Transcript for May 3) at 55, ll. 3-18; Crown’s Motion Record at Tab 7 [Examination-in-Chief of Shamus Snell].</w:t>
      </w:r>
    </w:p>
    <w:p w14:paraId="366FBAA9" w14:textId="77777777" w:rsidR="0039739C" w:rsidRDefault="007E62DB">
      <w:pPr>
        <w:spacing w:before="120" w:after="240" w:line="240" w:lineRule="auto"/>
        <w:jc w:val="right"/>
        <w:rPr>
          <w:sz w:val="20"/>
          <w:szCs w:val="20"/>
        </w:rPr>
      </w:pPr>
      <w:r>
        <w:rPr>
          <w:sz w:val="20"/>
          <w:szCs w:val="20"/>
        </w:rPr>
        <w:t xml:space="preserve"> Trial Decision, </w:t>
      </w:r>
      <w:r>
        <w:rPr>
          <w:i/>
          <w:iCs/>
          <w:sz w:val="20"/>
          <w:szCs w:val="20"/>
        </w:rPr>
        <w:t>supra</w:t>
      </w:r>
      <w:r>
        <w:rPr>
          <w:sz w:val="20"/>
          <w:szCs w:val="20"/>
        </w:rPr>
        <w:t xml:space="preserve"> para 7 at 9.</w:t>
      </w:r>
    </w:p>
    <w:p w14:paraId="7758C42D" w14:textId="77777777" w:rsidR="0039739C" w:rsidRDefault="007E62DB">
      <w:pPr>
        <w:pStyle w:val="Heading3"/>
        <w:spacing w:before="120" w:after="240"/>
        <w:ind w:left="-720" w:firstLine="720"/>
        <w:jc w:val="both"/>
        <w:rPr>
          <w:b/>
          <w:bCs/>
        </w:rPr>
      </w:pPr>
      <w:bookmarkStart w:id="5" w:name="_heading=h.ggqyrw9xuiso" w:colFirst="0" w:colLast="0"/>
      <w:bookmarkEnd w:id="5"/>
      <w:r>
        <w:rPr>
          <w:b/>
          <w:bCs/>
        </w:rPr>
        <w:t>(ii) The Grubbed Area</w:t>
      </w:r>
    </w:p>
    <w:p w14:paraId="236AE9EF" w14:textId="77777777" w:rsidR="0039739C" w:rsidRDefault="007E62DB" w:rsidP="00C96177">
      <w:pPr>
        <w:numPr>
          <w:ilvl w:val="0"/>
          <w:numId w:val="3"/>
        </w:numPr>
        <w:spacing w:before="120" w:line="360" w:lineRule="auto"/>
        <w:jc w:val="both"/>
      </w:pPr>
      <w:r>
        <w:t xml:space="preserve">CHL has operated as a residential housing developer in the North Bay area for many years. In this work, CHL has been aware of the presence of Blanding’s turtles, their status as a threatened species, and their need for protection. </w:t>
      </w:r>
    </w:p>
    <w:p w14:paraId="579D4BC4" w14:textId="77777777" w:rsidR="0039739C" w:rsidRDefault="007E62DB" w:rsidP="00C96177">
      <w:pPr>
        <w:spacing w:after="240" w:line="240" w:lineRule="auto"/>
        <w:jc w:val="right"/>
        <w:rPr>
          <w:sz w:val="20"/>
          <w:szCs w:val="20"/>
        </w:rPr>
      </w:pPr>
      <w:r>
        <w:rPr>
          <w:sz w:val="20"/>
          <w:szCs w:val="20"/>
        </w:rPr>
        <w:t xml:space="preserve">Trial Decision, </w:t>
      </w:r>
      <w:r>
        <w:rPr>
          <w:i/>
          <w:iCs/>
          <w:sz w:val="20"/>
          <w:szCs w:val="20"/>
        </w:rPr>
        <w:t>supra</w:t>
      </w:r>
      <w:r>
        <w:rPr>
          <w:sz w:val="20"/>
          <w:szCs w:val="20"/>
        </w:rPr>
        <w:t xml:space="preserve"> para 7 at 4.</w:t>
      </w:r>
    </w:p>
    <w:p w14:paraId="48708528" w14:textId="77777777" w:rsidR="0039739C" w:rsidRDefault="007E62DB">
      <w:pPr>
        <w:numPr>
          <w:ilvl w:val="0"/>
          <w:numId w:val="3"/>
        </w:numPr>
        <w:spacing w:before="120" w:line="360" w:lineRule="auto"/>
        <w:jc w:val="both"/>
      </w:pPr>
      <w:r>
        <w:t>From June 1 to August 5, 2018, CHL cleared the Grubbed Area using an excavator. CHL dug up parts of the area south of Circle Lake Road, east of Wallace Road, and west of Circle Lake.</w:t>
      </w:r>
    </w:p>
    <w:p w14:paraId="1FB1190A" w14:textId="77777777" w:rsidR="0039739C" w:rsidRDefault="007E62DB" w:rsidP="00C96177">
      <w:pPr>
        <w:spacing w:after="240" w:line="240" w:lineRule="auto"/>
        <w:jc w:val="right"/>
      </w:pPr>
      <w:r>
        <w:rPr>
          <w:sz w:val="20"/>
          <w:szCs w:val="20"/>
        </w:rPr>
        <w:t xml:space="preserve"> Trial Decision, </w:t>
      </w:r>
      <w:r>
        <w:rPr>
          <w:i/>
          <w:iCs/>
          <w:sz w:val="20"/>
          <w:szCs w:val="20"/>
        </w:rPr>
        <w:t>supra</w:t>
      </w:r>
      <w:r>
        <w:rPr>
          <w:sz w:val="20"/>
          <w:szCs w:val="20"/>
        </w:rPr>
        <w:t xml:space="preserve"> para 7 at 4.</w:t>
      </w:r>
    </w:p>
    <w:p w14:paraId="681A4F60" w14:textId="77777777" w:rsidR="0039739C" w:rsidRDefault="007E62DB">
      <w:pPr>
        <w:pStyle w:val="Heading3"/>
        <w:spacing w:before="120" w:after="240"/>
        <w:ind w:left="0"/>
        <w:jc w:val="both"/>
        <w:rPr>
          <w:b/>
          <w:bCs/>
        </w:rPr>
      </w:pPr>
      <w:bookmarkStart w:id="6" w:name="_heading=h.hkdwkjardx0x" w:colFirst="0" w:colLast="0"/>
      <w:bookmarkEnd w:id="6"/>
      <w:r>
        <w:rPr>
          <w:b/>
          <w:bCs/>
        </w:rPr>
        <w:t>(iii) Statutory Scheme</w:t>
      </w:r>
    </w:p>
    <w:p w14:paraId="5463FF4C" w14:textId="77777777" w:rsidR="0039739C" w:rsidRDefault="007E62DB">
      <w:pPr>
        <w:numPr>
          <w:ilvl w:val="0"/>
          <w:numId w:val="3"/>
        </w:numPr>
        <w:spacing w:before="120" w:after="120" w:line="360" w:lineRule="auto"/>
        <w:jc w:val="both"/>
      </w:pPr>
      <w:r>
        <w:t xml:space="preserve">The </w:t>
      </w:r>
      <w:r>
        <w:rPr>
          <w:i/>
          <w:iCs/>
        </w:rPr>
        <w:t>ESA</w:t>
      </w:r>
      <w:r>
        <w:t xml:space="preserve"> makes it an offence to damage or destroy the habitat of an endangered species:</w:t>
      </w:r>
    </w:p>
    <w:p w14:paraId="1B45F641" w14:textId="77777777" w:rsidR="0039739C" w:rsidRDefault="007E62DB">
      <w:pPr>
        <w:spacing w:before="120" w:after="120" w:line="240" w:lineRule="auto"/>
        <w:ind w:left="1440"/>
        <w:jc w:val="both"/>
      </w:pPr>
      <w:r>
        <w:t>10(1) No person shall damage or destroy the habitat of,</w:t>
      </w:r>
    </w:p>
    <w:p w14:paraId="6604E7D0" w14:textId="77777777" w:rsidR="0039739C" w:rsidRDefault="007E62DB">
      <w:pPr>
        <w:spacing w:before="120" w:after="240" w:line="240" w:lineRule="auto"/>
        <w:ind w:left="2880" w:right="720"/>
        <w:jc w:val="both"/>
        <w:rPr>
          <w:sz w:val="20"/>
          <w:szCs w:val="20"/>
        </w:rPr>
      </w:pPr>
      <w:r>
        <w:t>(a) a species that is listed on the Species at Risk in Ontario List as an endangered or threatened species;</w:t>
      </w:r>
    </w:p>
    <w:p w14:paraId="653E0C59" w14:textId="77777777" w:rsidR="0039739C" w:rsidRDefault="007E62DB">
      <w:pPr>
        <w:numPr>
          <w:ilvl w:val="0"/>
          <w:numId w:val="3"/>
        </w:numPr>
        <w:spacing w:before="120" w:after="120" w:line="360" w:lineRule="auto"/>
        <w:jc w:val="both"/>
      </w:pPr>
      <w:r>
        <w:t>Habitat, as referenced in s. 10, was defined in s. 2(1):</w:t>
      </w:r>
    </w:p>
    <w:p w14:paraId="186CA0DB" w14:textId="77777777" w:rsidR="0039739C" w:rsidRDefault="007E62DB">
      <w:pPr>
        <w:spacing w:before="120" w:after="120" w:line="240" w:lineRule="auto"/>
        <w:ind w:left="1440" w:right="713"/>
        <w:jc w:val="both"/>
      </w:pPr>
      <w:r>
        <w:t>2(1) “habitat” means, [...]</w:t>
      </w:r>
    </w:p>
    <w:p w14:paraId="1A63A1F7" w14:textId="77777777" w:rsidR="0039739C" w:rsidRDefault="007E62DB">
      <w:pPr>
        <w:spacing w:before="120" w:after="120" w:line="240" w:lineRule="auto"/>
        <w:ind w:left="2160" w:right="713"/>
        <w:jc w:val="both"/>
      </w:pPr>
      <w:r>
        <w:t xml:space="preserve">(b) [...] an area on which the species depends, directly or indirectly, to carry on its life processes, including life processes such as reproduction, rearing, </w:t>
      </w:r>
      <w:r>
        <w:t>hibernation, migration or feeding, [...]</w:t>
      </w:r>
    </w:p>
    <w:p w14:paraId="7B49413E" w14:textId="77777777" w:rsidR="0039739C" w:rsidRDefault="007E62DB">
      <w:pPr>
        <w:spacing w:before="120" w:after="120" w:line="240" w:lineRule="auto"/>
        <w:ind w:left="1440" w:right="713"/>
        <w:jc w:val="both"/>
      </w:pPr>
      <w:r>
        <w:t>2(2) For greater certainty, clause (b) of the definition of “habitat” in subsection (1) does not include an area where species formerly occurred or has the potential to be reintroduced unless existing members of the species depend on that area to carry out their life processes.</w:t>
      </w:r>
    </w:p>
    <w:p w14:paraId="4458D06C" w14:textId="77777777" w:rsidR="0039739C" w:rsidRDefault="007E62DB">
      <w:pPr>
        <w:spacing w:before="120" w:after="120" w:line="360" w:lineRule="auto"/>
        <w:ind w:firstLine="720"/>
        <w:jc w:val="right"/>
      </w:pPr>
      <w:r>
        <w:rPr>
          <w:i/>
          <w:iCs/>
          <w:sz w:val="20"/>
          <w:szCs w:val="20"/>
        </w:rPr>
        <w:t>ESA</w:t>
      </w:r>
      <w:r>
        <w:rPr>
          <w:sz w:val="20"/>
          <w:szCs w:val="20"/>
        </w:rPr>
        <w:t>,</w:t>
      </w:r>
      <w:r>
        <w:rPr>
          <w:i/>
          <w:iCs/>
          <w:sz w:val="20"/>
          <w:szCs w:val="20"/>
        </w:rPr>
        <w:t xml:space="preserve"> supra</w:t>
      </w:r>
      <w:r>
        <w:rPr>
          <w:sz w:val="20"/>
          <w:szCs w:val="20"/>
        </w:rPr>
        <w:t xml:space="preserve"> para 1, ss 2(1) “habitat” and (2) as it appeared on August 2018.</w:t>
      </w:r>
    </w:p>
    <w:p w14:paraId="1E40A477" w14:textId="77777777" w:rsidR="0039739C" w:rsidRDefault="007E62DB">
      <w:pPr>
        <w:numPr>
          <w:ilvl w:val="0"/>
          <w:numId w:val="3"/>
        </w:numPr>
        <w:spacing w:before="120" w:after="120" w:line="360" w:lineRule="auto"/>
        <w:jc w:val="both"/>
      </w:pPr>
      <w:r>
        <w:t>Together, ss. 10 and 2 create a mechanism by which the Crown can identify habitat and charge parties that are guilty of damaging or destroying it.</w:t>
      </w:r>
    </w:p>
    <w:p w14:paraId="30F22BEB" w14:textId="77777777" w:rsidR="0039739C" w:rsidRDefault="007E62DB">
      <w:pPr>
        <w:pStyle w:val="Heading3"/>
        <w:spacing w:after="240"/>
        <w:ind w:left="0"/>
        <w:jc w:val="both"/>
        <w:rPr>
          <w:b/>
          <w:bCs/>
        </w:rPr>
      </w:pPr>
      <w:bookmarkStart w:id="7" w:name="_heading=h.ycsmcmms3gle" w:colFirst="0" w:colLast="0"/>
      <w:bookmarkEnd w:id="7"/>
      <w:r>
        <w:rPr>
          <w:b/>
          <w:bCs/>
        </w:rPr>
        <w:lastRenderedPageBreak/>
        <w:t>(iv) Facts Leading Up to Trial</w:t>
      </w:r>
    </w:p>
    <w:p w14:paraId="558BA32C" w14:textId="77777777" w:rsidR="0039739C" w:rsidRDefault="007E62DB" w:rsidP="00C96177">
      <w:pPr>
        <w:numPr>
          <w:ilvl w:val="0"/>
          <w:numId w:val="3"/>
        </w:numPr>
        <w:spacing w:before="120" w:line="360" w:lineRule="auto"/>
        <w:jc w:val="both"/>
      </w:pPr>
      <w:r>
        <w:t>On March 2, 2017, the Ministry of Natural Resources and Forestry (the “</w:t>
      </w:r>
      <w:r>
        <w:rPr>
          <w:b/>
          <w:bCs/>
        </w:rPr>
        <w:t>Ministry</w:t>
      </w:r>
      <w:r>
        <w:t xml:space="preserve">”) issued a stop order to CHL. The Ministry confirmed that CHL was already aware of their work’s impact on Blanding’s turtles. In this stop order, the Ministry stated that further activities by CHL would first require consultation with the Ministry.  </w:t>
      </w:r>
    </w:p>
    <w:p w14:paraId="68FFAFCA" w14:textId="77777777" w:rsidR="0039739C" w:rsidRDefault="007E62DB">
      <w:pPr>
        <w:spacing w:after="120" w:line="360" w:lineRule="auto"/>
        <w:ind w:left="720"/>
        <w:jc w:val="right"/>
        <w:rPr>
          <w:sz w:val="20"/>
          <w:szCs w:val="20"/>
        </w:rPr>
      </w:pPr>
      <w:r>
        <w:rPr>
          <w:sz w:val="20"/>
          <w:szCs w:val="20"/>
        </w:rPr>
        <w:t xml:space="preserve">Trial Decision, </w:t>
      </w:r>
      <w:r>
        <w:rPr>
          <w:i/>
          <w:iCs/>
          <w:sz w:val="20"/>
          <w:szCs w:val="20"/>
        </w:rPr>
        <w:t>supra</w:t>
      </w:r>
      <w:r>
        <w:rPr>
          <w:sz w:val="20"/>
          <w:szCs w:val="20"/>
        </w:rPr>
        <w:t xml:space="preserve"> para 7 at 12.</w:t>
      </w:r>
    </w:p>
    <w:p w14:paraId="3407CC4C" w14:textId="77777777" w:rsidR="0039739C" w:rsidRDefault="007E62DB" w:rsidP="00C96177">
      <w:pPr>
        <w:numPr>
          <w:ilvl w:val="0"/>
          <w:numId w:val="3"/>
        </w:numPr>
        <w:spacing w:before="120" w:line="360" w:lineRule="auto"/>
        <w:jc w:val="both"/>
      </w:pPr>
      <w:r>
        <w:t xml:space="preserve">On October 6, 2017, Ministry staff gave a presentation to CHL about Blanding’s turtles, their habitat, and different options to comply with protection efforts. </w:t>
      </w:r>
    </w:p>
    <w:p w14:paraId="2A355960" w14:textId="77777777" w:rsidR="0039739C" w:rsidRDefault="007E62DB" w:rsidP="00C96177">
      <w:pPr>
        <w:spacing w:after="120" w:line="360" w:lineRule="auto"/>
        <w:ind w:left="720"/>
        <w:jc w:val="right"/>
      </w:pPr>
      <w:r>
        <w:tab/>
      </w:r>
      <w:r>
        <w:rPr>
          <w:sz w:val="20"/>
          <w:szCs w:val="20"/>
        </w:rPr>
        <w:t xml:space="preserve">Appeal Decision, </w:t>
      </w:r>
      <w:r>
        <w:rPr>
          <w:i/>
          <w:iCs/>
          <w:sz w:val="20"/>
          <w:szCs w:val="20"/>
        </w:rPr>
        <w:t>supra</w:t>
      </w:r>
      <w:r>
        <w:rPr>
          <w:sz w:val="20"/>
          <w:szCs w:val="20"/>
        </w:rPr>
        <w:t xml:space="preserve"> para 8 at 6.</w:t>
      </w:r>
    </w:p>
    <w:p w14:paraId="5BB28294" w14:textId="77777777" w:rsidR="0039739C" w:rsidRDefault="007E62DB" w:rsidP="00C96177">
      <w:pPr>
        <w:numPr>
          <w:ilvl w:val="0"/>
          <w:numId w:val="3"/>
        </w:numPr>
        <w:spacing w:before="120" w:line="360" w:lineRule="auto"/>
        <w:jc w:val="both"/>
      </w:pPr>
      <w:r>
        <w:t xml:space="preserve">On February 1, 2018, Ministry staff hosted a meeting with CHL to discuss their development proposal and the best way to protect Blanding’s turtles. </w:t>
      </w:r>
    </w:p>
    <w:p w14:paraId="6A484546" w14:textId="77777777" w:rsidR="0039739C" w:rsidRDefault="007E62DB" w:rsidP="00C96177">
      <w:pPr>
        <w:spacing w:line="360" w:lineRule="auto"/>
        <w:ind w:left="720"/>
        <w:jc w:val="right"/>
      </w:pPr>
      <w:r>
        <w:rPr>
          <w:sz w:val="20"/>
          <w:szCs w:val="20"/>
        </w:rPr>
        <w:t xml:space="preserve">Appeal Decision, </w:t>
      </w:r>
      <w:r>
        <w:rPr>
          <w:i/>
          <w:iCs/>
          <w:sz w:val="20"/>
          <w:szCs w:val="20"/>
        </w:rPr>
        <w:t>supra</w:t>
      </w:r>
      <w:r>
        <w:rPr>
          <w:sz w:val="20"/>
          <w:szCs w:val="20"/>
        </w:rPr>
        <w:t xml:space="preserve"> para 8 at 16.</w:t>
      </w:r>
    </w:p>
    <w:p w14:paraId="719682A4" w14:textId="77777777" w:rsidR="0039739C" w:rsidRDefault="007E62DB" w:rsidP="00C96177">
      <w:pPr>
        <w:numPr>
          <w:ilvl w:val="0"/>
          <w:numId w:val="3"/>
        </w:numPr>
        <w:spacing w:before="120" w:line="360" w:lineRule="auto"/>
        <w:jc w:val="both"/>
      </w:pPr>
      <w:r>
        <w:t>On June 6, 2018, CHL requested a Development, Interference with Wetlands and Alterations to Shorelines and Watercourses (“</w:t>
      </w:r>
      <w:r>
        <w:rPr>
          <w:b/>
          <w:bCs/>
        </w:rPr>
        <w:t>DIA</w:t>
      </w:r>
      <w:r>
        <w:t>”) permit from the North Bay Mattawa Conservation Authority (the “</w:t>
      </w:r>
      <w:r>
        <w:rPr>
          <w:b/>
          <w:bCs/>
        </w:rPr>
        <w:t>Conservation Authority</w:t>
      </w:r>
      <w:r>
        <w:t xml:space="preserve">”). The Conservation authority is responsible for the administration and enforcement of Ontario regulation 177-06, which oversees development and conservation of wetlands, shorelines, and watercourses. Upon requesting this permit, CHL had already begun work leveling the land without prior approval. </w:t>
      </w:r>
    </w:p>
    <w:p w14:paraId="361EC337" w14:textId="77777777" w:rsidR="0039739C" w:rsidRDefault="007E62DB">
      <w:pPr>
        <w:spacing w:after="120" w:line="360" w:lineRule="auto"/>
        <w:jc w:val="right"/>
      </w:pPr>
      <w:r>
        <w:tab/>
      </w:r>
      <w:r>
        <w:rPr>
          <w:sz w:val="20"/>
          <w:szCs w:val="20"/>
        </w:rPr>
        <w:t xml:space="preserve">Trial Decision, </w:t>
      </w:r>
      <w:r>
        <w:rPr>
          <w:i/>
          <w:iCs/>
          <w:sz w:val="20"/>
          <w:szCs w:val="20"/>
        </w:rPr>
        <w:t>supra</w:t>
      </w:r>
      <w:r>
        <w:rPr>
          <w:sz w:val="20"/>
          <w:szCs w:val="20"/>
        </w:rPr>
        <w:t xml:space="preserve"> para 7 at 8.</w:t>
      </w:r>
    </w:p>
    <w:p w14:paraId="5533F590" w14:textId="77777777" w:rsidR="0039739C" w:rsidRDefault="007E62DB" w:rsidP="00C96177">
      <w:pPr>
        <w:numPr>
          <w:ilvl w:val="0"/>
          <w:numId w:val="3"/>
        </w:numPr>
        <w:spacing w:before="120" w:line="360" w:lineRule="auto"/>
        <w:jc w:val="both"/>
      </w:pPr>
      <w:r>
        <w:t>On June 14, 2018, a regulations officer with the Conservation Authority, Valeria Murphy (“</w:t>
      </w:r>
      <w:r>
        <w:rPr>
          <w:b/>
          <w:bCs/>
        </w:rPr>
        <w:t>Ms. Murphy</w:t>
      </w:r>
      <w:r>
        <w:t xml:space="preserve">”), granted CHL the DIA permit. In their communications for the </w:t>
      </w:r>
      <w:r>
        <w:t>permit, CHL acknowledged that they did not provide notice prior to commencing work, nor did they have a permit to do so. In her testimony, Ms. Murphy stated that CHL had consulted with a surveyor who informed them that the Grubbed Area was likely a Blanding’s turtle habitat.</w:t>
      </w:r>
    </w:p>
    <w:p w14:paraId="45607452" w14:textId="77777777" w:rsidR="0039739C" w:rsidRDefault="007E62DB" w:rsidP="00C96177">
      <w:pPr>
        <w:spacing w:after="120" w:line="360" w:lineRule="auto"/>
        <w:ind w:left="720"/>
        <w:jc w:val="right"/>
      </w:pPr>
      <w:r>
        <w:rPr>
          <w:sz w:val="20"/>
          <w:szCs w:val="20"/>
        </w:rPr>
        <w:t xml:space="preserve">Trial Decision, </w:t>
      </w:r>
      <w:r>
        <w:rPr>
          <w:i/>
          <w:iCs/>
          <w:sz w:val="20"/>
          <w:szCs w:val="20"/>
        </w:rPr>
        <w:t>supra</w:t>
      </w:r>
      <w:r>
        <w:rPr>
          <w:sz w:val="20"/>
          <w:szCs w:val="20"/>
        </w:rPr>
        <w:t xml:space="preserve"> para 7 at 8-9.</w:t>
      </w:r>
    </w:p>
    <w:p w14:paraId="205B53EB" w14:textId="77777777" w:rsidR="0039739C" w:rsidRDefault="007E62DB" w:rsidP="00C96177">
      <w:pPr>
        <w:numPr>
          <w:ilvl w:val="0"/>
          <w:numId w:val="3"/>
        </w:numPr>
        <w:spacing w:before="120" w:line="360" w:lineRule="auto"/>
        <w:jc w:val="both"/>
      </w:pPr>
      <w:r>
        <w:t xml:space="preserve">As noted above, on June 11, 2020, Ms. Badilla, a resident of the Circle Lake area, saw a turtle at Circle Lake and took a photo of it. This photo was admitted as evidence at trial. </w:t>
      </w:r>
    </w:p>
    <w:p w14:paraId="6AAF27F3" w14:textId="77777777" w:rsidR="0039739C" w:rsidRDefault="007E62DB" w:rsidP="00C96177">
      <w:pPr>
        <w:spacing w:after="120" w:line="360" w:lineRule="auto"/>
        <w:jc w:val="right"/>
      </w:pPr>
      <w:r>
        <w:tab/>
      </w:r>
      <w:r>
        <w:rPr>
          <w:sz w:val="20"/>
          <w:szCs w:val="20"/>
        </w:rPr>
        <w:t xml:space="preserve">Trial Decision, </w:t>
      </w:r>
      <w:r>
        <w:rPr>
          <w:i/>
          <w:iCs/>
          <w:sz w:val="20"/>
          <w:szCs w:val="20"/>
        </w:rPr>
        <w:t>supra</w:t>
      </w:r>
      <w:r>
        <w:rPr>
          <w:sz w:val="20"/>
          <w:szCs w:val="20"/>
        </w:rPr>
        <w:t xml:space="preserve"> para 7 at 9.</w:t>
      </w:r>
    </w:p>
    <w:p w14:paraId="5C9C7D5A" w14:textId="77777777" w:rsidR="0039739C" w:rsidRDefault="007E62DB">
      <w:pPr>
        <w:pStyle w:val="Heading3"/>
        <w:keepLines/>
        <w:spacing w:before="120" w:after="240"/>
        <w:ind w:left="0"/>
        <w:jc w:val="both"/>
        <w:rPr>
          <w:b/>
          <w:bCs/>
        </w:rPr>
      </w:pPr>
      <w:bookmarkStart w:id="8" w:name="_heading=h.8rw83smefydk" w:colFirst="0" w:colLast="0"/>
      <w:bookmarkEnd w:id="8"/>
      <w:r>
        <w:rPr>
          <w:b/>
          <w:bCs/>
        </w:rPr>
        <w:lastRenderedPageBreak/>
        <w:t xml:space="preserve">(v) The Offence </w:t>
      </w:r>
    </w:p>
    <w:p w14:paraId="7A81CAFF" w14:textId="77777777" w:rsidR="0039739C" w:rsidRDefault="007E62DB">
      <w:pPr>
        <w:keepNext/>
        <w:keepLines/>
        <w:numPr>
          <w:ilvl w:val="0"/>
          <w:numId w:val="3"/>
        </w:numPr>
        <w:spacing w:line="360" w:lineRule="auto"/>
        <w:jc w:val="both"/>
      </w:pPr>
      <w:r>
        <w:t xml:space="preserve">CHL was charged with damaging Blanding’s turtle habitat under s. 10(1)(a) of the </w:t>
      </w:r>
      <w:r>
        <w:rPr>
          <w:i/>
          <w:iCs/>
        </w:rPr>
        <w:t>ESA</w:t>
      </w:r>
      <w:r>
        <w:t xml:space="preserve">. The charge rested on grubbing that took place from June 1 to August 5, 2018 in the Grubbed Area. </w:t>
      </w:r>
    </w:p>
    <w:p w14:paraId="605588A7" w14:textId="77777777" w:rsidR="0039739C" w:rsidRDefault="007E62DB">
      <w:pPr>
        <w:spacing w:line="360" w:lineRule="auto"/>
        <w:jc w:val="right"/>
        <w:rPr>
          <w:sz w:val="20"/>
          <w:szCs w:val="20"/>
        </w:rPr>
      </w:pPr>
      <w:r>
        <w:rPr>
          <w:i/>
          <w:iCs/>
          <w:sz w:val="20"/>
          <w:szCs w:val="20"/>
        </w:rPr>
        <w:t>Reg 230-08</w:t>
      </w:r>
      <w:r>
        <w:rPr>
          <w:sz w:val="20"/>
          <w:szCs w:val="20"/>
        </w:rPr>
        <w:t xml:space="preserve">, </w:t>
      </w:r>
      <w:r>
        <w:rPr>
          <w:i/>
          <w:iCs/>
          <w:sz w:val="20"/>
          <w:szCs w:val="20"/>
        </w:rPr>
        <w:t>supra</w:t>
      </w:r>
      <w:r>
        <w:rPr>
          <w:sz w:val="20"/>
          <w:szCs w:val="20"/>
        </w:rPr>
        <w:t xml:space="preserve"> para 6 at Schedule C.</w:t>
      </w:r>
    </w:p>
    <w:p w14:paraId="4C685DC9" w14:textId="77777777" w:rsidR="0039739C" w:rsidRDefault="007E62DB">
      <w:pPr>
        <w:spacing w:after="240" w:line="240" w:lineRule="auto"/>
        <w:ind w:firstLine="720"/>
        <w:jc w:val="right"/>
        <w:rPr>
          <w:sz w:val="20"/>
          <w:szCs w:val="20"/>
        </w:rPr>
      </w:pPr>
      <w:r>
        <w:rPr>
          <w:sz w:val="20"/>
          <w:szCs w:val="20"/>
        </w:rPr>
        <w:t xml:space="preserve">Trial Decision, </w:t>
      </w:r>
      <w:r>
        <w:rPr>
          <w:i/>
          <w:iCs/>
          <w:sz w:val="20"/>
          <w:szCs w:val="20"/>
        </w:rPr>
        <w:t>supra</w:t>
      </w:r>
      <w:r>
        <w:rPr>
          <w:sz w:val="20"/>
          <w:szCs w:val="20"/>
        </w:rPr>
        <w:t xml:space="preserve"> para 7 at 2.</w:t>
      </w:r>
    </w:p>
    <w:p w14:paraId="5AE2D02B" w14:textId="77777777" w:rsidR="0039739C" w:rsidRDefault="007E62DB" w:rsidP="00C96177">
      <w:pPr>
        <w:numPr>
          <w:ilvl w:val="0"/>
          <w:numId w:val="3"/>
        </w:numPr>
        <w:spacing w:before="120" w:line="360" w:lineRule="auto"/>
        <w:jc w:val="both"/>
      </w:pPr>
      <w:r>
        <w:t xml:space="preserve">CHL admitted to grubbing in the Grubbed Area. Accordingly, the issue for the Trial Judge was whether the Grubbed Area was Blanding’s turtle habitat under s. 2(1) of the </w:t>
      </w:r>
      <w:r>
        <w:rPr>
          <w:i/>
          <w:iCs/>
        </w:rPr>
        <w:t>ESA</w:t>
      </w:r>
      <w:r>
        <w:t>.</w:t>
      </w:r>
    </w:p>
    <w:p w14:paraId="4A58EDE4" w14:textId="77777777" w:rsidR="0039739C" w:rsidRDefault="007E62DB" w:rsidP="00C96177">
      <w:pPr>
        <w:spacing w:after="120" w:line="360" w:lineRule="auto"/>
        <w:jc w:val="right"/>
        <w:rPr>
          <w:sz w:val="16"/>
          <w:szCs w:val="16"/>
        </w:rPr>
      </w:pPr>
      <w:r>
        <w:tab/>
      </w:r>
      <w:r>
        <w:rPr>
          <w:sz w:val="20"/>
          <w:szCs w:val="20"/>
        </w:rPr>
        <w:t xml:space="preserve">Trial Decision, </w:t>
      </w:r>
      <w:r>
        <w:rPr>
          <w:i/>
          <w:iCs/>
          <w:sz w:val="20"/>
          <w:szCs w:val="20"/>
        </w:rPr>
        <w:t>supra</w:t>
      </w:r>
      <w:r>
        <w:rPr>
          <w:sz w:val="20"/>
          <w:szCs w:val="20"/>
        </w:rPr>
        <w:t xml:space="preserve"> para 7 at 3.</w:t>
      </w:r>
    </w:p>
    <w:p w14:paraId="50AB2FB9" w14:textId="77777777" w:rsidR="0039739C" w:rsidRDefault="007E62DB">
      <w:pPr>
        <w:pStyle w:val="Heading3"/>
        <w:spacing w:before="120" w:after="240"/>
        <w:ind w:left="0"/>
        <w:jc w:val="both"/>
        <w:rPr>
          <w:b/>
          <w:bCs/>
        </w:rPr>
      </w:pPr>
      <w:bookmarkStart w:id="9" w:name="_heading=h.u2r2i18kk3sl" w:colFirst="0" w:colLast="0"/>
      <w:bookmarkEnd w:id="9"/>
      <w:r>
        <w:rPr>
          <w:b/>
          <w:bCs/>
        </w:rPr>
        <w:t xml:space="preserve">(vi) Evidence at Trial </w:t>
      </w:r>
    </w:p>
    <w:p w14:paraId="5252BBA0" w14:textId="77777777" w:rsidR="0039739C" w:rsidRDefault="007E62DB">
      <w:pPr>
        <w:numPr>
          <w:ilvl w:val="0"/>
          <w:numId w:val="3"/>
        </w:numPr>
        <w:spacing w:before="120" w:after="120" w:line="360" w:lineRule="auto"/>
        <w:jc w:val="both"/>
      </w:pPr>
      <w:r>
        <w:t xml:space="preserve">The trial was conducted from October 12, 2022 to December 9, 2022. </w:t>
      </w:r>
    </w:p>
    <w:p w14:paraId="4AF4C6C9" w14:textId="77777777" w:rsidR="0039739C" w:rsidRDefault="007E62DB" w:rsidP="00C96177">
      <w:pPr>
        <w:numPr>
          <w:ilvl w:val="0"/>
          <w:numId w:val="3"/>
        </w:numPr>
        <w:spacing w:before="120" w:line="360" w:lineRule="auto"/>
        <w:jc w:val="both"/>
      </w:pPr>
      <w:r>
        <w:t>The Crown called five witnesses: Shamus Snell (“</w:t>
      </w:r>
      <w:r>
        <w:rPr>
          <w:b/>
          <w:bCs/>
        </w:rPr>
        <w:t>Mr. Snell</w:t>
      </w:r>
      <w:r>
        <w:t xml:space="preserve">”), Officers Tim Caddell and Nathan Kirby, Bonnie Kennedy, Ms. Badilla, and Ms. Murphy. CHL did not tender any evidence. </w:t>
      </w:r>
    </w:p>
    <w:p w14:paraId="2B7AE8CF" w14:textId="77777777" w:rsidR="0039739C" w:rsidRDefault="007E62DB" w:rsidP="00C96177">
      <w:pPr>
        <w:spacing w:after="120" w:line="360" w:lineRule="auto"/>
        <w:ind w:firstLine="720"/>
        <w:jc w:val="right"/>
      </w:pPr>
      <w:r>
        <w:rPr>
          <w:sz w:val="20"/>
          <w:szCs w:val="20"/>
        </w:rPr>
        <w:t xml:space="preserve">Trial Decision, </w:t>
      </w:r>
      <w:r>
        <w:rPr>
          <w:i/>
          <w:iCs/>
          <w:sz w:val="20"/>
          <w:szCs w:val="20"/>
        </w:rPr>
        <w:t>supra</w:t>
      </w:r>
      <w:r>
        <w:rPr>
          <w:sz w:val="20"/>
          <w:szCs w:val="20"/>
        </w:rPr>
        <w:t xml:space="preserve"> para 7 at 3-4. </w:t>
      </w:r>
    </w:p>
    <w:p w14:paraId="2542143C" w14:textId="77777777" w:rsidR="0039739C" w:rsidRDefault="007E62DB" w:rsidP="00C96177">
      <w:pPr>
        <w:numPr>
          <w:ilvl w:val="0"/>
          <w:numId w:val="3"/>
        </w:numPr>
        <w:spacing w:before="120" w:line="360" w:lineRule="auto"/>
        <w:jc w:val="both"/>
      </w:pPr>
      <w:r>
        <w:t>The Crown called Mr. Snell as their main expert witness. Mr. Snell is a Management Biologist and a Blanding’s turtle expert. The Trial Judge accepted his evidence (the “</w:t>
      </w:r>
      <w:r>
        <w:rPr>
          <w:b/>
          <w:bCs/>
        </w:rPr>
        <w:t>Snell Evidence</w:t>
      </w:r>
      <w:r>
        <w:t>”) and placed heavy reliance on that evidence in her factual assessment of Blanding’s turtles’ behaviour and habitat. The Trial Judge found that the defendant’s cross-examination of Mr. Snell did not raise reasonable doubt, and used Mr. Snell’s testimony to support her decision.</w:t>
      </w:r>
    </w:p>
    <w:p w14:paraId="730EFCC3" w14:textId="77777777" w:rsidR="0039739C" w:rsidRDefault="007E62DB" w:rsidP="00C96177">
      <w:pPr>
        <w:spacing w:after="120" w:line="360" w:lineRule="auto"/>
        <w:ind w:firstLine="720"/>
        <w:jc w:val="right"/>
      </w:pPr>
      <w:r>
        <w:rPr>
          <w:sz w:val="20"/>
          <w:szCs w:val="20"/>
        </w:rPr>
        <w:t xml:space="preserve">Trial Decision, </w:t>
      </w:r>
      <w:r>
        <w:rPr>
          <w:i/>
          <w:iCs/>
          <w:sz w:val="20"/>
          <w:szCs w:val="20"/>
        </w:rPr>
        <w:t>supra</w:t>
      </w:r>
      <w:r>
        <w:rPr>
          <w:sz w:val="20"/>
          <w:szCs w:val="20"/>
        </w:rPr>
        <w:t xml:space="preserve"> para 7 at 10. </w:t>
      </w:r>
    </w:p>
    <w:p w14:paraId="2103C32C" w14:textId="77777777" w:rsidR="0039739C" w:rsidRDefault="007E62DB">
      <w:pPr>
        <w:numPr>
          <w:ilvl w:val="0"/>
          <w:numId w:val="3"/>
        </w:numPr>
        <w:spacing w:before="120" w:after="120" w:line="360" w:lineRule="auto"/>
        <w:jc w:val="both"/>
      </w:pPr>
      <w:r>
        <w:t>The Snell Evidence showed that the construction area encompassed Blanding’s turtle habitat, and provided evidence of damage to their habitat. The Snell Evidence was composed of the following pieces of evidence demonstrating damage to Blanding’s turtle habitat:</w:t>
      </w:r>
    </w:p>
    <w:p w14:paraId="28632BE7" w14:textId="77777777" w:rsidR="0039739C" w:rsidRDefault="007E62DB">
      <w:pPr>
        <w:numPr>
          <w:ilvl w:val="1"/>
          <w:numId w:val="3"/>
        </w:numPr>
        <w:spacing w:before="120" w:after="120" w:line="360" w:lineRule="auto"/>
        <w:ind w:left="1890" w:hanging="645"/>
        <w:jc w:val="both"/>
      </w:pPr>
      <w:r>
        <w:t>Vegetation in the area was removed by CHL. This resulted in a loss of sustenance for Blanding’s turtles;</w:t>
      </w:r>
    </w:p>
    <w:p w14:paraId="7F980A3E" w14:textId="77777777" w:rsidR="0039739C" w:rsidRDefault="007E62DB">
      <w:pPr>
        <w:numPr>
          <w:ilvl w:val="1"/>
          <w:numId w:val="3"/>
        </w:numPr>
        <w:spacing w:before="120" w:after="120" w:line="360" w:lineRule="auto"/>
        <w:ind w:left="1890" w:hanging="645"/>
        <w:jc w:val="both"/>
      </w:pPr>
      <w:r>
        <w:t>The loss of vegetation diminished the amount of shaded areas which the turtles use for thermal regulation;</w:t>
      </w:r>
    </w:p>
    <w:p w14:paraId="06CDD7C0" w14:textId="77777777" w:rsidR="0039739C" w:rsidRDefault="007E62DB">
      <w:pPr>
        <w:numPr>
          <w:ilvl w:val="1"/>
          <w:numId w:val="3"/>
        </w:numPr>
        <w:spacing w:before="120" w:after="120" w:line="360" w:lineRule="auto"/>
        <w:ind w:left="1890" w:hanging="645"/>
        <w:jc w:val="both"/>
      </w:pPr>
      <w:r>
        <w:t>The removal of vegetation exposed soils which increased erosion and sedimentation in the water;</w:t>
      </w:r>
    </w:p>
    <w:p w14:paraId="21DA9188" w14:textId="77777777" w:rsidR="0039739C" w:rsidRDefault="007E62DB">
      <w:pPr>
        <w:numPr>
          <w:ilvl w:val="1"/>
          <w:numId w:val="3"/>
        </w:numPr>
        <w:spacing w:before="120" w:after="120" w:line="360" w:lineRule="auto"/>
        <w:ind w:left="1890" w:hanging="645"/>
        <w:jc w:val="both"/>
      </w:pPr>
      <w:r>
        <w:lastRenderedPageBreak/>
        <w:t>The damage caused by CHL led to a loss of important flora that act as a filter for nutrients;</w:t>
      </w:r>
    </w:p>
    <w:p w14:paraId="590DCB66" w14:textId="77777777" w:rsidR="0039739C" w:rsidRDefault="007E62DB">
      <w:pPr>
        <w:numPr>
          <w:ilvl w:val="1"/>
          <w:numId w:val="3"/>
        </w:numPr>
        <w:spacing w:before="120" w:after="120" w:line="360" w:lineRule="auto"/>
        <w:ind w:left="1890" w:hanging="645"/>
        <w:jc w:val="both"/>
      </w:pPr>
      <w:r>
        <w:t>Blanding’s turtles are less inclined to use the area to nest if there is no vegetation, as it exposes their young to predators;</w:t>
      </w:r>
    </w:p>
    <w:p w14:paraId="0140DC5A" w14:textId="77777777" w:rsidR="0039739C" w:rsidRDefault="007E62DB">
      <w:pPr>
        <w:numPr>
          <w:ilvl w:val="1"/>
          <w:numId w:val="3"/>
        </w:numPr>
        <w:spacing w:before="120" w:line="360" w:lineRule="auto"/>
        <w:ind w:left="1890" w:hanging="645"/>
        <w:jc w:val="both"/>
      </w:pPr>
      <w:r>
        <w:t>Finally, the grubbing work done by the CHL occurred during the active nesting season of Blanding’s turtles.</w:t>
      </w:r>
    </w:p>
    <w:p w14:paraId="3052296F" w14:textId="77777777" w:rsidR="0039739C" w:rsidRDefault="007E62DB">
      <w:pPr>
        <w:spacing w:after="120" w:line="360" w:lineRule="auto"/>
        <w:ind w:left="720"/>
        <w:jc w:val="right"/>
        <w:rPr>
          <w:sz w:val="20"/>
          <w:szCs w:val="20"/>
        </w:rPr>
      </w:pPr>
      <w:r>
        <w:rPr>
          <w:sz w:val="20"/>
          <w:szCs w:val="20"/>
        </w:rPr>
        <w:t xml:space="preserve">Trial Decision, </w:t>
      </w:r>
      <w:r>
        <w:rPr>
          <w:i/>
          <w:iCs/>
          <w:sz w:val="20"/>
          <w:szCs w:val="20"/>
        </w:rPr>
        <w:t>supra</w:t>
      </w:r>
      <w:r>
        <w:rPr>
          <w:sz w:val="20"/>
          <w:szCs w:val="20"/>
        </w:rPr>
        <w:t xml:space="preserve"> para 7 at 7.</w:t>
      </w:r>
    </w:p>
    <w:p w14:paraId="5B0C5EC4" w14:textId="77777777" w:rsidR="0039739C" w:rsidRDefault="007E62DB" w:rsidP="00C96177">
      <w:pPr>
        <w:numPr>
          <w:ilvl w:val="0"/>
          <w:numId w:val="3"/>
        </w:numPr>
        <w:spacing w:before="120" w:line="360" w:lineRule="auto"/>
        <w:jc w:val="both"/>
      </w:pPr>
      <w:r>
        <w:t xml:space="preserve">In his expert opinion evidence, Mr. Snell relied on the GHD (as noted above, a document created with the “best scientific information available”). The GHD was tendered into evidence. CHL did not object to the admissibility of the GHD and the GHD was accepted by the trial judge. </w:t>
      </w:r>
    </w:p>
    <w:p w14:paraId="049C6993" w14:textId="77777777" w:rsidR="0039739C" w:rsidRDefault="007E62DB" w:rsidP="00C96177">
      <w:pPr>
        <w:spacing w:after="240" w:line="240" w:lineRule="auto"/>
        <w:ind w:left="720"/>
        <w:jc w:val="right"/>
        <w:rPr>
          <w:i/>
          <w:iCs/>
          <w:sz w:val="20"/>
          <w:szCs w:val="20"/>
        </w:rPr>
      </w:pPr>
      <w:r w:rsidRPr="00C96177">
        <w:rPr>
          <w:i/>
          <w:iCs/>
          <w:sz w:val="20"/>
          <w:szCs w:val="20"/>
        </w:rPr>
        <w:t>GHD</w:t>
      </w:r>
      <w:r>
        <w:rPr>
          <w:i/>
          <w:iCs/>
          <w:sz w:val="20"/>
          <w:szCs w:val="20"/>
        </w:rPr>
        <w:t>, supra</w:t>
      </w:r>
      <w:r>
        <w:rPr>
          <w:sz w:val="20"/>
          <w:szCs w:val="20"/>
        </w:rPr>
        <w:t xml:space="preserve"> para 7 at 1.</w:t>
      </w:r>
    </w:p>
    <w:p w14:paraId="7F8AD888" w14:textId="77777777" w:rsidR="0039739C" w:rsidRDefault="007E62DB" w:rsidP="00C96177">
      <w:pPr>
        <w:numPr>
          <w:ilvl w:val="0"/>
          <w:numId w:val="3"/>
        </w:numPr>
        <w:spacing w:before="120" w:line="360" w:lineRule="auto"/>
        <w:jc w:val="both"/>
      </w:pPr>
      <w:r>
        <w:t>The GHD details three categories of Blanding’s turtle habitat. Two categories are relevant here: (i</w:t>
      </w:r>
      <w:r>
        <w:t>) the first habitat category, where Blanding’s turtles “nest and the area within 30m or overwintering sites and the area within 30 min”, and (ii) the second category, which covers “the wetland complex” (i.e. all suitable wetlands or waterbodies within 500m of each other). The wetland complex “extends up to 2km from an occurrence, and the area within 30m around those suitable wetlands of waterbodies”. The Trial Judge relied on the testimonies of the Crown’s witnesses who described the Grubbed Area as a categ</w:t>
      </w:r>
      <w:r>
        <w:t xml:space="preserve">ory 2 habitat. </w:t>
      </w:r>
    </w:p>
    <w:p w14:paraId="0CA1D916" w14:textId="77777777" w:rsidR="0039739C" w:rsidRDefault="007E62DB" w:rsidP="00C96177">
      <w:pPr>
        <w:spacing w:line="240" w:lineRule="auto"/>
        <w:ind w:left="720"/>
        <w:jc w:val="right"/>
        <w:rPr>
          <w:sz w:val="20"/>
          <w:szCs w:val="20"/>
        </w:rPr>
      </w:pPr>
      <w:r w:rsidRPr="00C96177">
        <w:rPr>
          <w:i/>
          <w:iCs/>
          <w:sz w:val="20"/>
          <w:szCs w:val="20"/>
        </w:rPr>
        <w:t>GHD</w:t>
      </w:r>
      <w:r>
        <w:rPr>
          <w:i/>
          <w:iCs/>
          <w:sz w:val="20"/>
          <w:szCs w:val="20"/>
        </w:rPr>
        <w:t>, supra</w:t>
      </w:r>
      <w:r>
        <w:rPr>
          <w:sz w:val="20"/>
          <w:szCs w:val="20"/>
        </w:rPr>
        <w:t xml:space="preserve"> para 7</w:t>
      </w:r>
      <w:r>
        <w:rPr>
          <w:i/>
          <w:iCs/>
          <w:sz w:val="20"/>
          <w:szCs w:val="20"/>
        </w:rPr>
        <w:t xml:space="preserve"> </w:t>
      </w:r>
      <w:r>
        <w:rPr>
          <w:sz w:val="20"/>
          <w:szCs w:val="20"/>
        </w:rPr>
        <w:t>at 1-3.</w:t>
      </w:r>
    </w:p>
    <w:p w14:paraId="3811E840" w14:textId="77777777" w:rsidR="0039739C" w:rsidRDefault="007E62DB">
      <w:pPr>
        <w:spacing w:before="120" w:after="240" w:line="240" w:lineRule="auto"/>
        <w:ind w:left="720"/>
        <w:jc w:val="right"/>
        <w:rPr>
          <w:i/>
          <w:iCs/>
          <w:color w:val="FF0000"/>
          <w:sz w:val="20"/>
          <w:szCs w:val="20"/>
        </w:rPr>
      </w:pPr>
      <w:r>
        <w:rPr>
          <w:sz w:val="20"/>
          <w:szCs w:val="20"/>
        </w:rPr>
        <w:t xml:space="preserve">Trial Decision, </w:t>
      </w:r>
      <w:r>
        <w:rPr>
          <w:i/>
          <w:iCs/>
          <w:sz w:val="20"/>
          <w:szCs w:val="20"/>
        </w:rPr>
        <w:t>supra</w:t>
      </w:r>
      <w:r>
        <w:rPr>
          <w:sz w:val="20"/>
          <w:szCs w:val="20"/>
        </w:rPr>
        <w:t xml:space="preserve"> para 7</w:t>
      </w:r>
      <w:r>
        <w:rPr>
          <w:i/>
          <w:iCs/>
          <w:sz w:val="20"/>
          <w:szCs w:val="20"/>
        </w:rPr>
        <w:t xml:space="preserve"> </w:t>
      </w:r>
      <w:r>
        <w:rPr>
          <w:sz w:val="20"/>
          <w:szCs w:val="20"/>
        </w:rPr>
        <w:t xml:space="preserve">at 6. </w:t>
      </w:r>
      <w:r>
        <w:rPr>
          <w:i/>
          <w:iCs/>
          <w:color w:val="FF0000"/>
          <w:sz w:val="20"/>
          <w:szCs w:val="20"/>
        </w:rPr>
        <w:t xml:space="preserve"> </w:t>
      </w:r>
    </w:p>
    <w:p w14:paraId="2207AF20" w14:textId="77777777" w:rsidR="0039739C" w:rsidRDefault="007E62DB">
      <w:pPr>
        <w:numPr>
          <w:ilvl w:val="0"/>
          <w:numId w:val="3"/>
        </w:numPr>
        <w:spacing w:before="120" w:line="360" w:lineRule="auto"/>
        <w:jc w:val="both"/>
      </w:pPr>
      <w:r>
        <w:t xml:space="preserve">Mr. Snell also relied on evidence from the two other sightings near the Grubbed Area from 2007 and 2017. </w:t>
      </w:r>
    </w:p>
    <w:p w14:paraId="021ED77A" w14:textId="27AB53D1" w:rsidR="0039739C" w:rsidRDefault="007E62DB" w:rsidP="00C96177">
      <w:pPr>
        <w:spacing w:after="240"/>
        <w:jc w:val="right"/>
        <w:rPr>
          <w:sz w:val="20"/>
          <w:szCs w:val="20"/>
        </w:rPr>
      </w:pPr>
      <w:r>
        <w:rPr>
          <w:sz w:val="20"/>
          <w:szCs w:val="20"/>
        </w:rPr>
        <w:t>Examination-in-Chief of Shamus Snell and at 53, l. 19, to 54, l. 11, Crown’s Motion Record at Tab 7</w:t>
      </w:r>
      <w:r w:rsidR="00C96177">
        <w:rPr>
          <w:sz w:val="20"/>
          <w:szCs w:val="20"/>
        </w:rPr>
        <w:t>.</w:t>
      </w:r>
      <w:r>
        <w:rPr>
          <w:sz w:val="20"/>
          <w:szCs w:val="20"/>
        </w:rPr>
        <w:t>..</w:t>
      </w:r>
    </w:p>
    <w:p w14:paraId="743D2614" w14:textId="77777777" w:rsidR="0039739C" w:rsidRDefault="007E62DB" w:rsidP="00C96177">
      <w:pPr>
        <w:keepNext/>
        <w:keepLines/>
        <w:numPr>
          <w:ilvl w:val="0"/>
          <w:numId w:val="3"/>
        </w:numPr>
        <w:spacing w:before="120" w:line="360" w:lineRule="auto"/>
        <w:jc w:val="both"/>
      </w:pPr>
      <w:r>
        <w:t xml:space="preserve">Officers Tim Caddell and Nathan Kirby are both Conservation Authority officers for the Ministry. Both witnesses provided testimony of the Grubbed Area being category 2 Blanding’s turtle habitat. They also provided testimony of CHL’s activity in the area: boulders being moved, presence of excavators, and removal of vegetation. The Trial Judge accepted their evidence. </w:t>
      </w:r>
    </w:p>
    <w:p w14:paraId="68EAC766" w14:textId="77777777" w:rsidR="0039739C" w:rsidRDefault="007E62DB" w:rsidP="00C96177">
      <w:pPr>
        <w:keepLines/>
        <w:spacing w:after="120" w:line="360" w:lineRule="auto"/>
        <w:ind w:left="720"/>
        <w:jc w:val="right"/>
        <w:rPr>
          <w:i/>
          <w:iCs/>
          <w:sz w:val="20"/>
          <w:szCs w:val="20"/>
        </w:rPr>
      </w:pPr>
      <w:r>
        <w:rPr>
          <w:sz w:val="20"/>
          <w:szCs w:val="20"/>
        </w:rPr>
        <w:t xml:space="preserve">Trial Decision, </w:t>
      </w:r>
      <w:r>
        <w:rPr>
          <w:i/>
          <w:iCs/>
          <w:sz w:val="20"/>
          <w:szCs w:val="20"/>
        </w:rPr>
        <w:t>supra</w:t>
      </w:r>
      <w:r>
        <w:rPr>
          <w:sz w:val="20"/>
          <w:szCs w:val="20"/>
        </w:rPr>
        <w:t xml:space="preserve"> para 7</w:t>
      </w:r>
      <w:r>
        <w:rPr>
          <w:i/>
          <w:iCs/>
          <w:sz w:val="20"/>
          <w:szCs w:val="20"/>
        </w:rPr>
        <w:t xml:space="preserve"> </w:t>
      </w:r>
      <w:r>
        <w:rPr>
          <w:sz w:val="20"/>
          <w:szCs w:val="20"/>
        </w:rPr>
        <w:t>at 6.</w:t>
      </w:r>
    </w:p>
    <w:p w14:paraId="11F087AC" w14:textId="77777777" w:rsidR="0039739C" w:rsidRDefault="007E62DB" w:rsidP="00C96177">
      <w:pPr>
        <w:numPr>
          <w:ilvl w:val="0"/>
          <w:numId w:val="3"/>
        </w:numPr>
        <w:pBdr>
          <w:top w:val="nil"/>
          <w:left w:val="nil"/>
          <w:bottom w:val="nil"/>
          <w:right w:val="nil"/>
          <w:between w:val="nil"/>
        </w:pBdr>
        <w:spacing w:before="120" w:line="360" w:lineRule="auto"/>
        <w:jc w:val="both"/>
      </w:pPr>
      <w:r>
        <w:t>Bonnie Kennedy is the Regional Geographic Information System (“</w:t>
      </w:r>
      <w:r>
        <w:rPr>
          <w:b/>
          <w:bCs/>
        </w:rPr>
        <w:t>GIS</w:t>
      </w:r>
      <w:r>
        <w:t xml:space="preserve">”) Officer for the Ministry. She created a map of the Grubbed Area with a drone. Her testimony provided evidence </w:t>
      </w:r>
      <w:r>
        <w:lastRenderedPageBreak/>
        <w:t xml:space="preserve">of the wetland boundary and 30 meters beyond. The Trial Judge accepted her evidence and considered her map as identification of Blanding’s turtle category 2 habitat. </w:t>
      </w:r>
    </w:p>
    <w:p w14:paraId="53918F60" w14:textId="77777777" w:rsidR="0039739C" w:rsidRDefault="007E62DB" w:rsidP="00C96177">
      <w:pPr>
        <w:spacing w:after="120" w:line="360" w:lineRule="auto"/>
        <w:ind w:left="720"/>
        <w:jc w:val="right"/>
      </w:pPr>
      <w:r>
        <w:rPr>
          <w:sz w:val="20"/>
          <w:szCs w:val="20"/>
        </w:rPr>
        <w:t xml:space="preserve">Trial Decision, </w:t>
      </w:r>
      <w:r>
        <w:rPr>
          <w:i/>
          <w:iCs/>
          <w:sz w:val="20"/>
          <w:szCs w:val="20"/>
        </w:rPr>
        <w:t>supra</w:t>
      </w:r>
      <w:r>
        <w:rPr>
          <w:sz w:val="20"/>
          <w:szCs w:val="20"/>
        </w:rPr>
        <w:t xml:space="preserve"> para 7 at 6</w:t>
      </w:r>
      <w:r>
        <w:rPr>
          <w:i/>
          <w:iCs/>
          <w:sz w:val="20"/>
          <w:szCs w:val="20"/>
        </w:rPr>
        <w:t xml:space="preserve">. </w:t>
      </w:r>
    </w:p>
    <w:p w14:paraId="12363111" w14:textId="77777777" w:rsidR="0039739C" w:rsidRDefault="007E62DB" w:rsidP="00C96177">
      <w:pPr>
        <w:numPr>
          <w:ilvl w:val="0"/>
          <w:numId w:val="3"/>
        </w:numPr>
        <w:pBdr>
          <w:top w:val="nil"/>
          <w:left w:val="nil"/>
          <w:bottom w:val="nil"/>
          <w:right w:val="nil"/>
          <w:between w:val="nil"/>
        </w:pBdr>
        <w:spacing w:before="120" w:line="360" w:lineRule="auto"/>
        <w:jc w:val="both"/>
      </w:pPr>
      <w:r>
        <w:t xml:space="preserve">Finally, the Crown submitted evidence from (i) Ms. Murphy’s communications with CHL for their permit, and (ii) Ms. Badilla concerning her sighting and the 2020 photo. </w:t>
      </w:r>
    </w:p>
    <w:p w14:paraId="44050ED3" w14:textId="77777777" w:rsidR="0039739C" w:rsidRDefault="007E62DB" w:rsidP="00C96177">
      <w:pPr>
        <w:spacing w:line="360" w:lineRule="auto"/>
        <w:ind w:firstLine="720"/>
        <w:jc w:val="right"/>
      </w:pPr>
      <w:r>
        <w:rPr>
          <w:sz w:val="20"/>
          <w:szCs w:val="20"/>
        </w:rPr>
        <w:t xml:space="preserve">Trial Decision, </w:t>
      </w:r>
      <w:r>
        <w:rPr>
          <w:i/>
          <w:iCs/>
          <w:sz w:val="20"/>
          <w:szCs w:val="20"/>
        </w:rPr>
        <w:t>supra</w:t>
      </w:r>
      <w:r>
        <w:rPr>
          <w:sz w:val="20"/>
          <w:szCs w:val="20"/>
        </w:rPr>
        <w:t xml:space="preserve"> para 7 at 8-9.</w:t>
      </w:r>
    </w:p>
    <w:p w14:paraId="11169098" w14:textId="77777777" w:rsidR="0039739C" w:rsidRDefault="007E62DB">
      <w:pPr>
        <w:pStyle w:val="Heading3"/>
        <w:spacing w:before="120" w:after="240"/>
        <w:ind w:left="0"/>
        <w:jc w:val="both"/>
        <w:rPr>
          <w:b/>
          <w:bCs/>
        </w:rPr>
      </w:pPr>
      <w:bookmarkStart w:id="10" w:name="_heading=h.xwf1xeh384z8" w:colFirst="0" w:colLast="0"/>
      <w:bookmarkEnd w:id="10"/>
      <w:r>
        <w:rPr>
          <w:b/>
          <w:bCs/>
        </w:rPr>
        <w:t>(vii) The Trial Decision</w:t>
      </w:r>
    </w:p>
    <w:p w14:paraId="29B5C5D3" w14:textId="77777777" w:rsidR="0039739C" w:rsidRDefault="007E62DB" w:rsidP="00C96177">
      <w:pPr>
        <w:numPr>
          <w:ilvl w:val="0"/>
          <w:numId w:val="3"/>
        </w:numPr>
        <w:spacing w:line="360" w:lineRule="auto"/>
        <w:jc w:val="both"/>
      </w:pPr>
      <w:r>
        <w:t xml:space="preserve">The Trial Judge found that the Grubbed Area was </w:t>
      </w:r>
      <w:r>
        <w:t>Blanding’s turtle habitat. In reaching this conclusion, the judge relied on the GHD, testimony alleging sightings of Blanding’s turtle in the Grubbed Area, and the Snell Evidence. In the result, CHL was convicted.</w:t>
      </w:r>
    </w:p>
    <w:p w14:paraId="3D7308BE" w14:textId="77777777" w:rsidR="0039739C" w:rsidRDefault="007E62DB" w:rsidP="00C96177">
      <w:pPr>
        <w:spacing w:after="120" w:line="360" w:lineRule="auto"/>
        <w:jc w:val="right"/>
      </w:pPr>
      <w:r>
        <w:tab/>
      </w:r>
      <w:r>
        <w:rPr>
          <w:sz w:val="20"/>
          <w:szCs w:val="20"/>
        </w:rPr>
        <w:t xml:space="preserve">Trial Decision, </w:t>
      </w:r>
      <w:r>
        <w:rPr>
          <w:i/>
          <w:iCs/>
          <w:sz w:val="20"/>
          <w:szCs w:val="20"/>
        </w:rPr>
        <w:t>supra</w:t>
      </w:r>
      <w:r>
        <w:rPr>
          <w:sz w:val="20"/>
          <w:szCs w:val="20"/>
        </w:rPr>
        <w:t xml:space="preserve"> para 7 at 3-9.</w:t>
      </w:r>
    </w:p>
    <w:p w14:paraId="012339BE" w14:textId="77777777" w:rsidR="0039739C" w:rsidRDefault="007E62DB" w:rsidP="00C96177">
      <w:pPr>
        <w:numPr>
          <w:ilvl w:val="0"/>
          <w:numId w:val="3"/>
        </w:numPr>
        <w:spacing w:before="120" w:line="360" w:lineRule="auto"/>
        <w:jc w:val="both"/>
      </w:pPr>
      <w:r>
        <w:t xml:space="preserve">The Trial Judge issued a $1 fine and an order, pursuant to s. 41(1) of the </w:t>
      </w:r>
      <w:r>
        <w:rPr>
          <w:i/>
          <w:iCs/>
        </w:rPr>
        <w:t>ESA,</w:t>
      </w:r>
      <w:r>
        <w:t xml:space="preserve"> requiring CHL to pay $200,000 to an organization for recovery of Blanding’s turtle habitat.</w:t>
      </w:r>
    </w:p>
    <w:p w14:paraId="3F6AE3E6" w14:textId="77777777" w:rsidR="0039739C" w:rsidRDefault="007E62DB" w:rsidP="00C96177">
      <w:pPr>
        <w:spacing w:line="360" w:lineRule="auto"/>
        <w:jc w:val="right"/>
      </w:pPr>
      <w:r>
        <w:rPr>
          <w:sz w:val="20"/>
          <w:szCs w:val="20"/>
        </w:rPr>
        <w:tab/>
        <w:t xml:space="preserve">Trial Decision, </w:t>
      </w:r>
      <w:r>
        <w:rPr>
          <w:i/>
          <w:iCs/>
          <w:sz w:val="20"/>
          <w:szCs w:val="20"/>
        </w:rPr>
        <w:t>supra</w:t>
      </w:r>
      <w:r>
        <w:rPr>
          <w:sz w:val="20"/>
          <w:szCs w:val="20"/>
        </w:rPr>
        <w:t xml:space="preserve"> para 7 at 18.</w:t>
      </w:r>
    </w:p>
    <w:p w14:paraId="02B5B90A" w14:textId="77777777" w:rsidR="0039739C" w:rsidRDefault="007E62DB">
      <w:pPr>
        <w:pStyle w:val="Heading3"/>
        <w:spacing w:before="120" w:after="240"/>
        <w:ind w:left="0"/>
        <w:jc w:val="both"/>
        <w:rPr>
          <w:b/>
          <w:bCs/>
          <w:sz w:val="20"/>
          <w:szCs w:val="20"/>
        </w:rPr>
      </w:pPr>
      <w:bookmarkStart w:id="11" w:name="_heading=h.tvoabr66psxn" w:colFirst="0" w:colLast="0"/>
      <w:bookmarkEnd w:id="11"/>
      <w:r>
        <w:rPr>
          <w:b/>
          <w:bCs/>
        </w:rPr>
        <w:t>(viii) The Appeal Decision</w:t>
      </w:r>
    </w:p>
    <w:p w14:paraId="10886258" w14:textId="77777777" w:rsidR="0039739C" w:rsidRDefault="007E62DB">
      <w:pPr>
        <w:numPr>
          <w:ilvl w:val="0"/>
          <w:numId w:val="3"/>
        </w:numPr>
        <w:pBdr>
          <w:top w:val="nil"/>
          <w:left w:val="nil"/>
          <w:bottom w:val="nil"/>
          <w:right w:val="nil"/>
          <w:between w:val="nil"/>
        </w:pBdr>
        <w:spacing w:before="120" w:after="120" w:line="360" w:lineRule="auto"/>
        <w:jc w:val="both"/>
      </w:pPr>
      <w:r>
        <w:t xml:space="preserve">In 2024, CHL </w:t>
      </w:r>
      <w:r>
        <w:t>successfully appealed the Trial Decision. Three (3) of the alleged errors considered by the OCJ, sitting as an appeal court, are relevant for the purpose of the instant appeal:</w:t>
      </w:r>
    </w:p>
    <w:p w14:paraId="5B3175CE" w14:textId="77777777" w:rsidR="0039739C" w:rsidRDefault="007E62DB">
      <w:pPr>
        <w:numPr>
          <w:ilvl w:val="5"/>
          <w:numId w:val="3"/>
        </w:numPr>
        <w:pBdr>
          <w:top w:val="nil"/>
          <w:left w:val="nil"/>
          <w:bottom w:val="nil"/>
          <w:right w:val="nil"/>
          <w:between w:val="nil"/>
        </w:pBdr>
        <w:spacing w:before="120" w:after="120" w:line="360" w:lineRule="auto"/>
        <w:ind w:left="1276" w:right="91" w:hanging="567"/>
        <w:jc w:val="both"/>
        <w:rPr>
          <w:color w:val="000000"/>
        </w:rPr>
      </w:pPr>
      <w:r>
        <w:rPr>
          <w:color w:val="000000"/>
        </w:rPr>
        <w:t>Improper reliance upon pre and post offence evidence (the “</w:t>
      </w:r>
      <w:r>
        <w:rPr>
          <w:b/>
          <w:bCs/>
          <w:color w:val="000000"/>
        </w:rPr>
        <w:t>Sightings Issue</w:t>
      </w:r>
      <w:r>
        <w:rPr>
          <w:color w:val="000000"/>
        </w:rPr>
        <w:t>”),</w:t>
      </w:r>
    </w:p>
    <w:p w14:paraId="13813448" w14:textId="77777777" w:rsidR="0039739C" w:rsidRDefault="007E62DB">
      <w:pPr>
        <w:numPr>
          <w:ilvl w:val="5"/>
          <w:numId w:val="3"/>
        </w:numPr>
        <w:pBdr>
          <w:top w:val="nil"/>
          <w:left w:val="nil"/>
          <w:bottom w:val="nil"/>
          <w:right w:val="nil"/>
          <w:between w:val="nil"/>
        </w:pBdr>
        <w:spacing w:before="120" w:after="120" w:line="360" w:lineRule="auto"/>
        <w:ind w:left="1276" w:right="91" w:hanging="567"/>
        <w:jc w:val="both"/>
        <w:rPr>
          <w:color w:val="000000"/>
        </w:rPr>
      </w:pPr>
      <w:r>
        <w:rPr>
          <w:color w:val="000000"/>
        </w:rPr>
        <w:t>Improper reliance upon the GHD (the “</w:t>
      </w:r>
      <w:r>
        <w:rPr>
          <w:b/>
          <w:bCs/>
          <w:color w:val="000000"/>
        </w:rPr>
        <w:t>GHD Issue</w:t>
      </w:r>
      <w:r>
        <w:rPr>
          <w:color w:val="000000"/>
        </w:rPr>
        <w:t>”), and</w:t>
      </w:r>
      <w:r>
        <w:rPr>
          <w:color w:val="000000"/>
        </w:rPr>
        <w:tab/>
      </w:r>
      <w:r>
        <w:rPr>
          <w:color w:val="000000"/>
        </w:rPr>
        <w:tab/>
      </w:r>
    </w:p>
    <w:p w14:paraId="5EBF7CD4" w14:textId="77777777" w:rsidR="0039739C" w:rsidRDefault="007E62DB" w:rsidP="00C96177">
      <w:pPr>
        <w:numPr>
          <w:ilvl w:val="5"/>
          <w:numId w:val="3"/>
        </w:numPr>
        <w:pBdr>
          <w:top w:val="nil"/>
          <w:left w:val="nil"/>
          <w:bottom w:val="nil"/>
          <w:right w:val="nil"/>
          <w:between w:val="nil"/>
        </w:pBdr>
        <w:spacing w:before="120" w:line="360" w:lineRule="auto"/>
        <w:ind w:left="1276" w:right="91" w:hanging="567"/>
        <w:jc w:val="both"/>
      </w:pPr>
      <w:r>
        <w:t>Failure to account for Mr. Snell’s concession that he lacked proof of Blanding’s turtles’ direct reliance on the Grubbed Area (the “</w:t>
      </w:r>
      <w:r>
        <w:rPr>
          <w:b/>
          <w:bCs/>
        </w:rPr>
        <w:t>Snell Concession Issue</w:t>
      </w:r>
      <w:r>
        <w:t>”).</w:t>
      </w:r>
    </w:p>
    <w:p w14:paraId="7324C693" w14:textId="77777777" w:rsidR="0039739C" w:rsidRDefault="007E62DB">
      <w:pPr>
        <w:pBdr>
          <w:top w:val="nil"/>
          <w:left w:val="nil"/>
          <w:bottom w:val="nil"/>
          <w:right w:val="nil"/>
          <w:between w:val="nil"/>
        </w:pBdr>
        <w:spacing w:after="120" w:line="360" w:lineRule="auto"/>
        <w:ind w:left="720"/>
        <w:jc w:val="right"/>
        <w:rPr>
          <w:sz w:val="20"/>
          <w:szCs w:val="20"/>
        </w:rPr>
      </w:pPr>
      <w:r>
        <w:rPr>
          <w:sz w:val="20"/>
          <w:szCs w:val="20"/>
        </w:rPr>
        <w:t xml:space="preserve">Appeal Decision, </w:t>
      </w:r>
      <w:r>
        <w:rPr>
          <w:i/>
          <w:iCs/>
          <w:sz w:val="20"/>
          <w:szCs w:val="20"/>
        </w:rPr>
        <w:t>supra</w:t>
      </w:r>
      <w:r>
        <w:rPr>
          <w:sz w:val="20"/>
          <w:szCs w:val="20"/>
        </w:rPr>
        <w:t xml:space="preserve"> para 8 at 7-9.</w:t>
      </w:r>
    </w:p>
    <w:p w14:paraId="64E2F561" w14:textId="77777777" w:rsidR="0039739C" w:rsidRDefault="007E62DB" w:rsidP="00C96177">
      <w:pPr>
        <w:numPr>
          <w:ilvl w:val="0"/>
          <w:numId w:val="3"/>
        </w:numPr>
        <w:pBdr>
          <w:top w:val="nil"/>
          <w:left w:val="nil"/>
          <w:bottom w:val="nil"/>
          <w:right w:val="nil"/>
          <w:between w:val="nil"/>
        </w:pBdr>
        <w:spacing w:line="360" w:lineRule="auto"/>
        <w:jc w:val="both"/>
      </w:pPr>
      <w:r>
        <w:t>Regarding the Sightings Issue, the Appeal Judge found that the Trial Judge erred by relying on sightings that occurred years before and after the alleged offence. The Appeal Judge found that these sightings were “evidence after the fact.”</w:t>
      </w:r>
    </w:p>
    <w:p w14:paraId="71EC6D5E" w14:textId="77777777" w:rsidR="0039739C" w:rsidRDefault="007E62DB" w:rsidP="00C96177">
      <w:pPr>
        <w:pBdr>
          <w:top w:val="nil"/>
          <w:left w:val="nil"/>
          <w:bottom w:val="nil"/>
          <w:right w:val="nil"/>
          <w:between w:val="nil"/>
        </w:pBdr>
        <w:spacing w:line="360" w:lineRule="auto"/>
        <w:ind w:left="720"/>
        <w:jc w:val="right"/>
        <w:rPr>
          <w:sz w:val="20"/>
          <w:szCs w:val="20"/>
        </w:rPr>
      </w:pPr>
      <w:r>
        <w:rPr>
          <w:sz w:val="20"/>
          <w:szCs w:val="20"/>
        </w:rPr>
        <w:t xml:space="preserve">Appeal Decision, </w:t>
      </w:r>
      <w:r>
        <w:rPr>
          <w:i/>
          <w:iCs/>
          <w:sz w:val="20"/>
          <w:szCs w:val="20"/>
        </w:rPr>
        <w:t>supra</w:t>
      </w:r>
      <w:r>
        <w:rPr>
          <w:sz w:val="20"/>
          <w:szCs w:val="20"/>
        </w:rPr>
        <w:t xml:space="preserve"> para 8 at 15-16.</w:t>
      </w:r>
    </w:p>
    <w:p w14:paraId="162C94E7" w14:textId="77777777" w:rsidR="0039739C" w:rsidRDefault="007E62DB" w:rsidP="00C96177">
      <w:pPr>
        <w:numPr>
          <w:ilvl w:val="0"/>
          <w:numId w:val="3"/>
        </w:numPr>
        <w:pBdr>
          <w:top w:val="nil"/>
          <w:left w:val="nil"/>
          <w:bottom w:val="nil"/>
          <w:right w:val="nil"/>
          <w:between w:val="nil"/>
        </w:pBdr>
        <w:spacing w:before="120" w:line="360" w:lineRule="auto"/>
        <w:jc w:val="both"/>
      </w:pPr>
      <w:r>
        <w:lastRenderedPageBreak/>
        <w:t xml:space="preserve">Regarding the GHD Issue, the Appeal Judge held that the GHD was not a legal document and concluded that the GHD “only provide[s] generic non-specific information.” Such general guidance does not prove that the Grubbed Area is Blanding’s turtle habitat. </w:t>
      </w:r>
    </w:p>
    <w:p w14:paraId="47592F05" w14:textId="77777777" w:rsidR="0039739C" w:rsidRDefault="007E62DB" w:rsidP="00C96177">
      <w:pPr>
        <w:pBdr>
          <w:top w:val="nil"/>
          <w:left w:val="nil"/>
          <w:bottom w:val="nil"/>
          <w:right w:val="nil"/>
          <w:between w:val="nil"/>
        </w:pBdr>
        <w:spacing w:line="360" w:lineRule="auto"/>
        <w:ind w:left="720"/>
        <w:jc w:val="right"/>
        <w:rPr>
          <w:sz w:val="20"/>
          <w:szCs w:val="20"/>
        </w:rPr>
      </w:pPr>
      <w:r>
        <w:rPr>
          <w:sz w:val="20"/>
          <w:szCs w:val="20"/>
        </w:rPr>
        <w:t xml:space="preserve">Appeal Decision, </w:t>
      </w:r>
      <w:r>
        <w:rPr>
          <w:i/>
          <w:iCs/>
          <w:sz w:val="20"/>
          <w:szCs w:val="20"/>
        </w:rPr>
        <w:t>supra</w:t>
      </w:r>
      <w:r>
        <w:rPr>
          <w:sz w:val="20"/>
          <w:szCs w:val="20"/>
        </w:rPr>
        <w:t xml:space="preserve"> para 8 at 10.</w:t>
      </w:r>
    </w:p>
    <w:p w14:paraId="436DA922" w14:textId="77777777" w:rsidR="0039739C" w:rsidRDefault="007E62DB" w:rsidP="00C96177">
      <w:pPr>
        <w:numPr>
          <w:ilvl w:val="0"/>
          <w:numId w:val="3"/>
        </w:numPr>
        <w:pBdr>
          <w:top w:val="nil"/>
          <w:left w:val="nil"/>
          <w:bottom w:val="nil"/>
          <w:right w:val="nil"/>
          <w:between w:val="nil"/>
        </w:pBdr>
        <w:spacing w:line="360" w:lineRule="auto"/>
        <w:jc w:val="both"/>
      </w:pPr>
      <w:r>
        <w:t>Finally, the Appeal Judge considered the Snell Concession Issue. The Appeal Judge noted multiple times that Mr. Snell agreed he did not have proof that the Grubbed Area “was utilized for travel  purposes, nesting, or thermogenic activities by Blanding’s turtles.” The Appeal Judge relied on this statement in determining that the Grubbed Area is not habitat.</w:t>
      </w:r>
    </w:p>
    <w:p w14:paraId="60FE60C8" w14:textId="77777777" w:rsidR="0039739C" w:rsidRDefault="007E62DB" w:rsidP="00C96177">
      <w:pPr>
        <w:pBdr>
          <w:top w:val="nil"/>
          <w:left w:val="nil"/>
          <w:bottom w:val="nil"/>
          <w:right w:val="nil"/>
          <w:between w:val="nil"/>
        </w:pBdr>
        <w:spacing w:line="360" w:lineRule="auto"/>
        <w:ind w:left="720"/>
        <w:jc w:val="right"/>
        <w:rPr>
          <w:sz w:val="20"/>
          <w:szCs w:val="20"/>
        </w:rPr>
      </w:pPr>
      <w:r>
        <w:rPr>
          <w:sz w:val="20"/>
          <w:szCs w:val="20"/>
        </w:rPr>
        <w:t xml:space="preserve">Appeal Decision, </w:t>
      </w:r>
      <w:r>
        <w:rPr>
          <w:i/>
          <w:iCs/>
          <w:sz w:val="20"/>
          <w:szCs w:val="20"/>
        </w:rPr>
        <w:t>supra</w:t>
      </w:r>
      <w:r>
        <w:rPr>
          <w:sz w:val="20"/>
          <w:szCs w:val="20"/>
        </w:rPr>
        <w:t xml:space="preserve"> para 8 at 17-18.</w:t>
      </w:r>
    </w:p>
    <w:p w14:paraId="19D3B3EC" w14:textId="77777777" w:rsidR="0039739C" w:rsidRDefault="007E62DB">
      <w:pPr>
        <w:numPr>
          <w:ilvl w:val="0"/>
          <w:numId w:val="3"/>
        </w:numPr>
        <w:pBdr>
          <w:top w:val="nil"/>
          <w:left w:val="nil"/>
          <w:bottom w:val="nil"/>
          <w:right w:val="nil"/>
          <w:between w:val="nil"/>
        </w:pBdr>
        <w:spacing w:before="120" w:after="120" w:line="360" w:lineRule="auto"/>
        <w:jc w:val="both"/>
      </w:pPr>
      <w:r>
        <w:t xml:space="preserve">In the result, the appeal was allowed. CHL was </w:t>
      </w:r>
      <w:r>
        <w:t>acquitted on August 20, 2024.</w:t>
      </w:r>
    </w:p>
    <w:p w14:paraId="69AA2159" w14:textId="77777777" w:rsidR="0039739C" w:rsidRDefault="007E62DB" w:rsidP="00C96177">
      <w:pPr>
        <w:numPr>
          <w:ilvl w:val="0"/>
          <w:numId w:val="3"/>
        </w:numPr>
        <w:pBdr>
          <w:top w:val="nil"/>
          <w:left w:val="nil"/>
          <w:bottom w:val="nil"/>
          <w:right w:val="nil"/>
          <w:between w:val="nil"/>
        </w:pBdr>
        <w:spacing w:line="360" w:lineRule="auto"/>
        <w:jc w:val="both"/>
      </w:pPr>
      <w:r>
        <w:t>In 2025, the Ontario Court of Appeal (“</w:t>
      </w:r>
      <w:r>
        <w:rPr>
          <w:b/>
          <w:bCs/>
        </w:rPr>
        <w:t>ONCA</w:t>
      </w:r>
      <w:r>
        <w:t>”) denied an application for leave to appeal.</w:t>
      </w:r>
    </w:p>
    <w:p w14:paraId="3ECE5183" w14:textId="77777777" w:rsidR="0039739C" w:rsidRDefault="007E62DB">
      <w:pPr>
        <w:pBdr>
          <w:top w:val="nil"/>
          <w:left w:val="nil"/>
          <w:bottom w:val="nil"/>
          <w:right w:val="nil"/>
          <w:between w:val="nil"/>
        </w:pBdr>
        <w:spacing w:after="120" w:line="360" w:lineRule="auto"/>
        <w:jc w:val="right"/>
        <w:rPr>
          <w:sz w:val="20"/>
          <w:szCs w:val="20"/>
        </w:rPr>
      </w:pPr>
      <w:r>
        <w:tab/>
      </w:r>
      <w:r>
        <w:rPr>
          <w:i/>
          <w:iCs/>
          <w:sz w:val="20"/>
          <w:szCs w:val="20"/>
        </w:rPr>
        <w:t>R v Consolidated Homes Ltd</w:t>
      </w:r>
      <w:r>
        <w:rPr>
          <w:sz w:val="20"/>
          <w:szCs w:val="20"/>
        </w:rPr>
        <w:t>, 2025 ONCA 41 [</w:t>
      </w:r>
      <w:r>
        <w:rPr>
          <w:i/>
          <w:iCs/>
          <w:sz w:val="20"/>
          <w:szCs w:val="20"/>
        </w:rPr>
        <w:t>ONCA Decision</w:t>
      </w:r>
      <w:r>
        <w:rPr>
          <w:sz w:val="20"/>
          <w:szCs w:val="20"/>
        </w:rPr>
        <w:t>].</w:t>
      </w:r>
    </w:p>
    <w:p w14:paraId="0C19E3F0" w14:textId="77777777" w:rsidR="0039739C" w:rsidRDefault="007E62DB">
      <w:pPr>
        <w:pStyle w:val="Heading3"/>
        <w:spacing w:after="240"/>
        <w:ind w:left="0"/>
        <w:jc w:val="both"/>
        <w:rPr>
          <w:b/>
          <w:bCs/>
        </w:rPr>
      </w:pPr>
      <w:bookmarkStart w:id="12" w:name="_heading=h.713aunsv7d5t" w:colFirst="0" w:colLast="0"/>
      <w:bookmarkEnd w:id="12"/>
      <w:r>
        <w:rPr>
          <w:b/>
          <w:bCs/>
        </w:rPr>
        <w:t>(ix) 2025 Amendments to “Habitat”</w:t>
      </w:r>
    </w:p>
    <w:p w14:paraId="584A1D64" w14:textId="77777777" w:rsidR="0039739C" w:rsidRDefault="007E62DB">
      <w:pPr>
        <w:numPr>
          <w:ilvl w:val="0"/>
          <w:numId w:val="3"/>
        </w:numPr>
        <w:spacing w:line="360" w:lineRule="auto"/>
        <w:ind w:right="90"/>
        <w:jc w:val="both"/>
      </w:pPr>
      <w:r>
        <w:t xml:space="preserve">In July 2025, the Province passed an economic stimulus bill in response to an ongoing tariff dispute with the United States, </w:t>
      </w:r>
      <w:r>
        <w:rPr>
          <w:i/>
          <w:iCs/>
        </w:rPr>
        <w:t>Protect Ontario by Unleashing Our Economy Act</w:t>
      </w:r>
      <w:r>
        <w:t xml:space="preserve"> (Bill C-5) (“</w:t>
      </w:r>
      <w:r>
        <w:rPr>
          <w:b/>
          <w:bCs/>
        </w:rPr>
        <w:t>Bill C-5</w:t>
      </w:r>
      <w:r>
        <w:t xml:space="preserve">”). Among other amendments to the </w:t>
      </w:r>
      <w:r>
        <w:rPr>
          <w:i/>
          <w:iCs/>
        </w:rPr>
        <w:t>ESA</w:t>
      </w:r>
      <w:r>
        <w:t>, Bill C-5 introduced an amended definition of habitat under s. 10(1)(a). The new scheme protects habitats that are “occupied or habitually occupied”.</w:t>
      </w:r>
    </w:p>
    <w:p w14:paraId="2E566FCD" w14:textId="77777777" w:rsidR="0039739C" w:rsidRDefault="007E62DB" w:rsidP="00C96177">
      <w:pPr>
        <w:spacing w:after="240" w:line="240" w:lineRule="auto"/>
        <w:jc w:val="right"/>
      </w:pPr>
      <w:r>
        <w:rPr>
          <w:sz w:val="20"/>
          <w:szCs w:val="20"/>
        </w:rPr>
        <w:tab/>
      </w:r>
      <w:r>
        <w:rPr>
          <w:i/>
          <w:iCs/>
          <w:sz w:val="20"/>
          <w:szCs w:val="20"/>
        </w:rPr>
        <w:t>Protecting Ontario By Unleashing Our Economy</w:t>
      </w:r>
      <w:r>
        <w:rPr>
          <w:sz w:val="20"/>
          <w:szCs w:val="20"/>
        </w:rPr>
        <w:t xml:space="preserve">, 2025, 44th leg, 1st Sess, </w:t>
      </w:r>
      <w:r>
        <w:rPr>
          <w:sz w:val="20"/>
          <w:szCs w:val="20"/>
        </w:rPr>
        <w:br/>
        <w:t>Ontario, 2025 C-5 [Bill C-5], Sched 2, s 2(3).</w:t>
      </w:r>
    </w:p>
    <w:p w14:paraId="450BE995" w14:textId="77777777" w:rsidR="0039739C" w:rsidRDefault="007E62DB">
      <w:pPr>
        <w:keepNext/>
        <w:keepLines/>
        <w:numPr>
          <w:ilvl w:val="0"/>
          <w:numId w:val="3"/>
        </w:numPr>
        <w:spacing w:before="120" w:after="120" w:line="360" w:lineRule="auto"/>
        <w:jc w:val="both"/>
      </w:pPr>
      <w:r>
        <w:t xml:space="preserve">The new working definition of “habitat” is </w:t>
      </w:r>
      <w:r>
        <w:t>defined as:</w:t>
      </w:r>
      <w:r>
        <w:rPr>
          <w:i/>
          <w:iCs/>
        </w:rPr>
        <w:t xml:space="preserve"> </w:t>
      </w:r>
      <w:r>
        <w:rPr>
          <w:i/>
          <w:iCs/>
        </w:rPr>
        <w:tab/>
      </w:r>
    </w:p>
    <w:p w14:paraId="750CD85C" w14:textId="77777777" w:rsidR="0039739C" w:rsidRDefault="007E62DB">
      <w:pPr>
        <w:spacing w:before="120" w:after="240" w:line="240" w:lineRule="auto"/>
        <w:ind w:left="1440" w:right="855"/>
        <w:jc w:val="both"/>
      </w:pPr>
      <w:r>
        <w:t xml:space="preserve">2(a)(i) a dwelling place, such as a den, nest or other similar place, that is </w:t>
      </w:r>
      <w:r>
        <w:rPr>
          <w:i/>
          <w:iCs/>
        </w:rPr>
        <w:t>occupied or habitually occupied</w:t>
      </w:r>
      <w:r>
        <w:t xml:space="preserve"> by one or more members of a species for the purposes of breeding, rearing, staging, wintering or hibernating and (ii) the area immediately around a dwelling place described in subclause (i) that is essential for the purposes set out in that subclause. </w:t>
      </w:r>
    </w:p>
    <w:p w14:paraId="08D53C75" w14:textId="77777777" w:rsidR="0039739C" w:rsidRDefault="007E62DB">
      <w:pPr>
        <w:spacing w:before="120" w:line="360" w:lineRule="auto"/>
        <w:jc w:val="right"/>
        <w:rPr>
          <w:highlight w:val="yellow"/>
        </w:rPr>
      </w:pPr>
      <w:r>
        <w:rPr>
          <w:sz w:val="20"/>
          <w:szCs w:val="20"/>
        </w:rPr>
        <w:t>Bill C-5, Sched 2, s 2(a)(i).</w:t>
      </w:r>
    </w:p>
    <w:p w14:paraId="777D11B8" w14:textId="77777777" w:rsidR="0039739C" w:rsidRDefault="007E62DB">
      <w:pPr>
        <w:pStyle w:val="Heading1"/>
        <w:spacing w:before="120" w:after="240"/>
        <w:jc w:val="both"/>
        <w:rPr>
          <w:rFonts w:ascii="Times New Roman" w:eastAsia="Times New Roman" w:hAnsi="Times New Roman" w:cs="Times New Roman"/>
        </w:rPr>
      </w:pPr>
      <w:bookmarkStart w:id="13" w:name="_heading=h.uwwk36kfzkoa" w:colFirst="0" w:colLast="0"/>
      <w:bookmarkEnd w:id="13"/>
      <w:r>
        <w:rPr>
          <w:rFonts w:ascii="Times New Roman" w:eastAsia="Times New Roman" w:hAnsi="Times New Roman" w:cs="Times New Roman"/>
        </w:rPr>
        <w:t>PART II -- QUESTIONS IN ISSUE</w:t>
      </w:r>
    </w:p>
    <w:p w14:paraId="141DA90C" w14:textId="77777777" w:rsidR="0039739C" w:rsidRDefault="007E62DB">
      <w:pPr>
        <w:numPr>
          <w:ilvl w:val="0"/>
          <w:numId w:val="3"/>
        </w:numPr>
        <w:pBdr>
          <w:top w:val="nil"/>
          <w:left w:val="nil"/>
          <w:bottom w:val="nil"/>
          <w:right w:val="nil"/>
          <w:between w:val="nil"/>
        </w:pBdr>
        <w:spacing w:before="120" w:after="120" w:line="360" w:lineRule="auto"/>
        <w:ind w:right="90"/>
        <w:jc w:val="both"/>
      </w:pPr>
      <w:r>
        <w:t xml:space="preserve">There are three (3) errors on appeal and one (1) further ground of </w:t>
      </w:r>
      <w:r>
        <w:t>appeal:</w:t>
      </w:r>
    </w:p>
    <w:p w14:paraId="50EAE5BC" w14:textId="77777777" w:rsidR="0039739C" w:rsidRDefault="007E62DB">
      <w:pPr>
        <w:spacing w:before="120" w:after="120" w:line="360" w:lineRule="auto"/>
        <w:ind w:left="1276" w:right="90" w:hanging="556"/>
        <w:jc w:val="both"/>
      </w:pPr>
      <w:r>
        <w:lastRenderedPageBreak/>
        <w:t xml:space="preserve">i. </w:t>
      </w:r>
      <w:r>
        <w:tab/>
        <w:t>The OCJ erred in law by failing to consider sightings of Blanding’s turtles near the Grubbed Area before and after the offence.</w:t>
      </w:r>
    </w:p>
    <w:p w14:paraId="5E7C35DC" w14:textId="77777777" w:rsidR="0039739C" w:rsidRDefault="007E62DB">
      <w:pPr>
        <w:spacing w:before="120" w:after="120" w:line="360" w:lineRule="auto"/>
        <w:ind w:left="1276" w:right="90" w:hanging="556"/>
        <w:jc w:val="both"/>
      </w:pPr>
      <w:r>
        <w:t xml:space="preserve">ii. </w:t>
      </w:r>
      <w:r>
        <w:tab/>
        <w:t>The OCJ erred in law by finding that the Trial Judge incorrectly relied on the GHD as the document “is not a legal instrument” and “not a legal document.”</w:t>
      </w:r>
    </w:p>
    <w:p w14:paraId="5E2B2D95" w14:textId="77777777" w:rsidR="0039739C" w:rsidRDefault="007E62DB">
      <w:pPr>
        <w:spacing w:before="120" w:after="120" w:line="360" w:lineRule="auto"/>
        <w:ind w:left="1276" w:right="90" w:hanging="556"/>
        <w:jc w:val="both"/>
      </w:pPr>
      <w:r>
        <w:t xml:space="preserve">iii. </w:t>
      </w:r>
      <w:r>
        <w:tab/>
        <w:t>The OCJ erred in law by failing to consider the part of the statutory definition of “habitat” which includes within the scope of habitat areas on which a species "indirectly depends.”</w:t>
      </w:r>
    </w:p>
    <w:p w14:paraId="3980A637" w14:textId="77777777" w:rsidR="0039739C" w:rsidRDefault="007E62DB">
      <w:pPr>
        <w:spacing w:before="120" w:after="120" w:line="360" w:lineRule="auto"/>
        <w:ind w:left="1276" w:right="90" w:hanging="556"/>
        <w:jc w:val="both"/>
      </w:pPr>
      <w:r>
        <w:t xml:space="preserve">iv. </w:t>
      </w:r>
      <w:r>
        <w:tab/>
        <w:t>The trial would have been decided the same way if the new definition of “habitat” was in force when CHL was charged.</w:t>
      </w:r>
    </w:p>
    <w:p w14:paraId="177553D7" w14:textId="77777777" w:rsidR="0039739C" w:rsidRDefault="007E62DB">
      <w:pPr>
        <w:pStyle w:val="Heading1"/>
        <w:spacing w:before="240" w:after="240"/>
        <w:jc w:val="both"/>
        <w:rPr>
          <w:rFonts w:ascii="Times New Roman" w:eastAsia="Times New Roman" w:hAnsi="Times New Roman" w:cs="Times New Roman"/>
        </w:rPr>
      </w:pPr>
      <w:bookmarkStart w:id="14" w:name="_heading=h.2050a6jvwqj4" w:colFirst="0" w:colLast="0"/>
      <w:bookmarkEnd w:id="14"/>
      <w:r>
        <w:rPr>
          <w:rFonts w:ascii="Times New Roman" w:eastAsia="Times New Roman" w:hAnsi="Times New Roman" w:cs="Times New Roman"/>
        </w:rPr>
        <w:t>PART III -- ARGUMENT</w:t>
      </w:r>
    </w:p>
    <w:p w14:paraId="0B1E1A01" w14:textId="77777777" w:rsidR="0039739C" w:rsidRDefault="007E62DB">
      <w:pPr>
        <w:pStyle w:val="Heading2"/>
        <w:spacing w:before="240" w:after="240" w:line="360" w:lineRule="auto"/>
        <w:jc w:val="both"/>
      </w:pPr>
      <w:bookmarkStart w:id="15" w:name="_heading=h.895wvllkgvyn" w:colFirst="0" w:colLast="0"/>
      <w:bookmarkEnd w:id="15"/>
      <w:r>
        <w:t>A. Interpretation of the</w:t>
      </w:r>
      <w:r>
        <w:rPr>
          <w:i/>
          <w:iCs/>
        </w:rPr>
        <w:t xml:space="preserve"> ESA</w:t>
      </w:r>
      <w:r>
        <w:t>’s Purpose Supports a Purposive and Adaptable Approach</w:t>
      </w:r>
    </w:p>
    <w:p w14:paraId="1CD84300" w14:textId="77777777" w:rsidR="0039739C" w:rsidRDefault="007E62DB">
      <w:pPr>
        <w:numPr>
          <w:ilvl w:val="0"/>
          <w:numId w:val="3"/>
        </w:numPr>
        <w:spacing w:before="120" w:after="120" w:line="360" w:lineRule="auto"/>
        <w:jc w:val="both"/>
      </w:pPr>
      <w:r>
        <w:t xml:space="preserve">The </w:t>
      </w:r>
      <w:r>
        <w:rPr>
          <w:i/>
          <w:iCs/>
        </w:rPr>
        <w:t>ESA</w:t>
      </w:r>
      <w:r>
        <w:t xml:space="preserve">’s purpose is central to this appeal </w:t>
      </w:r>
      <w:r>
        <w:t>because CHL’s conviction turns on the scope of the word “habitat” and the evidence which may be used to prove the existence of habitat. Given this significance, general principles of statutory interpretation provide an appropriate starting point to address the issues on appeal.</w:t>
      </w:r>
    </w:p>
    <w:p w14:paraId="2F8F180A" w14:textId="77777777" w:rsidR="0039739C" w:rsidRDefault="007E62DB">
      <w:pPr>
        <w:keepNext/>
        <w:keepLines/>
        <w:numPr>
          <w:ilvl w:val="0"/>
          <w:numId w:val="3"/>
        </w:numPr>
        <w:spacing w:before="120" w:after="120" w:line="360" w:lineRule="auto"/>
        <w:jc w:val="both"/>
      </w:pPr>
      <w:r>
        <w:t>Courts engage in statutory interpretation to ascertain legislative purpose. Statutory interpretation is governed by the Modern Approach:</w:t>
      </w:r>
    </w:p>
    <w:p w14:paraId="1F9A0496" w14:textId="77777777" w:rsidR="0039739C" w:rsidRDefault="007E62DB">
      <w:pPr>
        <w:spacing w:before="120" w:after="120" w:line="240" w:lineRule="auto"/>
        <w:ind w:left="1418" w:right="720"/>
        <w:jc w:val="both"/>
      </w:pPr>
      <w:r>
        <w:t>The words of an Act are to be read in their entire context and in their grammatical and ordinary sense harmoniously with the scheme of the Act, the object of the Act, and the intention of Parliament.</w:t>
      </w:r>
    </w:p>
    <w:p w14:paraId="72AEB6DF" w14:textId="77777777" w:rsidR="0039739C" w:rsidRDefault="007E62DB" w:rsidP="00C96177">
      <w:pPr>
        <w:spacing w:before="120" w:after="120" w:line="360" w:lineRule="auto"/>
        <w:ind w:firstLine="720"/>
        <w:jc w:val="right"/>
        <w:rPr>
          <w:sz w:val="20"/>
          <w:szCs w:val="20"/>
        </w:rPr>
      </w:pPr>
      <w:r>
        <w:rPr>
          <w:i/>
          <w:iCs/>
          <w:sz w:val="20"/>
          <w:szCs w:val="20"/>
        </w:rPr>
        <w:t>Rizzo &amp; Rizzo Shoes Ltd (Re)</w:t>
      </w:r>
      <w:r>
        <w:rPr>
          <w:sz w:val="20"/>
          <w:szCs w:val="20"/>
        </w:rPr>
        <w:t>, 1998 CanLII 837 (SCC) at para 21 [</w:t>
      </w:r>
      <w:r>
        <w:rPr>
          <w:i/>
          <w:iCs/>
          <w:sz w:val="20"/>
          <w:szCs w:val="20"/>
        </w:rPr>
        <w:t>Rizzo</w:t>
      </w:r>
      <w:r>
        <w:rPr>
          <w:sz w:val="20"/>
          <w:szCs w:val="20"/>
        </w:rPr>
        <w:t>].</w:t>
      </w:r>
    </w:p>
    <w:p w14:paraId="33AA74AF" w14:textId="77777777" w:rsidR="0039739C" w:rsidRDefault="007E62DB" w:rsidP="00C96177">
      <w:pPr>
        <w:numPr>
          <w:ilvl w:val="0"/>
          <w:numId w:val="3"/>
        </w:numPr>
        <w:spacing w:before="120" w:line="360" w:lineRule="auto"/>
        <w:jc w:val="both"/>
      </w:pPr>
      <w:r>
        <w:t xml:space="preserve">The Ontario </w:t>
      </w:r>
      <w:r>
        <w:rPr>
          <w:i/>
          <w:iCs/>
        </w:rPr>
        <w:t>Legislation Act</w:t>
      </w:r>
      <w:r>
        <w:t xml:space="preserve"> states that legislation is “remedial and shall be given such fair, large and liberal interpretation as best ensures the attainment of its objects.”</w:t>
      </w:r>
    </w:p>
    <w:p w14:paraId="2D4B382A" w14:textId="77777777" w:rsidR="0039739C" w:rsidRDefault="007E62DB" w:rsidP="00C96177">
      <w:pPr>
        <w:spacing w:after="120" w:line="360" w:lineRule="auto"/>
        <w:ind w:firstLine="720"/>
        <w:jc w:val="right"/>
        <w:rPr>
          <w:sz w:val="20"/>
          <w:szCs w:val="20"/>
        </w:rPr>
      </w:pPr>
      <w:r>
        <w:rPr>
          <w:i/>
          <w:iCs/>
          <w:sz w:val="20"/>
          <w:szCs w:val="20"/>
        </w:rPr>
        <w:t>Legislation Act</w:t>
      </w:r>
      <w:r>
        <w:rPr>
          <w:sz w:val="20"/>
          <w:szCs w:val="20"/>
        </w:rPr>
        <w:t>, 2006, SO 2006, c 21, Sched F, s 64 (1).</w:t>
      </w:r>
    </w:p>
    <w:p w14:paraId="39B66DE3" w14:textId="77777777" w:rsidR="0039739C" w:rsidRDefault="007E62DB">
      <w:pPr>
        <w:numPr>
          <w:ilvl w:val="0"/>
          <w:numId w:val="3"/>
        </w:numPr>
        <w:spacing w:before="120" w:after="120" w:line="360" w:lineRule="auto"/>
        <w:jc w:val="both"/>
      </w:pPr>
      <w:r>
        <w:t xml:space="preserve">Environmental and species protection legislation should be given a “generous interpretation” to help achieve its objectives. According to the Supreme Court of Canada: </w:t>
      </w:r>
    </w:p>
    <w:p w14:paraId="26A27402" w14:textId="77777777" w:rsidR="0039739C" w:rsidRDefault="007E62DB">
      <w:pPr>
        <w:spacing w:before="120" w:after="120" w:line="240" w:lineRule="auto"/>
        <w:ind w:left="1418" w:right="720"/>
        <w:jc w:val="both"/>
      </w:pPr>
      <w:r>
        <w:t xml:space="preserve">[E]nvironmental legislation embraces an expansive approach to ensure that it can adequately respond “to a wide variety of environmentally harmful scenarios, including ones which might not have been foreseen by the </w:t>
      </w:r>
      <w:r>
        <w:lastRenderedPageBreak/>
        <w:t>drafters of the legislation”. Because the legislature is pursuing the objective of environmental protection, its intended reach is wide and deep. [citations omitted.]</w:t>
      </w:r>
    </w:p>
    <w:p w14:paraId="414942B3" w14:textId="77777777" w:rsidR="0039739C" w:rsidRDefault="007E62DB">
      <w:pPr>
        <w:spacing w:before="120" w:after="120" w:line="240" w:lineRule="auto"/>
        <w:ind w:left="720"/>
        <w:jc w:val="right"/>
        <w:rPr>
          <w:i/>
          <w:iCs/>
          <w:sz w:val="20"/>
          <w:szCs w:val="20"/>
        </w:rPr>
      </w:pPr>
      <w:r>
        <w:rPr>
          <w:i/>
          <w:iCs/>
          <w:sz w:val="20"/>
          <w:szCs w:val="20"/>
        </w:rPr>
        <w:t>Castonguay Blasting Ltd v Ontario</w:t>
      </w:r>
      <w:r>
        <w:rPr>
          <w:sz w:val="20"/>
          <w:szCs w:val="20"/>
        </w:rPr>
        <w:t>, 2013 SCC 52 at para 9 [</w:t>
      </w:r>
      <w:r>
        <w:rPr>
          <w:i/>
          <w:iCs/>
          <w:sz w:val="20"/>
          <w:szCs w:val="20"/>
        </w:rPr>
        <w:t>Castonguay</w:t>
      </w:r>
      <w:r>
        <w:rPr>
          <w:sz w:val="20"/>
          <w:szCs w:val="20"/>
        </w:rPr>
        <w:t>].</w:t>
      </w:r>
    </w:p>
    <w:p w14:paraId="32909BEE" w14:textId="77777777" w:rsidR="0039739C" w:rsidRDefault="007E62DB">
      <w:pPr>
        <w:spacing w:before="120" w:after="240" w:line="240" w:lineRule="auto"/>
        <w:ind w:left="720"/>
        <w:jc w:val="right"/>
        <w:rPr>
          <w:sz w:val="20"/>
          <w:szCs w:val="20"/>
        </w:rPr>
      </w:pPr>
      <w:r>
        <w:rPr>
          <w:sz w:val="20"/>
          <w:szCs w:val="20"/>
        </w:rPr>
        <w:t xml:space="preserve">See also </w:t>
      </w:r>
      <w:r>
        <w:rPr>
          <w:i/>
          <w:iCs/>
          <w:sz w:val="20"/>
          <w:szCs w:val="20"/>
        </w:rPr>
        <w:t>Ontario (Natural Resources and Forestry) v South Bruce Peninsula (Town)</w:t>
      </w:r>
      <w:r>
        <w:rPr>
          <w:sz w:val="20"/>
          <w:szCs w:val="20"/>
        </w:rPr>
        <w:t>, 2022 ONCA 315 at para 30 [</w:t>
      </w:r>
      <w:r>
        <w:rPr>
          <w:i/>
          <w:iCs/>
          <w:sz w:val="20"/>
          <w:szCs w:val="20"/>
        </w:rPr>
        <w:t>South Bruce</w:t>
      </w:r>
      <w:r>
        <w:rPr>
          <w:sz w:val="20"/>
          <w:szCs w:val="20"/>
        </w:rPr>
        <w:t>].</w:t>
      </w:r>
    </w:p>
    <w:p w14:paraId="70BAB733" w14:textId="77777777" w:rsidR="0039739C" w:rsidRDefault="007E62DB">
      <w:pPr>
        <w:numPr>
          <w:ilvl w:val="0"/>
          <w:numId w:val="3"/>
        </w:numPr>
        <w:spacing w:before="120" w:after="120" w:line="360" w:lineRule="auto"/>
        <w:jc w:val="both"/>
      </w:pPr>
      <w:r>
        <w:t>Courts may use an act’s purpose statements and preamble to “help explain its purpose” (</w:t>
      </w:r>
      <w:r>
        <w:rPr>
          <w:i/>
          <w:iCs/>
        </w:rPr>
        <w:t>Moses</w:t>
      </w:r>
      <w:r>
        <w:t xml:space="preserve">, </w:t>
      </w:r>
      <w:r>
        <w:rPr>
          <w:i/>
          <w:iCs/>
        </w:rPr>
        <w:t>Legislation Act</w:t>
      </w:r>
      <w:r>
        <w:t xml:space="preserve">). The purpose of the </w:t>
      </w:r>
      <w:r>
        <w:rPr>
          <w:i/>
          <w:iCs/>
        </w:rPr>
        <w:t>ESA</w:t>
      </w:r>
      <w:r>
        <w:t xml:space="preserve"> at the relevant time was (the “</w:t>
      </w:r>
      <w:r>
        <w:rPr>
          <w:b/>
          <w:bCs/>
        </w:rPr>
        <w:t>2007 Purpose</w:t>
      </w:r>
      <w:r>
        <w:t>”):</w:t>
      </w:r>
    </w:p>
    <w:p w14:paraId="46131324" w14:textId="77777777" w:rsidR="0039739C" w:rsidRDefault="007E62DB">
      <w:pPr>
        <w:numPr>
          <w:ilvl w:val="0"/>
          <w:numId w:val="2"/>
        </w:numPr>
        <w:spacing w:after="120" w:line="240" w:lineRule="auto"/>
        <w:ind w:left="1843" w:right="714" w:hanging="356"/>
        <w:jc w:val="both"/>
      </w:pPr>
      <w:r>
        <w:t>To identify species at risk based on the best available scientific information, including information obtained from community knowledge and aboriginal traditional knowledge.</w:t>
      </w:r>
    </w:p>
    <w:p w14:paraId="64D23068" w14:textId="77777777" w:rsidR="0039739C" w:rsidRDefault="007E62DB">
      <w:pPr>
        <w:numPr>
          <w:ilvl w:val="0"/>
          <w:numId w:val="2"/>
        </w:numPr>
        <w:spacing w:after="120" w:line="240" w:lineRule="auto"/>
        <w:ind w:left="1843" w:right="714" w:hanging="356"/>
        <w:jc w:val="both"/>
      </w:pPr>
      <w:r>
        <w:t>To protect species that are at risk and their habitats, and to promote the recovery of species that are at risk.</w:t>
      </w:r>
    </w:p>
    <w:p w14:paraId="6E97E7EF" w14:textId="77777777" w:rsidR="0039739C" w:rsidRDefault="007E62DB">
      <w:pPr>
        <w:numPr>
          <w:ilvl w:val="0"/>
          <w:numId w:val="2"/>
        </w:numPr>
        <w:spacing w:after="120" w:line="240" w:lineRule="auto"/>
        <w:ind w:left="1843" w:right="714" w:hanging="356"/>
        <w:jc w:val="both"/>
      </w:pPr>
      <w:r>
        <w:t>To promote stewardship activities to assist in the protection and recovery of species that are at risk.</w:t>
      </w:r>
    </w:p>
    <w:p w14:paraId="54A9BA14" w14:textId="77777777" w:rsidR="0039739C" w:rsidRDefault="007E62DB">
      <w:pPr>
        <w:spacing w:after="120" w:line="240" w:lineRule="auto"/>
        <w:ind w:firstLine="720"/>
        <w:jc w:val="right"/>
        <w:rPr>
          <w:sz w:val="20"/>
          <w:szCs w:val="20"/>
        </w:rPr>
      </w:pPr>
      <w:r>
        <w:rPr>
          <w:i/>
          <w:iCs/>
          <w:sz w:val="20"/>
          <w:szCs w:val="20"/>
        </w:rPr>
        <w:t>Quebec (Attorney General) v Moses</w:t>
      </w:r>
      <w:r>
        <w:rPr>
          <w:sz w:val="20"/>
          <w:szCs w:val="20"/>
        </w:rPr>
        <w:t>, 2010 SCC 17 at para 101.</w:t>
      </w:r>
    </w:p>
    <w:p w14:paraId="0E546DA8" w14:textId="77777777" w:rsidR="0039739C" w:rsidRDefault="007E62DB">
      <w:pPr>
        <w:spacing w:before="120" w:after="120" w:line="240" w:lineRule="auto"/>
        <w:ind w:firstLine="720"/>
        <w:jc w:val="right"/>
        <w:rPr>
          <w:sz w:val="20"/>
          <w:szCs w:val="20"/>
        </w:rPr>
      </w:pPr>
      <w:r>
        <w:rPr>
          <w:i/>
          <w:iCs/>
          <w:sz w:val="20"/>
          <w:szCs w:val="20"/>
        </w:rPr>
        <w:t>Legislation Act</w:t>
      </w:r>
      <w:r>
        <w:rPr>
          <w:sz w:val="20"/>
          <w:szCs w:val="20"/>
        </w:rPr>
        <w:t xml:space="preserve">, </w:t>
      </w:r>
      <w:r>
        <w:rPr>
          <w:i/>
          <w:iCs/>
          <w:sz w:val="20"/>
          <w:szCs w:val="20"/>
        </w:rPr>
        <w:t>supra</w:t>
      </w:r>
      <w:r>
        <w:rPr>
          <w:sz w:val="20"/>
          <w:szCs w:val="20"/>
        </w:rPr>
        <w:t xml:space="preserve"> para 45, s 69(1).</w:t>
      </w:r>
    </w:p>
    <w:p w14:paraId="57FF7815" w14:textId="77777777" w:rsidR="0039739C" w:rsidRDefault="007E62DB">
      <w:pPr>
        <w:spacing w:before="120" w:after="240" w:line="240" w:lineRule="auto"/>
        <w:ind w:firstLine="720"/>
        <w:jc w:val="right"/>
        <w:rPr>
          <w:sz w:val="20"/>
          <w:szCs w:val="20"/>
        </w:rPr>
      </w:pPr>
      <w:r>
        <w:rPr>
          <w:i/>
          <w:iCs/>
          <w:sz w:val="20"/>
          <w:szCs w:val="20"/>
        </w:rPr>
        <w:t>ESA</w:t>
      </w:r>
      <w:r>
        <w:rPr>
          <w:sz w:val="20"/>
          <w:szCs w:val="20"/>
        </w:rPr>
        <w:t xml:space="preserve">, </w:t>
      </w:r>
      <w:r>
        <w:rPr>
          <w:i/>
          <w:iCs/>
          <w:sz w:val="20"/>
          <w:szCs w:val="20"/>
        </w:rPr>
        <w:t>supra</w:t>
      </w:r>
      <w:r>
        <w:rPr>
          <w:sz w:val="20"/>
          <w:szCs w:val="20"/>
        </w:rPr>
        <w:t xml:space="preserve"> para 1, s 1 as it appeared on August 2018 .</w:t>
      </w:r>
    </w:p>
    <w:p w14:paraId="7EAEA45A" w14:textId="77777777" w:rsidR="0039739C" w:rsidRDefault="007E62DB">
      <w:pPr>
        <w:numPr>
          <w:ilvl w:val="0"/>
          <w:numId w:val="3"/>
        </w:numPr>
        <w:spacing w:before="120" w:after="120" w:line="360" w:lineRule="auto"/>
        <w:jc w:val="both"/>
      </w:pPr>
      <w:r>
        <w:t xml:space="preserve">The 2007 Purpose, read in light of the Modern Approach, indicates that the </w:t>
      </w:r>
      <w:r>
        <w:rPr>
          <w:i/>
          <w:iCs/>
        </w:rPr>
        <w:t>ESA</w:t>
      </w:r>
      <w:r>
        <w:t xml:space="preserve"> aims to protect endangered species and their habitats amid scientific and evidentiary uncertainty.</w:t>
      </w:r>
    </w:p>
    <w:p w14:paraId="0CE41206" w14:textId="77777777" w:rsidR="0039739C" w:rsidRDefault="007E62DB">
      <w:pPr>
        <w:pStyle w:val="Heading2"/>
        <w:spacing w:before="240" w:after="240" w:line="360" w:lineRule="auto"/>
        <w:jc w:val="both"/>
      </w:pPr>
      <w:bookmarkStart w:id="16" w:name="_heading=h.31z3bicmlm0d" w:colFirst="0" w:colLast="0"/>
      <w:bookmarkEnd w:id="16"/>
      <w:r>
        <w:t xml:space="preserve">B. Standard of Review </w:t>
      </w:r>
    </w:p>
    <w:p w14:paraId="2494374A" w14:textId="77777777" w:rsidR="0039739C" w:rsidRDefault="007E62DB" w:rsidP="00C96177">
      <w:pPr>
        <w:numPr>
          <w:ilvl w:val="0"/>
          <w:numId w:val="3"/>
        </w:numPr>
        <w:spacing w:before="120" w:line="360" w:lineRule="auto"/>
        <w:jc w:val="both"/>
      </w:pPr>
      <w:r>
        <w:t xml:space="preserve">The issues in this case all concern errors of law. These issues engage the Appeal Judge’s decision that the evidence at trial was not sufficient to convict CHL, rather than issues of fact. As such, the standard of review applied to each error should be correctness. </w:t>
      </w:r>
    </w:p>
    <w:p w14:paraId="6519D3D1" w14:textId="77777777" w:rsidR="0039739C" w:rsidRDefault="007E62DB" w:rsidP="00C96177">
      <w:pPr>
        <w:spacing w:after="120" w:line="360" w:lineRule="auto"/>
        <w:ind w:firstLine="720"/>
        <w:jc w:val="right"/>
        <w:rPr>
          <w:sz w:val="20"/>
          <w:szCs w:val="20"/>
        </w:rPr>
      </w:pPr>
      <w:r>
        <w:rPr>
          <w:i/>
          <w:iCs/>
          <w:sz w:val="20"/>
          <w:szCs w:val="20"/>
        </w:rPr>
        <w:t>Housen v Nikolaisen</w:t>
      </w:r>
      <w:r>
        <w:rPr>
          <w:sz w:val="20"/>
          <w:szCs w:val="20"/>
        </w:rPr>
        <w:t>, 2002 SCC 33 at para 9.</w:t>
      </w:r>
    </w:p>
    <w:p w14:paraId="2ADFF323" w14:textId="77777777" w:rsidR="0039739C" w:rsidRDefault="007E62DB">
      <w:pPr>
        <w:pStyle w:val="Heading2"/>
        <w:spacing w:before="240" w:after="240" w:line="360" w:lineRule="auto"/>
        <w:jc w:val="both"/>
        <w:rPr>
          <w:u w:val="single"/>
        </w:rPr>
      </w:pPr>
      <w:bookmarkStart w:id="17" w:name="_heading=h.maj7c829suc3" w:colFirst="0" w:colLast="0"/>
      <w:bookmarkEnd w:id="17"/>
      <w:r>
        <w:t xml:space="preserve">C. Error One: The OCJ Erred in Failing to Rely on the Blanding’s Turtle </w:t>
      </w:r>
      <w:r>
        <w:t>Sightings</w:t>
      </w:r>
    </w:p>
    <w:p w14:paraId="6C7F4301" w14:textId="77777777" w:rsidR="0039739C" w:rsidRDefault="007E62DB">
      <w:pPr>
        <w:numPr>
          <w:ilvl w:val="0"/>
          <w:numId w:val="3"/>
        </w:numPr>
        <w:spacing w:before="120" w:after="120" w:line="360" w:lineRule="auto"/>
        <w:jc w:val="both"/>
      </w:pPr>
      <w:r>
        <w:t xml:space="preserve">There are three reasons why the Appeal Judge erred in finding that the Trial Judge should not have relied on the evidence of sightings. First, dismissing the sightings goes against the purpose of the </w:t>
      </w:r>
      <w:r>
        <w:rPr>
          <w:i/>
          <w:iCs/>
        </w:rPr>
        <w:t>ESA</w:t>
      </w:r>
      <w:r>
        <w:t xml:space="preserve">. Second, the Trial Judge’s decision on the sightings was not given proper deference. Third, the Appeal Judge had no legal basis in dismissing the 2020 sighting.  </w:t>
      </w:r>
    </w:p>
    <w:p w14:paraId="693A6D87" w14:textId="77777777" w:rsidR="0039739C" w:rsidRDefault="007E62DB">
      <w:pPr>
        <w:pStyle w:val="Heading3"/>
        <w:spacing w:after="240"/>
        <w:ind w:left="0"/>
        <w:jc w:val="both"/>
        <w:rPr>
          <w:b/>
          <w:bCs/>
        </w:rPr>
      </w:pPr>
      <w:bookmarkStart w:id="18" w:name="_heading=h.owt2edfzo3ap" w:colFirst="0" w:colLast="0"/>
      <w:bookmarkEnd w:id="18"/>
      <w:r>
        <w:rPr>
          <w:b/>
          <w:bCs/>
        </w:rPr>
        <w:lastRenderedPageBreak/>
        <w:t xml:space="preserve">(i) The Legislative Purpose of the </w:t>
      </w:r>
      <w:r>
        <w:rPr>
          <w:b/>
          <w:bCs/>
          <w:i/>
          <w:iCs/>
        </w:rPr>
        <w:t>ESA</w:t>
      </w:r>
      <w:r>
        <w:rPr>
          <w:b/>
          <w:bCs/>
        </w:rPr>
        <w:t xml:space="preserve"> Requires Community Involvement</w:t>
      </w:r>
    </w:p>
    <w:p w14:paraId="0188D11A" w14:textId="77777777" w:rsidR="0039739C" w:rsidRDefault="007E62DB" w:rsidP="00C96177">
      <w:pPr>
        <w:numPr>
          <w:ilvl w:val="0"/>
          <w:numId w:val="3"/>
        </w:numPr>
        <w:spacing w:before="120" w:line="360" w:lineRule="auto"/>
        <w:jc w:val="both"/>
      </w:pPr>
      <w:r>
        <w:t xml:space="preserve">Dismissing the evidence of sightings betrays the purpose of the </w:t>
      </w:r>
      <w:r>
        <w:rPr>
          <w:i/>
          <w:iCs/>
        </w:rPr>
        <w:t>ESA</w:t>
      </w:r>
      <w:r>
        <w:t xml:space="preserve">. The purpose of the </w:t>
      </w:r>
      <w:r>
        <w:rPr>
          <w:i/>
          <w:iCs/>
        </w:rPr>
        <w:t>ESA</w:t>
      </w:r>
      <w:r>
        <w:t xml:space="preserve"> views community knowledge as crucial in the identification of species, as much as scientific information. The NIHC database uses community knowledge to collect information on sightings, making it a key factor in establishing the presence of a species within an area.</w:t>
      </w:r>
    </w:p>
    <w:p w14:paraId="78CA8BFD" w14:textId="77777777" w:rsidR="0039739C" w:rsidRDefault="007E62DB" w:rsidP="00C96177">
      <w:pPr>
        <w:spacing w:after="120" w:line="360" w:lineRule="auto"/>
        <w:jc w:val="right"/>
        <w:rPr>
          <w:sz w:val="20"/>
          <w:szCs w:val="20"/>
        </w:rPr>
      </w:pPr>
      <w:r>
        <w:rPr>
          <w:i/>
          <w:iCs/>
          <w:sz w:val="20"/>
          <w:szCs w:val="20"/>
        </w:rPr>
        <w:t>ESA</w:t>
      </w:r>
      <w:r>
        <w:rPr>
          <w:sz w:val="20"/>
          <w:szCs w:val="20"/>
        </w:rPr>
        <w:t xml:space="preserve">, </w:t>
      </w:r>
      <w:r>
        <w:rPr>
          <w:i/>
          <w:iCs/>
          <w:sz w:val="20"/>
          <w:szCs w:val="20"/>
        </w:rPr>
        <w:t>supra</w:t>
      </w:r>
      <w:r>
        <w:rPr>
          <w:sz w:val="20"/>
          <w:szCs w:val="20"/>
        </w:rPr>
        <w:t xml:space="preserve"> para 1, s 1.</w:t>
      </w:r>
    </w:p>
    <w:p w14:paraId="0D6955EF" w14:textId="77777777" w:rsidR="0039739C" w:rsidRDefault="007E62DB" w:rsidP="00C96177">
      <w:pPr>
        <w:numPr>
          <w:ilvl w:val="0"/>
          <w:numId w:val="3"/>
        </w:numPr>
        <w:spacing w:before="120" w:line="360" w:lineRule="auto"/>
        <w:jc w:val="both"/>
      </w:pPr>
      <w:r>
        <w:t xml:space="preserve">A “generous interpretation” of the </w:t>
      </w:r>
      <w:r>
        <w:rPr>
          <w:i/>
          <w:iCs/>
        </w:rPr>
        <w:t>ESA</w:t>
      </w:r>
      <w:r>
        <w:t xml:space="preserve"> is important regarding the evidence of sightings. Sightings do not exist in a vacuum, and must be understood in the larger context of a species’ lifespan, habitat, and behaviour. A court cannot only consider sightings occurring at the time of the offence. Rather, courts must undertake a broad overview of the evidence, keeping in mind the long lifespan of Blanding’s turtles, which can be 70-80 years long. </w:t>
      </w:r>
    </w:p>
    <w:p w14:paraId="1D127BC8" w14:textId="77777777" w:rsidR="0039739C" w:rsidRDefault="007E62DB" w:rsidP="00C96177">
      <w:pPr>
        <w:spacing w:after="120" w:line="240" w:lineRule="auto"/>
        <w:ind w:firstLine="720"/>
        <w:jc w:val="right"/>
        <w:rPr>
          <w:sz w:val="20"/>
          <w:szCs w:val="20"/>
        </w:rPr>
      </w:pPr>
      <w:r>
        <w:rPr>
          <w:i/>
          <w:iCs/>
          <w:sz w:val="20"/>
          <w:szCs w:val="20"/>
        </w:rPr>
        <w:t>Castonguay, supra</w:t>
      </w:r>
      <w:r>
        <w:rPr>
          <w:sz w:val="20"/>
          <w:szCs w:val="20"/>
        </w:rPr>
        <w:t xml:space="preserve"> para 46 at para 9.</w:t>
      </w:r>
    </w:p>
    <w:p w14:paraId="692365D8" w14:textId="77777777" w:rsidR="0039739C" w:rsidRDefault="007E62DB">
      <w:pPr>
        <w:spacing w:before="120" w:after="120" w:line="240" w:lineRule="auto"/>
        <w:ind w:left="720"/>
        <w:jc w:val="right"/>
        <w:rPr>
          <w:sz w:val="20"/>
          <w:szCs w:val="20"/>
        </w:rPr>
      </w:pPr>
      <w:r>
        <w:rPr>
          <w:i/>
          <w:iCs/>
          <w:sz w:val="20"/>
          <w:szCs w:val="20"/>
        </w:rPr>
        <w:t>South Bruce</w:t>
      </w:r>
      <w:r>
        <w:rPr>
          <w:sz w:val="20"/>
          <w:szCs w:val="20"/>
        </w:rPr>
        <w:t xml:space="preserve">, </w:t>
      </w:r>
      <w:r>
        <w:rPr>
          <w:i/>
          <w:iCs/>
          <w:sz w:val="20"/>
          <w:szCs w:val="20"/>
        </w:rPr>
        <w:t>supra</w:t>
      </w:r>
      <w:r>
        <w:rPr>
          <w:sz w:val="20"/>
          <w:szCs w:val="20"/>
        </w:rPr>
        <w:t xml:space="preserve"> para 46 at 30.  </w:t>
      </w:r>
    </w:p>
    <w:p w14:paraId="0E070688" w14:textId="77777777" w:rsidR="0039739C" w:rsidRDefault="007E62DB">
      <w:pPr>
        <w:spacing w:after="240" w:line="240" w:lineRule="auto"/>
        <w:jc w:val="right"/>
        <w:rPr>
          <w:sz w:val="20"/>
          <w:szCs w:val="20"/>
        </w:rPr>
      </w:pPr>
      <w:r>
        <w:rPr>
          <w:sz w:val="20"/>
          <w:szCs w:val="20"/>
        </w:rPr>
        <w:t>Examination-in-Chief of Shamus Snell  p. 55, ll. 3-18, Crown’s Motion Record at Tab 7.</w:t>
      </w:r>
    </w:p>
    <w:p w14:paraId="3E925AEF" w14:textId="77777777" w:rsidR="0039739C" w:rsidRDefault="007E62DB">
      <w:pPr>
        <w:numPr>
          <w:ilvl w:val="0"/>
          <w:numId w:val="3"/>
        </w:numPr>
        <w:spacing w:before="120" w:after="120" w:line="360" w:lineRule="auto"/>
        <w:jc w:val="both"/>
      </w:pPr>
      <w:r>
        <w:t xml:space="preserve">In keeping with the purpose of the </w:t>
      </w:r>
      <w:r>
        <w:rPr>
          <w:i/>
          <w:iCs/>
        </w:rPr>
        <w:t>ESA</w:t>
      </w:r>
      <w:r>
        <w:t xml:space="preserve">, community knowledge and scientific knowledge go hand-in-hand when identifying species. Therefore, the sightings provided by community members show evidence confirming the continual existence of Blanding’s turtles in the area. This is consistent with the scientific information available. </w:t>
      </w:r>
    </w:p>
    <w:p w14:paraId="0FB76043" w14:textId="77777777" w:rsidR="0039739C" w:rsidRDefault="007E62DB">
      <w:pPr>
        <w:numPr>
          <w:ilvl w:val="0"/>
          <w:numId w:val="3"/>
        </w:numPr>
        <w:spacing w:before="120" w:after="120" w:line="360" w:lineRule="auto"/>
        <w:jc w:val="both"/>
      </w:pPr>
      <w:r>
        <w:t xml:space="preserve">A sighting of a Blanding’s turtle should provide clear and sufficient evidence of the species’ presence in the area. The available science clearly suggests that if turtles have been seen in 2007, 2017, and 2020, then their habitation of the area has been continuous. </w:t>
      </w:r>
    </w:p>
    <w:p w14:paraId="08F4B13A" w14:textId="77777777" w:rsidR="0039739C" w:rsidRDefault="007E62DB">
      <w:pPr>
        <w:numPr>
          <w:ilvl w:val="0"/>
          <w:numId w:val="3"/>
        </w:numPr>
        <w:spacing w:before="120" w:after="120" w:line="360" w:lineRule="auto"/>
        <w:jc w:val="both"/>
      </w:pPr>
      <w:r>
        <w:t xml:space="preserve">The conclusion that Blanding’s turtles were present at the time of the offence in 2018 is not an arbitrary one. Evidence of Blanding’s turtles prior to the offence and after the offence establishes a thorough evidentiary foundation to infer habitation. </w:t>
      </w:r>
    </w:p>
    <w:p w14:paraId="2E3FAB1B" w14:textId="77777777" w:rsidR="0039739C" w:rsidRDefault="007E62DB">
      <w:pPr>
        <w:numPr>
          <w:ilvl w:val="0"/>
          <w:numId w:val="3"/>
        </w:numPr>
        <w:spacing w:before="120" w:after="120" w:line="360" w:lineRule="auto"/>
        <w:jc w:val="both"/>
      </w:pPr>
      <w:r>
        <w:t xml:space="preserve">A holistic interpretation of both scientific information and community sightings is sufficient proof to identify a species under the </w:t>
      </w:r>
      <w:r>
        <w:rPr>
          <w:i/>
          <w:iCs/>
        </w:rPr>
        <w:t>ESA</w:t>
      </w:r>
      <w:r>
        <w:t xml:space="preserve">. This should equally suffice to identify the continued presence of a species in its habitat. </w:t>
      </w:r>
    </w:p>
    <w:p w14:paraId="5B93E4A7" w14:textId="77777777" w:rsidR="0039739C" w:rsidRDefault="007E62DB">
      <w:pPr>
        <w:pStyle w:val="Heading3"/>
        <w:spacing w:after="240"/>
        <w:ind w:left="0"/>
        <w:jc w:val="both"/>
        <w:rPr>
          <w:b/>
          <w:bCs/>
        </w:rPr>
      </w:pPr>
      <w:bookmarkStart w:id="19" w:name="_heading=h.an91w6dur0e" w:colFirst="0" w:colLast="0"/>
      <w:bookmarkEnd w:id="19"/>
      <w:r>
        <w:rPr>
          <w:b/>
          <w:bCs/>
        </w:rPr>
        <w:lastRenderedPageBreak/>
        <w:t xml:space="preserve">(ii) The Trial Judge’s Assessment of the Evidence is Owed Deference </w:t>
      </w:r>
    </w:p>
    <w:p w14:paraId="53B7BD33" w14:textId="77777777" w:rsidR="0039739C" w:rsidRDefault="007E62DB" w:rsidP="00C96177">
      <w:pPr>
        <w:numPr>
          <w:ilvl w:val="0"/>
          <w:numId w:val="3"/>
        </w:numPr>
        <w:spacing w:before="120" w:line="360" w:lineRule="auto"/>
        <w:jc w:val="both"/>
      </w:pPr>
      <w:r>
        <w:t xml:space="preserve">The Trial Judge accepted and placed heavy reliance on the Snell Evidence. Mr. Snell relied on the sightings to conclude the area was a category 2 habitat. The Trial Judge’s treatment of the Snell Evidence is entitled to deference by the Court of Appeal. </w:t>
      </w:r>
    </w:p>
    <w:p w14:paraId="4AE221E5" w14:textId="77777777" w:rsidR="0039739C" w:rsidRDefault="007E62DB" w:rsidP="00C96177">
      <w:pPr>
        <w:spacing w:after="120" w:line="360" w:lineRule="auto"/>
        <w:jc w:val="right"/>
      </w:pPr>
      <w:r>
        <w:rPr>
          <w:sz w:val="20"/>
          <w:szCs w:val="20"/>
        </w:rPr>
        <w:t xml:space="preserve">Trial Decision, </w:t>
      </w:r>
      <w:r>
        <w:rPr>
          <w:i/>
          <w:iCs/>
          <w:sz w:val="20"/>
          <w:szCs w:val="20"/>
        </w:rPr>
        <w:t>supra</w:t>
      </w:r>
      <w:r>
        <w:rPr>
          <w:sz w:val="20"/>
          <w:szCs w:val="20"/>
        </w:rPr>
        <w:t xml:space="preserve"> para 7 at 7-8.</w:t>
      </w:r>
    </w:p>
    <w:p w14:paraId="603B3C42" w14:textId="77777777" w:rsidR="0039739C" w:rsidRDefault="007E62DB" w:rsidP="00C96177">
      <w:pPr>
        <w:numPr>
          <w:ilvl w:val="0"/>
          <w:numId w:val="3"/>
        </w:numPr>
        <w:spacing w:before="120" w:line="360" w:lineRule="auto"/>
        <w:jc w:val="both"/>
      </w:pPr>
      <w:r>
        <w:t xml:space="preserve">Mr. Snell’s testimony relied on the sightings provided in the NHIC database. The sightings provide tangible evidence that Blanding’s turtles used the area. All the witness’ testimonies support the conclusion that the Grubbed Area is a category 2 habitat. The sightings, the testimony, and the Snell Evidence allow the trier-of-fact to infer that the turtles resided in the area. </w:t>
      </w:r>
    </w:p>
    <w:p w14:paraId="5B83A9A9" w14:textId="77777777" w:rsidR="0039739C" w:rsidRDefault="007E62DB">
      <w:pPr>
        <w:spacing w:after="240"/>
        <w:jc w:val="right"/>
        <w:rPr>
          <w:sz w:val="20"/>
          <w:szCs w:val="20"/>
        </w:rPr>
      </w:pPr>
      <w:r>
        <w:rPr>
          <w:sz w:val="20"/>
          <w:szCs w:val="20"/>
        </w:rPr>
        <w:t xml:space="preserve">Examination-in-Chief of Shamus Snell, </w:t>
      </w:r>
      <w:r>
        <w:rPr>
          <w:i/>
          <w:iCs/>
          <w:sz w:val="20"/>
          <w:szCs w:val="20"/>
        </w:rPr>
        <w:t xml:space="preserve">supra </w:t>
      </w:r>
      <w:r>
        <w:rPr>
          <w:sz w:val="20"/>
          <w:szCs w:val="20"/>
        </w:rPr>
        <w:t>para 8, at p. 53-54, ll. 3-18, Crown’s Motion Record at Tab 7.</w:t>
      </w:r>
    </w:p>
    <w:p w14:paraId="651091A2" w14:textId="77777777" w:rsidR="0039739C" w:rsidRDefault="007E62DB">
      <w:pPr>
        <w:numPr>
          <w:ilvl w:val="0"/>
          <w:numId w:val="3"/>
        </w:numPr>
        <w:spacing w:before="120" w:line="360" w:lineRule="auto"/>
        <w:jc w:val="both"/>
      </w:pPr>
      <w:r>
        <w:t xml:space="preserve">In </w:t>
      </w:r>
      <w:r>
        <w:rPr>
          <w:i/>
          <w:iCs/>
        </w:rPr>
        <w:t>South Bruce</w:t>
      </w:r>
      <w:r>
        <w:t xml:space="preserve">, a case concerning habitat disruption under the </w:t>
      </w:r>
      <w:r>
        <w:rPr>
          <w:i/>
          <w:iCs/>
        </w:rPr>
        <w:t>ESA</w:t>
      </w:r>
      <w:r>
        <w:t xml:space="preserve">, the ONCA afforded “significant deference” to the Trial Judge in admitting an expert witness and in relying on their testimony. In the case at bar, the Trial Judge’s assessment of the expert evidence is equally owed deference, and as such Mr. Snell’s testimony deserves weight. </w:t>
      </w:r>
    </w:p>
    <w:p w14:paraId="47AFDA81" w14:textId="77777777" w:rsidR="0039739C" w:rsidRDefault="007E62DB">
      <w:pPr>
        <w:spacing w:after="120" w:line="360" w:lineRule="auto"/>
        <w:jc w:val="right"/>
      </w:pPr>
      <w:r>
        <w:tab/>
      </w:r>
      <w:r>
        <w:rPr>
          <w:i/>
          <w:iCs/>
          <w:sz w:val="20"/>
          <w:szCs w:val="20"/>
        </w:rPr>
        <w:t>South Bruce</w:t>
      </w:r>
      <w:r>
        <w:rPr>
          <w:sz w:val="20"/>
          <w:szCs w:val="20"/>
        </w:rPr>
        <w:t xml:space="preserve">, </w:t>
      </w:r>
      <w:r>
        <w:rPr>
          <w:i/>
          <w:iCs/>
          <w:sz w:val="20"/>
          <w:szCs w:val="20"/>
        </w:rPr>
        <w:t>supra</w:t>
      </w:r>
      <w:r>
        <w:rPr>
          <w:sz w:val="20"/>
          <w:szCs w:val="20"/>
        </w:rPr>
        <w:t xml:space="preserve"> 46 at para 58.</w:t>
      </w:r>
    </w:p>
    <w:p w14:paraId="405E5ADC" w14:textId="77777777" w:rsidR="0039739C" w:rsidRDefault="007E62DB">
      <w:pPr>
        <w:numPr>
          <w:ilvl w:val="0"/>
          <w:numId w:val="3"/>
        </w:numPr>
        <w:spacing w:line="360" w:lineRule="auto"/>
        <w:jc w:val="both"/>
      </w:pPr>
      <w:r>
        <w:t xml:space="preserve">In </w:t>
      </w:r>
      <w:r>
        <w:rPr>
          <w:i/>
          <w:iCs/>
        </w:rPr>
        <w:t>Lavallee</w:t>
      </w:r>
      <w:r>
        <w:t xml:space="preserve">, a leading case on expert testimony, the Court held that expert witnesses can “assist the fact-finder in drawing inferences in areas where the expert has relevant knowledge or experience beyond that of the lay person”. Mr. Snell’s expert testimony used the sightings to draw a reliable inference that the Blanding’s turtles used the Grubbed Area as their habitat. </w:t>
      </w:r>
    </w:p>
    <w:p w14:paraId="7ED07525" w14:textId="77777777" w:rsidR="0039739C" w:rsidRDefault="007E62DB" w:rsidP="00C96177">
      <w:pPr>
        <w:spacing w:after="120" w:line="360" w:lineRule="auto"/>
        <w:ind w:firstLine="720"/>
        <w:jc w:val="right"/>
      </w:pPr>
      <w:r>
        <w:rPr>
          <w:i/>
          <w:iCs/>
          <w:sz w:val="20"/>
          <w:szCs w:val="20"/>
        </w:rPr>
        <w:t>R v Lavallee</w:t>
      </w:r>
      <w:r>
        <w:rPr>
          <w:sz w:val="20"/>
          <w:szCs w:val="20"/>
        </w:rPr>
        <w:t>, [1990] 1 SCR 852</w:t>
      </w:r>
      <w:r>
        <w:rPr>
          <w:i/>
          <w:iCs/>
          <w:sz w:val="20"/>
          <w:szCs w:val="20"/>
        </w:rPr>
        <w:t xml:space="preserve"> </w:t>
      </w:r>
      <w:r>
        <w:rPr>
          <w:sz w:val="20"/>
          <w:szCs w:val="20"/>
        </w:rPr>
        <w:t>at para 66, [1990] CanLII 95 (SCC) [</w:t>
      </w:r>
      <w:r>
        <w:rPr>
          <w:i/>
          <w:iCs/>
          <w:sz w:val="20"/>
          <w:szCs w:val="20"/>
        </w:rPr>
        <w:t>Lavallee</w:t>
      </w:r>
      <w:r>
        <w:rPr>
          <w:sz w:val="20"/>
          <w:szCs w:val="20"/>
        </w:rPr>
        <w:t>].</w:t>
      </w:r>
    </w:p>
    <w:p w14:paraId="1E2B1ABC" w14:textId="77777777" w:rsidR="0039739C" w:rsidRDefault="007E62DB">
      <w:pPr>
        <w:numPr>
          <w:ilvl w:val="0"/>
          <w:numId w:val="3"/>
        </w:numPr>
        <w:spacing w:before="120" w:after="120" w:line="360" w:lineRule="auto"/>
        <w:jc w:val="both"/>
      </w:pPr>
      <w:r>
        <w:t>The large span of time between the first sighting in 2007 and the most recent one in 2020 is not a sufficient basis to diminish the relevance and weight of these sightings. The credibility of Mr. Snell as an expert, who relied on these sightings as evidence, buttresses their relevance.</w:t>
      </w:r>
    </w:p>
    <w:p w14:paraId="76AD4F5F" w14:textId="77777777" w:rsidR="0039739C" w:rsidRDefault="007E62DB">
      <w:pPr>
        <w:pStyle w:val="Heading3"/>
        <w:spacing w:after="240"/>
        <w:ind w:left="0"/>
        <w:jc w:val="both"/>
        <w:rPr>
          <w:b/>
          <w:bCs/>
        </w:rPr>
      </w:pPr>
      <w:bookmarkStart w:id="20" w:name="_heading=h.7g55p7n26m7g" w:colFirst="0" w:colLast="0"/>
      <w:bookmarkEnd w:id="20"/>
      <w:r>
        <w:rPr>
          <w:b/>
          <w:bCs/>
        </w:rPr>
        <w:t>(iii) No Legal Justification to Dismiss “After-the-Fact” Evidence</w:t>
      </w:r>
    </w:p>
    <w:p w14:paraId="71CAEEBD" w14:textId="77777777" w:rsidR="0039739C" w:rsidRDefault="007E62DB">
      <w:pPr>
        <w:numPr>
          <w:ilvl w:val="0"/>
          <w:numId w:val="3"/>
        </w:numPr>
        <w:spacing w:line="360" w:lineRule="auto"/>
        <w:jc w:val="both"/>
      </w:pPr>
      <w:r>
        <w:t xml:space="preserve">The Appeal Judge erred in dismissing Ms. Badilla’s sighting on the basis that it was “evidence after the fact”. Both the Appeal Judge and CHL failed to explain why the evidence should be dismissed due to its temporality. The Appeal Judge referred to s.2(2) of the </w:t>
      </w:r>
      <w:r>
        <w:rPr>
          <w:i/>
          <w:iCs/>
        </w:rPr>
        <w:t>ESA</w:t>
      </w:r>
      <w:r>
        <w:t xml:space="preserve"> to dismiss Ms. Badilla’s testimony. However, that section only excludes habitat where a species </w:t>
      </w:r>
      <w:r>
        <w:lastRenderedPageBreak/>
        <w:t>“formerly occurred” or has “potential to be reintroduced”. Neither the Ontario</w:t>
      </w:r>
      <w:r>
        <w:rPr>
          <w:i/>
          <w:iCs/>
        </w:rPr>
        <w:t xml:space="preserve"> Evidence Act</w:t>
      </w:r>
      <w:r>
        <w:t xml:space="preserve"> nor the </w:t>
      </w:r>
      <w:r>
        <w:rPr>
          <w:i/>
          <w:iCs/>
        </w:rPr>
        <w:t>Canada Evidence Act</w:t>
      </w:r>
      <w:r>
        <w:t xml:space="preserve"> disqualify after the fact evidence.</w:t>
      </w:r>
    </w:p>
    <w:p w14:paraId="1135B2D6" w14:textId="77777777" w:rsidR="0039739C" w:rsidRDefault="007E62DB">
      <w:pPr>
        <w:spacing w:after="120" w:line="240" w:lineRule="auto"/>
        <w:ind w:left="720"/>
        <w:jc w:val="right"/>
        <w:rPr>
          <w:i/>
          <w:iCs/>
          <w:sz w:val="20"/>
          <w:szCs w:val="20"/>
        </w:rPr>
      </w:pPr>
      <w:r>
        <w:rPr>
          <w:sz w:val="20"/>
          <w:szCs w:val="20"/>
        </w:rPr>
        <w:t xml:space="preserve">Appeal Decision, </w:t>
      </w:r>
      <w:r>
        <w:rPr>
          <w:i/>
          <w:iCs/>
          <w:sz w:val="20"/>
          <w:szCs w:val="20"/>
        </w:rPr>
        <w:t>supra</w:t>
      </w:r>
      <w:r>
        <w:rPr>
          <w:sz w:val="20"/>
          <w:szCs w:val="20"/>
        </w:rPr>
        <w:t xml:space="preserve"> para 8 at 16.</w:t>
      </w:r>
    </w:p>
    <w:p w14:paraId="541A7E0E" w14:textId="77777777" w:rsidR="0039739C" w:rsidRDefault="007E62DB">
      <w:pPr>
        <w:spacing w:after="120" w:line="240" w:lineRule="auto"/>
        <w:ind w:left="720"/>
        <w:jc w:val="right"/>
        <w:rPr>
          <w:sz w:val="20"/>
          <w:szCs w:val="20"/>
        </w:rPr>
      </w:pPr>
      <w:r>
        <w:rPr>
          <w:i/>
          <w:iCs/>
          <w:sz w:val="20"/>
          <w:szCs w:val="20"/>
        </w:rPr>
        <w:t>Evidence Act</w:t>
      </w:r>
      <w:r>
        <w:rPr>
          <w:sz w:val="20"/>
          <w:szCs w:val="20"/>
        </w:rPr>
        <w:t>, RSO 1990, c E 23.</w:t>
      </w:r>
    </w:p>
    <w:p w14:paraId="1762AF69" w14:textId="77777777" w:rsidR="0039739C" w:rsidRDefault="007E62DB">
      <w:pPr>
        <w:shd w:val="clear" w:color="auto" w:fill="FFFFFF"/>
        <w:spacing w:before="120" w:after="240" w:line="240" w:lineRule="auto"/>
        <w:jc w:val="right"/>
        <w:rPr>
          <w:sz w:val="20"/>
          <w:szCs w:val="20"/>
        </w:rPr>
      </w:pPr>
      <w:r>
        <w:rPr>
          <w:i/>
          <w:iCs/>
          <w:sz w:val="20"/>
          <w:szCs w:val="20"/>
        </w:rPr>
        <w:t>Canada Evidence Act</w:t>
      </w:r>
      <w:r>
        <w:rPr>
          <w:sz w:val="20"/>
          <w:szCs w:val="20"/>
        </w:rPr>
        <w:t>, RSC 1985, c C-5.</w:t>
      </w:r>
    </w:p>
    <w:p w14:paraId="3FF01E32" w14:textId="77777777" w:rsidR="0039739C" w:rsidRDefault="007E62DB">
      <w:pPr>
        <w:numPr>
          <w:ilvl w:val="0"/>
          <w:numId w:val="3"/>
        </w:numPr>
        <w:spacing w:before="120" w:line="360" w:lineRule="auto"/>
        <w:jc w:val="both"/>
      </w:pPr>
      <w:r>
        <w:t xml:space="preserve">In criminal law, post-offence conduct is regularly admitted as a form of circumstantial evidence upon which the trier-of-fact can form inferences regarding an accused’s state of mind. This type of evidence shows that courts do consider after-the-fact evidence and its relevance. The admissibility of post-offence conduct hinges on the logical relevance of the evidence to the material issue. The issue in this case does not concern an accused’s state of mind but nonetheless concerns evidence occurring after an </w:t>
      </w:r>
      <w:r>
        <w:t xml:space="preserve">offence. </w:t>
      </w:r>
    </w:p>
    <w:p w14:paraId="79C32FD7" w14:textId="77777777" w:rsidR="0039739C" w:rsidRDefault="007E62DB">
      <w:pPr>
        <w:spacing w:after="120" w:line="360" w:lineRule="auto"/>
        <w:jc w:val="right"/>
      </w:pPr>
      <w:r>
        <w:rPr>
          <w:i/>
          <w:iCs/>
          <w:sz w:val="20"/>
          <w:szCs w:val="20"/>
        </w:rPr>
        <w:t>R v White</w:t>
      </w:r>
      <w:r>
        <w:rPr>
          <w:sz w:val="20"/>
          <w:szCs w:val="20"/>
        </w:rPr>
        <w:t>, 2011 SCC 13 at</w:t>
      </w:r>
      <w:r>
        <w:rPr>
          <w:i/>
          <w:iCs/>
          <w:sz w:val="20"/>
          <w:szCs w:val="20"/>
        </w:rPr>
        <w:t xml:space="preserve"> </w:t>
      </w:r>
      <w:r>
        <w:rPr>
          <w:sz w:val="20"/>
          <w:szCs w:val="20"/>
        </w:rPr>
        <w:t>paras 22, 31, and 36 [</w:t>
      </w:r>
      <w:r>
        <w:rPr>
          <w:i/>
          <w:iCs/>
          <w:sz w:val="20"/>
          <w:szCs w:val="20"/>
        </w:rPr>
        <w:t>White</w:t>
      </w:r>
      <w:r>
        <w:rPr>
          <w:sz w:val="20"/>
          <w:szCs w:val="20"/>
        </w:rPr>
        <w:t>].</w:t>
      </w:r>
    </w:p>
    <w:p w14:paraId="500F367A" w14:textId="77777777" w:rsidR="0039739C" w:rsidRDefault="007E62DB">
      <w:pPr>
        <w:numPr>
          <w:ilvl w:val="0"/>
          <w:numId w:val="3"/>
        </w:numPr>
        <w:spacing w:before="120" w:after="120" w:line="360" w:lineRule="auto"/>
        <w:jc w:val="both"/>
      </w:pPr>
      <w:r>
        <w:t xml:space="preserve">There is no indication in the </w:t>
      </w:r>
      <w:r>
        <w:rPr>
          <w:i/>
          <w:iCs/>
        </w:rPr>
        <w:t>ESA</w:t>
      </w:r>
      <w:r>
        <w:t xml:space="preserve"> or the Ontario</w:t>
      </w:r>
      <w:r>
        <w:rPr>
          <w:i/>
          <w:iCs/>
        </w:rPr>
        <w:t xml:space="preserve"> Evidence Act</w:t>
      </w:r>
      <w:r>
        <w:t xml:space="preserve"> prohibiting a judge from considering after-the-fact evidence in cases related to the </w:t>
      </w:r>
      <w:r>
        <w:rPr>
          <w:i/>
          <w:iCs/>
        </w:rPr>
        <w:t>ESA</w:t>
      </w:r>
      <w:r>
        <w:t>. Canadian jurisprudence holds that evidence is not inherently tied to temporal limitations in relation to the related offence. As such, the Court should consider the wider temporal scope of evidence concerning endangered species.</w:t>
      </w:r>
    </w:p>
    <w:p w14:paraId="72A9CB65" w14:textId="77777777" w:rsidR="0039739C" w:rsidRDefault="007E62DB">
      <w:pPr>
        <w:numPr>
          <w:ilvl w:val="0"/>
          <w:numId w:val="3"/>
        </w:numPr>
        <w:spacing w:line="360" w:lineRule="auto"/>
        <w:jc w:val="both"/>
      </w:pPr>
      <w:r>
        <w:t>Blanding’s turtles live long and stay within their habitat. Therefore, limiting the scope of admissible evidence to sightings within a specific time-frame would go against the most up-to-date scientific opinion. Canadian jurisprudence routinely admits after-the-fact evidence; the inclusion of scientifically important post-offence evidence should be no exception.</w:t>
      </w:r>
    </w:p>
    <w:p w14:paraId="76ECE32A" w14:textId="77777777" w:rsidR="0039739C" w:rsidRDefault="007E62DB">
      <w:pPr>
        <w:spacing w:before="120" w:after="120" w:line="240" w:lineRule="auto"/>
        <w:jc w:val="right"/>
      </w:pPr>
      <w:r>
        <w:rPr>
          <w:sz w:val="20"/>
          <w:szCs w:val="20"/>
        </w:rPr>
        <w:t xml:space="preserve">Examination-in-Chief of Shamus Snell, </w:t>
      </w:r>
      <w:r>
        <w:rPr>
          <w:i/>
          <w:iCs/>
          <w:sz w:val="20"/>
          <w:szCs w:val="20"/>
        </w:rPr>
        <w:t>supra</w:t>
      </w:r>
      <w:r>
        <w:rPr>
          <w:sz w:val="20"/>
          <w:szCs w:val="20"/>
        </w:rPr>
        <w:t xml:space="preserve"> para 8, p. 55, ll. 3-18, Crown’s Motion Record at Tab 7.</w:t>
      </w:r>
    </w:p>
    <w:p w14:paraId="78D3BDA9" w14:textId="77777777" w:rsidR="0039739C" w:rsidRDefault="007E62DB">
      <w:pPr>
        <w:spacing w:after="120" w:line="360" w:lineRule="auto"/>
        <w:jc w:val="right"/>
      </w:pPr>
      <w:r>
        <w:tab/>
      </w:r>
      <w:r>
        <w:rPr>
          <w:i/>
          <w:iCs/>
          <w:sz w:val="20"/>
          <w:szCs w:val="20"/>
        </w:rPr>
        <w:t>R v White</w:t>
      </w:r>
      <w:r>
        <w:rPr>
          <w:sz w:val="20"/>
          <w:szCs w:val="20"/>
        </w:rPr>
        <w:t xml:space="preserve"> at</w:t>
      </w:r>
      <w:r>
        <w:rPr>
          <w:i/>
          <w:iCs/>
          <w:sz w:val="20"/>
          <w:szCs w:val="20"/>
        </w:rPr>
        <w:t xml:space="preserve"> </w:t>
      </w:r>
      <w:r>
        <w:rPr>
          <w:sz w:val="20"/>
          <w:szCs w:val="20"/>
        </w:rPr>
        <w:t>paras 22, 31, and 36.</w:t>
      </w:r>
    </w:p>
    <w:p w14:paraId="6E2002E3" w14:textId="77777777" w:rsidR="0039739C" w:rsidRDefault="007E62DB">
      <w:pPr>
        <w:numPr>
          <w:ilvl w:val="0"/>
          <w:numId w:val="3"/>
        </w:numPr>
        <w:spacing w:before="120" w:after="120" w:line="360" w:lineRule="auto"/>
        <w:jc w:val="both"/>
      </w:pPr>
      <w:r>
        <w:t>Ms. Badilla’s evidence deserves significant weight, even if the sighting occurred after the offence. When considering the evidence of (i) Blanding’s turtles’ extensive life span, and (ii) witness testimony of the Grubbed Area being a likely category 2 habitat, Ms. Badilla’s evidence shows proof of Blanding’s turtle habitation of the Grubbed Area.</w:t>
      </w:r>
    </w:p>
    <w:p w14:paraId="5D1BC077" w14:textId="77777777" w:rsidR="0039739C" w:rsidRDefault="007E62DB">
      <w:pPr>
        <w:pStyle w:val="Heading2"/>
        <w:spacing w:before="240" w:after="240" w:line="360" w:lineRule="auto"/>
        <w:jc w:val="both"/>
        <w:rPr>
          <w:u w:val="single"/>
        </w:rPr>
      </w:pPr>
      <w:bookmarkStart w:id="21" w:name="_heading=h.f0zffoarceqe" w:colFirst="0" w:colLast="0"/>
      <w:bookmarkEnd w:id="21"/>
      <w:r>
        <w:rPr>
          <w:u w:val="single"/>
        </w:rPr>
        <w:t xml:space="preserve">D. Error Two: The OCJ Erred in Failing to Rely on the GHD to Clarify the </w:t>
      </w:r>
      <w:r>
        <w:rPr>
          <w:i/>
          <w:iCs/>
          <w:u w:val="single"/>
        </w:rPr>
        <w:t>ESA</w:t>
      </w:r>
    </w:p>
    <w:p w14:paraId="0CB374C4" w14:textId="77777777" w:rsidR="0039739C" w:rsidRDefault="007E62DB">
      <w:pPr>
        <w:numPr>
          <w:ilvl w:val="0"/>
          <w:numId w:val="3"/>
        </w:numPr>
        <w:spacing w:before="120" w:line="360" w:lineRule="auto"/>
        <w:jc w:val="both"/>
      </w:pPr>
      <w:r>
        <w:t xml:space="preserve">The GHD is an important technical document, instrumental to all </w:t>
      </w:r>
      <w:r>
        <w:rPr>
          <w:i/>
          <w:iCs/>
        </w:rPr>
        <w:t xml:space="preserve">ESA </w:t>
      </w:r>
      <w:r>
        <w:t xml:space="preserve">cases, that provides an accurate and detailed definition of habitat, specific to the species at issue. It was an error for the </w:t>
      </w:r>
      <w:r>
        <w:lastRenderedPageBreak/>
        <w:t xml:space="preserve">OCJ to dismiss the GHD on the basis that it is  “not a legal instrument” and not a “legal document”. The classification of the GHD as a non-legal document is immaterial to its relevance. The statutory definition of ‘habitat’ lacks the necessary precision to rule on species-specific matters. Scientific documents are crucial in the application of the </w:t>
      </w:r>
      <w:r>
        <w:rPr>
          <w:i/>
          <w:iCs/>
        </w:rPr>
        <w:t xml:space="preserve">ESA </w:t>
      </w:r>
      <w:r>
        <w:t>to prosecutorial cases.</w:t>
      </w:r>
    </w:p>
    <w:p w14:paraId="5B934D61" w14:textId="77777777" w:rsidR="0039739C" w:rsidRDefault="007E62DB" w:rsidP="00C96177">
      <w:pPr>
        <w:spacing w:after="240" w:line="360" w:lineRule="auto"/>
        <w:jc w:val="right"/>
      </w:pPr>
      <w:r>
        <w:rPr>
          <w:sz w:val="20"/>
          <w:szCs w:val="20"/>
        </w:rPr>
        <w:t xml:space="preserve">Appeal Decision, </w:t>
      </w:r>
      <w:r>
        <w:rPr>
          <w:i/>
          <w:iCs/>
          <w:sz w:val="20"/>
          <w:szCs w:val="20"/>
        </w:rPr>
        <w:t>supra</w:t>
      </w:r>
      <w:r>
        <w:rPr>
          <w:sz w:val="20"/>
          <w:szCs w:val="20"/>
        </w:rPr>
        <w:t xml:space="preserve"> para 8 at 8.</w:t>
      </w:r>
    </w:p>
    <w:p w14:paraId="3D0C7BB3" w14:textId="77777777" w:rsidR="0039739C" w:rsidRDefault="007E62DB">
      <w:pPr>
        <w:pStyle w:val="Heading3"/>
        <w:spacing w:before="120" w:after="240"/>
        <w:ind w:left="0"/>
        <w:jc w:val="both"/>
        <w:rPr>
          <w:b/>
          <w:bCs/>
        </w:rPr>
      </w:pPr>
      <w:bookmarkStart w:id="22" w:name="_heading=h.xlhvrvwdxw71" w:colFirst="0" w:colLast="0"/>
      <w:bookmarkEnd w:id="22"/>
      <w:r>
        <w:rPr>
          <w:b/>
          <w:bCs/>
        </w:rPr>
        <w:t xml:space="preserve">(i) The </w:t>
      </w:r>
      <w:r>
        <w:rPr>
          <w:b/>
          <w:bCs/>
          <w:i/>
          <w:iCs/>
        </w:rPr>
        <w:t>ESA</w:t>
      </w:r>
      <w:r>
        <w:rPr>
          <w:b/>
          <w:bCs/>
        </w:rPr>
        <w:t xml:space="preserve"> Habitat Definition Requires Clarification </w:t>
      </w:r>
    </w:p>
    <w:p w14:paraId="22F2465D" w14:textId="77777777" w:rsidR="0039739C" w:rsidRDefault="007E62DB">
      <w:pPr>
        <w:numPr>
          <w:ilvl w:val="0"/>
          <w:numId w:val="3"/>
        </w:numPr>
        <w:spacing w:before="120" w:after="120" w:line="360" w:lineRule="auto"/>
        <w:jc w:val="both"/>
      </w:pPr>
      <w:r>
        <w:t xml:space="preserve">Existing case law states that “habitats can be specifically defined” in situations involving the </w:t>
      </w:r>
      <w:r>
        <w:rPr>
          <w:i/>
          <w:iCs/>
        </w:rPr>
        <w:t xml:space="preserve">ESA </w:t>
      </w:r>
      <w:r>
        <w:t>(</w:t>
      </w:r>
      <w:r>
        <w:rPr>
          <w:i/>
          <w:iCs/>
        </w:rPr>
        <w:t>Marmora and Lake</w:t>
      </w:r>
      <w:r>
        <w:t xml:space="preserve">). Ontario’s </w:t>
      </w:r>
      <w:r>
        <w:rPr>
          <w:i/>
          <w:iCs/>
        </w:rPr>
        <w:t>ESA</w:t>
      </w:r>
      <w:r>
        <w:t xml:space="preserve"> guidelines state that “determining whether a proposed activity will damage or destroy habitat will generally need to be done on a species-by-species, case-by-case basis” (The Guidelines). Species-specific decisions cannot hinge on a general statutory definition — they must be anchored in particularized data. </w:t>
      </w:r>
    </w:p>
    <w:p w14:paraId="43822A70" w14:textId="77777777" w:rsidR="0039739C" w:rsidRDefault="007E62DB" w:rsidP="00C96177">
      <w:pPr>
        <w:spacing w:after="120" w:line="240" w:lineRule="auto"/>
        <w:ind w:left="720"/>
        <w:jc w:val="right"/>
        <w:rPr>
          <w:sz w:val="20"/>
          <w:szCs w:val="20"/>
        </w:rPr>
      </w:pPr>
      <w:r>
        <w:rPr>
          <w:i/>
          <w:iCs/>
          <w:sz w:val="20"/>
          <w:szCs w:val="20"/>
        </w:rPr>
        <w:t>The Corporation of the Municipality of Marmora and Lake v His Majesty the King in Right of Ontario</w:t>
      </w:r>
      <w:r>
        <w:rPr>
          <w:sz w:val="20"/>
          <w:szCs w:val="20"/>
        </w:rPr>
        <w:t>, 2024 ONSC 2254 at para 47 [</w:t>
      </w:r>
      <w:r>
        <w:rPr>
          <w:i/>
          <w:iCs/>
          <w:sz w:val="20"/>
          <w:szCs w:val="20"/>
        </w:rPr>
        <w:t>Marmora and Lake</w:t>
      </w:r>
      <w:r>
        <w:rPr>
          <w:sz w:val="20"/>
          <w:szCs w:val="20"/>
        </w:rPr>
        <w:t>].</w:t>
      </w:r>
    </w:p>
    <w:p w14:paraId="73A2DD8E" w14:textId="77777777" w:rsidR="0039739C" w:rsidRDefault="007E62DB">
      <w:pPr>
        <w:spacing w:before="120" w:after="240" w:line="240" w:lineRule="auto"/>
        <w:ind w:left="720"/>
        <w:jc w:val="right"/>
        <w:rPr>
          <w:sz w:val="20"/>
          <w:szCs w:val="20"/>
        </w:rPr>
      </w:pPr>
      <w:r>
        <w:rPr>
          <w:sz w:val="20"/>
          <w:szCs w:val="20"/>
        </w:rPr>
        <w:t xml:space="preserve">Province of Ontario, Ministry of the Environment, Conservation, and Parks, </w:t>
      </w:r>
      <w:r>
        <w:rPr>
          <w:i/>
          <w:iCs/>
          <w:sz w:val="20"/>
          <w:szCs w:val="20"/>
        </w:rPr>
        <w:t>Categorizing and Protecting Habitat under the Endangered Species Act</w:t>
      </w:r>
      <w:r>
        <w:rPr>
          <w:sz w:val="20"/>
          <w:szCs w:val="20"/>
        </w:rPr>
        <w:t xml:space="preserve">, </w:t>
      </w:r>
      <w:r>
        <w:rPr>
          <w:sz w:val="20"/>
          <w:szCs w:val="20"/>
        </w:rPr>
        <w:br/>
        <w:t xml:space="preserve">(Ottawa: King’s Printer for Ontario, 2015), s 4 [The Guidelines]. </w:t>
      </w:r>
    </w:p>
    <w:p w14:paraId="4A1A8CBE" w14:textId="77777777" w:rsidR="0039739C" w:rsidRDefault="007E62DB">
      <w:pPr>
        <w:numPr>
          <w:ilvl w:val="0"/>
          <w:numId w:val="3"/>
        </w:numPr>
        <w:spacing w:before="120" w:after="120" w:line="360" w:lineRule="auto"/>
        <w:jc w:val="both"/>
      </w:pPr>
      <w:r>
        <w:t xml:space="preserve">The habitat definition in the </w:t>
      </w:r>
      <w:r>
        <w:rPr>
          <w:i/>
          <w:iCs/>
        </w:rPr>
        <w:t>ESA</w:t>
      </w:r>
      <w:r>
        <w:t xml:space="preserve"> lacks sufficient detail to provide proper clarification for every species under the SRO List. A detailed document like the GHD provides the necessary information to properly identify a category 2 Blanding’s turtle habitat. The GHD is based on the habitat definition found in the </w:t>
      </w:r>
      <w:r>
        <w:rPr>
          <w:i/>
          <w:iCs/>
        </w:rPr>
        <w:t>ESA</w:t>
      </w:r>
      <w:r>
        <w:t xml:space="preserve">. The contents of the GHD are not in contradiction to the Act’s definition of habitat. </w:t>
      </w:r>
    </w:p>
    <w:p w14:paraId="77962E1C" w14:textId="77777777" w:rsidR="0039739C" w:rsidRDefault="007E62DB">
      <w:pPr>
        <w:numPr>
          <w:ilvl w:val="0"/>
          <w:numId w:val="3"/>
        </w:numPr>
        <w:spacing w:before="120" w:line="360" w:lineRule="auto"/>
        <w:jc w:val="both"/>
      </w:pPr>
      <w:r>
        <w:t xml:space="preserve">The GHD particularizes the ‘habitat’ definition of the </w:t>
      </w:r>
      <w:r>
        <w:rPr>
          <w:i/>
          <w:iCs/>
        </w:rPr>
        <w:t>ESA</w:t>
      </w:r>
      <w:r>
        <w:t xml:space="preserve"> to facilitate a species-by-species, case-by-case analysis of the issue at bar. The OCJ qualified the GHD as providing “generic non-specific information”. While the GHD does not specifically concern the Circle Lake area, the GHD’s data on Blanding’s turtles is specific. The Trial Judge relied on the GHD’s definition of the category 2 habitat to make her decision since it was grounded in credible scientific information. In relying on up-to-date scientific information, the Trial Judge was making a decision</w:t>
      </w:r>
      <w:r>
        <w:t xml:space="preserve"> aligned with the purpose of the </w:t>
      </w:r>
      <w:r>
        <w:rPr>
          <w:i/>
          <w:iCs/>
        </w:rPr>
        <w:t>Act</w:t>
      </w:r>
      <w:r>
        <w:t xml:space="preserve">. </w:t>
      </w:r>
    </w:p>
    <w:p w14:paraId="5773E740" w14:textId="77777777" w:rsidR="0039739C" w:rsidRDefault="007E62DB">
      <w:pPr>
        <w:spacing w:after="120" w:line="240" w:lineRule="auto"/>
        <w:ind w:left="720"/>
        <w:jc w:val="right"/>
      </w:pPr>
      <w:r>
        <w:rPr>
          <w:sz w:val="20"/>
          <w:szCs w:val="20"/>
        </w:rPr>
        <w:t xml:space="preserve">Appeal Decision, </w:t>
      </w:r>
      <w:r>
        <w:rPr>
          <w:i/>
          <w:iCs/>
          <w:sz w:val="20"/>
          <w:szCs w:val="20"/>
        </w:rPr>
        <w:t>supra</w:t>
      </w:r>
      <w:r>
        <w:rPr>
          <w:sz w:val="20"/>
          <w:szCs w:val="20"/>
        </w:rPr>
        <w:t xml:space="preserve"> para 8 at 8.</w:t>
      </w:r>
    </w:p>
    <w:p w14:paraId="147B5E7D" w14:textId="77777777" w:rsidR="0039739C" w:rsidRDefault="007E62DB">
      <w:pPr>
        <w:spacing w:before="120" w:after="240" w:line="240" w:lineRule="auto"/>
        <w:ind w:left="720"/>
        <w:jc w:val="right"/>
        <w:rPr>
          <w:sz w:val="20"/>
          <w:szCs w:val="20"/>
        </w:rPr>
      </w:pPr>
      <w:r>
        <w:rPr>
          <w:sz w:val="20"/>
          <w:szCs w:val="20"/>
        </w:rPr>
        <w:t xml:space="preserve">The Guidelines, </w:t>
      </w:r>
      <w:r>
        <w:rPr>
          <w:i/>
          <w:iCs/>
          <w:sz w:val="20"/>
          <w:szCs w:val="20"/>
        </w:rPr>
        <w:t>supra</w:t>
      </w:r>
      <w:r>
        <w:rPr>
          <w:sz w:val="20"/>
          <w:szCs w:val="20"/>
        </w:rPr>
        <w:t xml:space="preserve"> para 68, s 4.</w:t>
      </w:r>
      <w:r>
        <w:rPr>
          <w:i/>
          <w:iCs/>
          <w:sz w:val="20"/>
          <w:szCs w:val="20"/>
        </w:rPr>
        <w:t xml:space="preserve"> </w:t>
      </w:r>
    </w:p>
    <w:p w14:paraId="5BE4ABE3" w14:textId="77777777" w:rsidR="0039739C" w:rsidRDefault="007E62DB" w:rsidP="00C96177">
      <w:pPr>
        <w:numPr>
          <w:ilvl w:val="0"/>
          <w:numId w:val="3"/>
        </w:numPr>
        <w:spacing w:before="120" w:line="360" w:lineRule="auto"/>
        <w:jc w:val="both"/>
      </w:pPr>
      <w:r>
        <w:lastRenderedPageBreak/>
        <w:t xml:space="preserve">The </w:t>
      </w:r>
      <w:r>
        <w:rPr>
          <w:i/>
          <w:iCs/>
        </w:rPr>
        <w:t xml:space="preserve">ESA </w:t>
      </w:r>
      <w:r>
        <w:t xml:space="preserve">does not mandate GHDs, but it does mandate recovery strategies. Under s. 11(4) of the </w:t>
      </w:r>
      <w:r>
        <w:rPr>
          <w:i/>
          <w:iCs/>
        </w:rPr>
        <w:t>ESA,</w:t>
      </w:r>
      <w:r>
        <w:t xml:space="preserve"> a recovery strategy must be created one or two years after a species has been added to the SRO List. Under s. 11(2)(1)(i) of the </w:t>
      </w:r>
      <w:r>
        <w:rPr>
          <w:i/>
          <w:iCs/>
        </w:rPr>
        <w:t>ESA</w:t>
      </w:r>
      <w:r>
        <w:t xml:space="preserve">, the recovery strategy must include an identification of the species’ habitat. The Blanding’s turtle recovery strategy cited the GHD and its importance in clarifying the definition of habitat in the </w:t>
      </w:r>
      <w:r>
        <w:rPr>
          <w:i/>
          <w:iCs/>
        </w:rPr>
        <w:t>ESA</w:t>
      </w:r>
      <w:r>
        <w:t>. The GHD informs legally mandated documents relevant to Blanding’s turtle’s habit</w:t>
      </w:r>
      <w:r>
        <w:t xml:space="preserve">at. Therefore, the GHD is instrumental in fulfilling the conditions of the </w:t>
      </w:r>
      <w:r>
        <w:rPr>
          <w:i/>
          <w:iCs/>
        </w:rPr>
        <w:t>Act</w:t>
      </w:r>
      <w:r>
        <w:t xml:space="preserve"> and its purpose. </w:t>
      </w:r>
    </w:p>
    <w:p w14:paraId="6EA3126E" w14:textId="77777777" w:rsidR="0039739C" w:rsidRDefault="007E62DB" w:rsidP="00C96177">
      <w:pPr>
        <w:spacing w:after="120" w:line="240" w:lineRule="auto"/>
        <w:jc w:val="right"/>
        <w:rPr>
          <w:sz w:val="20"/>
          <w:szCs w:val="20"/>
        </w:rPr>
      </w:pPr>
      <w:r>
        <w:rPr>
          <w:sz w:val="20"/>
          <w:szCs w:val="20"/>
        </w:rPr>
        <w:t>Province of Ontario, Ministry of the Environment,</w:t>
      </w:r>
      <w:r>
        <w:rPr>
          <w:i/>
          <w:iCs/>
          <w:sz w:val="20"/>
          <w:szCs w:val="20"/>
        </w:rPr>
        <w:t xml:space="preserve"> Conservation, and Parks, Blanding’s turtle: Ontario Recovery Strategy Series, </w:t>
      </w:r>
      <w:r>
        <w:rPr>
          <w:sz w:val="20"/>
          <w:szCs w:val="20"/>
        </w:rPr>
        <w:t>(Queen’s Printer for Ontario 2019).</w:t>
      </w:r>
    </w:p>
    <w:p w14:paraId="0107068B" w14:textId="77777777" w:rsidR="0039739C" w:rsidRDefault="007E62DB">
      <w:pPr>
        <w:spacing w:before="120" w:after="120" w:line="360" w:lineRule="auto"/>
        <w:ind w:firstLine="720"/>
        <w:jc w:val="right"/>
        <w:rPr>
          <w:sz w:val="20"/>
          <w:szCs w:val="20"/>
        </w:rPr>
      </w:pPr>
      <w:r>
        <w:rPr>
          <w:i/>
          <w:iCs/>
          <w:sz w:val="20"/>
          <w:szCs w:val="20"/>
        </w:rPr>
        <w:t>ESA</w:t>
      </w:r>
      <w:r>
        <w:rPr>
          <w:sz w:val="20"/>
          <w:szCs w:val="20"/>
        </w:rPr>
        <w:t>,</w:t>
      </w:r>
      <w:r>
        <w:rPr>
          <w:i/>
          <w:iCs/>
          <w:sz w:val="20"/>
          <w:szCs w:val="20"/>
        </w:rPr>
        <w:t xml:space="preserve"> supra</w:t>
      </w:r>
      <w:r>
        <w:rPr>
          <w:sz w:val="20"/>
          <w:szCs w:val="20"/>
        </w:rPr>
        <w:t xml:space="preserve"> para 1, ss 11(4) and (2)(1)(i) as it appeared on August 2018.</w:t>
      </w:r>
    </w:p>
    <w:p w14:paraId="0592AA49" w14:textId="77777777" w:rsidR="0039739C" w:rsidRDefault="007E62DB">
      <w:pPr>
        <w:numPr>
          <w:ilvl w:val="0"/>
          <w:numId w:val="3"/>
        </w:numPr>
        <w:spacing w:line="360" w:lineRule="auto"/>
        <w:jc w:val="both"/>
      </w:pPr>
      <w:r>
        <w:t xml:space="preserve">The third purpose of the </w:t>
      </w:r>
      <w:r>
        <w:rPr>
          <w:i/>
          <w:iCs/>
        </w:rPr>
        <w:t>ESA</w:t>
      </w:r>
      <w:r>
        <w:t xml:space="preserve"> is to “promote stewardship activities to assist in the protection and recovery of species that are at risk”. The GHD, while not required by statute, is a form of stewardship activity that supports the legislation in its efforts. The GHD is an important scientific document that allows researchers, Ministry officers, biologists, experts, concerned citizens, and developers to have access to important scientific information in an accessible manner. This fulfills the </w:t>
      </w:r>
      <w:r>
        <w:rPr>
          <w:i/>
          <w:iCs/>
        </w:rPr>
        <w:t>ESA</w:t>
      </w:r>
      <w:r>
        <w:t>’s purpose as it assists in the protectio</w:t>
      </w:r>
      <w:r>
        <w:t>n of Blanding’s turtles.</w:t>
      </w:r>
    </w:p>
    <w:p w14:paraId="669B774E" w14:textId="77777777" w:rsidR="0039739C" w:rsidRDefault="007E62DB">
      <w:pPr>
        <w:spacing w:line="360" w:lineRule="auto"/>
        <w:jc w:val="right"/>
      </w:pPr>
      <w:r>
        <w:rPr>
          <w:i/>
          <w:iCs/>
          <w:sz w:val="20"/>
          <w:szCs w:val="20"/>
        </w:rPr>
        <w:t>ESA</w:t>
      </w:r>
      <w:r>
        <w:rPr>
          <w:sz w:val="20"/>
          <w:szCs w:val="20"/>
        </w:rPr>
        <w:t xml:space="preserve">, </w:t>
      </w:r>
      <w:r>
        <w:rPr>
          <w:i/>
          <w:iCs/>
          <w:sz w:val="20"/>
          <w:szCs w:val="20"/>
        </w:rPr>
        <w:t>supra</w:t>
      </w:r>
      <w:r>
        <w:rPr>
          <w:sz w:val="20"/>
          <w:szCs w:val="20"/>
        </w:rPr>
        <w:t xml:space="preserve"> para 1, s 1 as it appeared on August 2018.</w:t>
      </w:r>
      <w:r>
        <w:t xml:space="preserve"> </w:t>
      </w:r>
    </w:p>
    <w:p w14:paraId="753CC6EF" w14:textId="77777777" w:rsidR="0039739C" w:rsidRDefault="007E62DB" w:rsidP="00C96177">
      <w:pPr>
        <w:numPr>
          <w:ilvl w:val="0"/>
          <w:numId w:val="3"/>
        </w:numPr>
        <w:spacing w:before="120" w:line="360" w:lineRule="auto"/>
        <w:jc w:val="both"/>
      </w:pPr>
      <w:r>
        <w:t xml:space="preserve">The Appeal Judge owed significant deference to the Trial Judge’s decision on the admissibility of the GHD via the Snell Evidence. There is “no error in principle, materially misapprehended evidence, or an unreasonably reached conclusion” that justifies interfering with the Trial Judge’s discretion regarding admissibility. </w:t>
      </w:r>
    </w:p>
    <w:p w14:paraId="37A8AE05" w14:textId="77777777" w:rsidR="0039739C" w:rsidRDefault="007E62DB" w:rsidP="00C96177">
      <w:pPr>
        <w:spacing w:after="240" w:line="360" w:lineRule="auto"/>
        <w:jc w:val="right"/>
      </w:pPr>
      <w:r>
        <w:tab/>
      </w:r>
      <w:r>
        <w:tab/>
      </w:r>
      <w:r>
        <w:rPr>
          <w:i/>
          <w:iCs/>
          <w:sz w:val="20"/>
          <w:szCs w:val="20"/>
        </w:rPr>
        <w:t>R v Mills</w:t>
      </w:r>
      <w:r>
        <w:rPr>
          <w:sz w:val="20"/>
          <w:szCs w:val="20"/>
        </w:rPr>
        <w:t>, 2019 ONCA 940 at para 47.</w:t>
      </w:r>
    </w:p>
    <w:p w14:paraId="5D28BE92" w14:textId="77777777" w:rsidR="0039739C" w:rsidRDefault="007E62DB">
      <w:pPr>
        <w:numPr>
          <w:ilvl w:val="0"/>
          <w:numId w:val="3"/>
        </w:numPr>
        <w:spacing w:before="120" w:after="120" w:line="360" w:lineRule="auto"/>
        <w:jc w:val="both"/>
      </w:pPr>
      <w:r>
        <w:t xml:space="preserve">It is essential to the public interest that this Court corrects this error of law, and attributes significant weight to the GHD. Not attributing weight to government issued scientific information clarifying a legislative definition would have a chilling effect on subsequent cases under the </w:t>
      </w:r>
      <w:r>
        <w:rPr>
          <w:i/>
          <w:iCs/>
        </w:rPr>
        <w:t>ESA</w:t>
      </w:r>
      <w:r>
        <w:t xml:space="preserve">. Cases of this nature require species-specific definitions of habitat made based on the most up-to-date scientific information. Effective prosecution under the </w:t>
      </w:r>
      <w:r>
        <w:rPr>
          <w:i/>
          <w:iCs/>
        </w:rPr>
        <w:t>ESA</w:t>
      </w:r>
      <w:r>
        <w:t xml:space="preserve"> requires up-to-date science to adapt to the rapidly changing environmental issues in Canada. </w:t>
      </w:r>
    </w:p>
    <w:p w14:paraId="7F23CF30" w14:textId="77777777" w:rsidR="0039739C" w:rsidRDefault="007E62DB" w:rsidP="00C96177">
      <w:pPr>
        <w:numPr>
          <w:ilvl w:val="0"/>
          <w:numId w:val="3"/>
        </w:numPr>
        <w:spacing w:before="120" w:line="360" w:lineRule="auto"/>
        <w:jc w:val="both"/>
      </w:pPr>
      <w:r>
        <w:t xml:space="preserve">The </w:t>
      </w:r>
      <w:r>
        <w:rPr>
          <w:i/>
          <w:iCs/>
        </w:rPr>
        <w:t>ESA’s</w:t>
      </w:r>
      <w:r>
        <w:t xml:space="preserve"> preamble states that scientific uncertainty cannot be a justification for inaction. Accordingly, when scientific information is available, the courts should afford such evidence significant weight. Deference to scientific evidence and experts, with appropriate scrutiny, can </w:t>
      </w:r>
      <w:r>
        <w:lastRenderedPageBreak/>
        <w:t>“counterweigh the pressure of private economic interests on public agencies”. Giving weight to scientific evidence, like the GHD, ensures that the purposes of environmental legislation can be accomplished.  The inclusion of scienti</w:t>
      </w:r>
      <w:r>
        <w:t xml:space="preserve">fic evidence in </w:t>
      </w:r>
      <w:r>
        <w:rPr>
          <w:i/>
          <w:iCs/>
        </w:rPr>
        <w:t>ESA</w:t>
      </w:r>
      <w:r>
        <w:t xml:space="preserve"> cases supports the growing cultural premium placed on environmental protection. </w:t>
      </w:r>
    </w:p>
    <w:p w14:paraId="1BD050B6" w14:textId="77777777" w:rsidR="0039739C" w:rsidRDefault="007E62DB" w:rsidP="00C96177">
      <w:pPr>
        <w:spacing w:after="120" w:line="240" w:lineRule="auto"/>
        <w:ind w:left="720"/>
        <w:jc w:val="right"/>
        <w:rPr>
          <w:sz w:val="20"/>
          <w:szCs w:val="20"/>
        </w:rPr>
      </w:pPr>
      <w:r>
        <w:rPr>
          <w:sz w:val="20"/>
          <w:szCs w:val="20"/>
        </w:rPr>
        <w:t>Jason MacLean &amp; Chris Tollefson, “Climate-Proofing Judicial Review after Paris: Judicial Competence and Courage” (2018) 31 J Envtl. L. &amp; Prac. 245.</w:t>
      </w:r>
    </w:p>
    <w:p w14:paraId="21B51BBA" w14:textId="77777777" w:rsidR="0039739C" w:rsidRDefault="007E62DB">
      <w:pPr>
        <w:spacing w:before="120" w:after="120" w:line="360" w:lineRule="auto"/>
        <w:ind w:firstLine="720"/>
        <w:jc w:val="right"/>
        <w:rPr>
          <w:sz w:val="20"/>
          <w:szCs w:val="20"/>
        </w:rPr>
      </w:pPr>
      <w:r>
        <w:rPr>
          <w:i/>
          <w:iCs/>
          <w:sz w:val="20"/>
          <w:szCs w:val="20"/>
        </w:rPr>
        <w:t>ESA</w:t>
      </w:r>
      <w:r>
        <w:rPr>
          <w:sz w:val="20"/>
          <w:szCs w:val="20"/>
        </w:rPr>
        <w:t>,</w:t>
      </w:r>
      <w:r>
        <w:rPr>
          <w:i/>
          <w:iCs/>
          <w:sz w:val="20"/>
          <w:szCs w:val="20"/>
        </w:rPr>
        <w:t xml:space="preserve"> supra</w:t>
      </w:r>
      <w:r>
        <w:rPr>
          <w:sz w:val="20"/>
          <w:szCs w:val="20"/>
        </w:rPr>
        <w:t xml:space="preserve"> para 1, Preamble. </w:t>
      </w:r>
    </w:p>
    <w:p w14:paraId="3BF57E98" w14:textId="77777777" w:rsidR="0039739C" w:rsidRDefault="007E62DB">
      <w:pPr>
        <w:pStyle w:val="Heading2"/>
        <w:spacing w:before="240" w:after="240" w:line="360" w:lineRule="auto"/>
        <w:jc w:val="both"/>
        <w:rPr>
          <w:u w:val="single"/>
        </w:rPr>
      </w:pPr>
      <w:bookmarkStart w:id="23" w:name="_heading=h.pv38hueuqu8t" w:colFirst="0" w:colLast="0"/>
      <w:bookmarkEnd w:id="23"/>
      <w:r>
        <w:rPr>
          <w:u w:val="single"/>
        </w:rPr>
        <w:t>E. Error Three: The OCJ Failed to Consider Blanding’s Turtles’ Indirect Dependence</w:t>
      </w:r>
    </w:p>
    <w:p w14:paraId="540666C2" w14:textId="77777777" w:rsidR="0039739C" w:rsidRDefault="007E62DB">
      <w:pPr>
        <w:numPr>
          <w:ilvl w:val="0"/>
          <w:numId w:val="3"/>
        </w:numPr>
        <w:spacing w:before="120" w:after="120" w:line="360" w:lineRule="auto"/>
        <w:jc w:val="both"/>
      </w:pPr>
      <w:r>
        <w:t xml:space="preserve">The </w:t>
      </w:r>
      <w:r>
        <w:rPr>
          <w:i/>
          <w:iCs/>
        </w:rPr>
        <w:t>ESA</w:t>
      </w:r>
      <w:r>
        <w:t xml:space="preserve"> states that a species’ habitat includes areas on which it </w:t>
      </w:r>
      <w:r>
        <w:rPr>
          <w:i/>
          <w:iCs/>
        </w:rPr>
        <w:t>indirectly</w:t>
      </w:r>
      <w:r>
        <w:t xml:space="preserve"> depends to carry on its life processes. The Appeal Judge failed to consider ‘indirect dependence’, which must be construed broadly and purposively. Had the Appeal Judge correctly interpreted the statutory definition of “habitat” the Grubbed Area would be considered Blanding’s turtle habitat.</w:t>
      </w:r>
    </w:p>
    <w:p w14:paraId="14A0FCA4" w14:textId="77777777" w:rsidR="0039739C" w:rsidRDefault="007E62DB">
      <w:pPr>
        <w:pStyle w:val="Heading3"/>
        <w:spacing w:after="240"/>
        <w:ind w:left="0"/>
        <w:jc w:val="both"/>
        <w:rPr>
          <w:b/>
          <w:bCs/>
        </w:rPr>
      </w:pPr>
      <w:bookmarkStart w:id="24" w:name="_heading=h.psihwkwosk7n" w:colFirst="0" w:colLast="0"/>
      <w:bookmarkEnd w:id="24"/>
      <w:r>
        <w:rPr>
          <w:b/>
          <w:bCs/>
        </w:rPr>
        <w:t>(i) Interpretations of ‘Indirectly Depends” Suggest a Broad and Flexible Scheme</w:t>
      </w:r>
    </w:p>
    <w:p w14:paraId="7F08E316" w14:textId="77777777" w:rsidR="0039739C" w:rsidRDefault="007E62DB" w:rsidP="00C96177">
      <w:pPr>
        <w:keepLines/>
        <w:numPr>
          <w:ilvl w:val="0"/>
          <w:numId w:val="3"/>
        </w:numPr>
        <w:spacing w:before="120" w:line="360" w:lineRule="auto"/>
        <w:jc w:val="both"/>
      </w:pPr>
      <w:r>
        <w:t xml:space="preserve">​​There is little jurisprudence considering the phrase ‘indirectly depends’ in the context of the </w:t>
      </w:r>
      <w:r>
        <w:rPr>
          <w:i/>
          <w:iCs/>
        </w:rPr>
        <w:t>ESA.</w:t>
      </w:r>
      <w:r>
        <w:t xml:space="preserve"> A tribunal has found indirect habitat in limited, fact-dependent circumstances. Listed indirect harms include increased human activity, increased predation due to new roadways, and “alteration of physical conditions (e.g., light, heat, vibration, chemical).” Nevertheless, courts have considered the phrase in light of other legislation, like the </w:t>
      </w:r>
      <w:r>
        <w:rPr>
          <w:i/>
          <w:iCs/>
        </w:rPr>
        <w:t>Fisheries Act</w:t>
      </w:r>
      <w:r>
        <w:t>.</w:t>
      </w:r>
    </w:p>
    <w:p w14:paraId="12FCB616" w14:textId="77777777" w:rsidR="0039739C" w:rsidRDefault="007E62DB" w:rsidP="00C96177">
      <w:pPr>
        <w:keepLines/>
        <w:spacing w:before="120" w:line="240" w:lineRule="auto"/>
        <w:ind w:left="720"/>
        <w:jc w:val="right"/>
        <w:rPr>
          <w:color w:val="212223"/>
          <w:sz w:val="20"/>
          <w:szCs w:val="20"/>
          <w:highlight w:val="white"/>
        </w:rPr>
      </w:pPr>
      <w:r>
        <w:rPr>
          <w:i/>
          <w:iCs/>
          <w:sz w:val="20"/>
          <w:szCs w:val="20"/>
          <w:highlight w:val="white"/>
        </w:rPr>
        <w:t>Alliance to Protect Prince Edward County v Director</w:t>
      </w:r>
      <w:r>
        <w:rPr>
          <w:sz w:val="20"/>
          <w:szCs w:val="20"/>
          <w:highlight w:val="white"/>
        </w:rPr>
        <w:t xml:space="preserve">, </w:t>
      </w:r>
      <w:r>
        <w:rPr>
          <w:i/>
          <w:iCs/>
          <w:sz w:val="20"/>
          <w:szCs w:val="20"/>
          <w:highlight w:val="white"/>
        </w:rPr>
        <w:t>Ministry of the Environment</w:t>
      </w:r>
      <w:r>
        <w:rPr>
          <w:color w:val="212223"/>
          <w:sz w:val="20"/>
          <w:szCs w:val="20"/>
          <w:highlight w:val="white"/>
        </w:rPr>
        <w:t>, 2013 CarswellOnt 9187 (Ont Environ Rev Trib) at paras 259 and 263, [2013] OERTD No 40.</w:t>
      </w:r>
    </w:p>
    <w:p w14:paraId="03E21D79" w14:textId="77777777" w:rsidR="0039739C" w:rsidRDefault="007E62DB">
      <w:pPr>
        <w:spacing w:before="120" w:after="240" w:line="240" w:lineRule="auto"/>
        <w:ind w:firstLine="720"/>
        <w:jc w:val="right"/>
        <w:rPr>
          <w:color w:val="212223"/>
          <w:sz w:val="20"/>
          <w:szCs w:val="20"/>
          <w:highlight w:val="white"/>
        </w:rPr>
      </w:pPr>
      <w:r>
        <w:rPr>
          <w:i/>
          <w:iCs/>
          <w:sz w:val="20"/>
          <w:szCs w:val="20"/>
        </w:rPr>
        <w:t>Fisheries Act</w:t>
      </w:r>
      <w:r>
        <w:rPr>
          <w:sz w:val="20"/>
          <w:szCs w:val="20"/>
        </w:rPr>
        <w:t>, RSC, 1985, c F-14.</w:t>
      </w:r>
    </w:p>
    <w:p w14:paraId="14915645" w14:textId="77777777" w:rsidR="0039739C" w:rsidRDefault="007E62DB" w:rsidP="00C96177">
      <w:pPr>
        <w:numPr>
          <w:ilvl w:val="0"/>
          <w:numId w:val="3"/>
        </w:numPr>
        <w:spacing w:before="120" w:line="360" w:lineRule="auto"/>
        <w:jc w:val="both"/>
      </w:pPr>
      <w:r>
        <w:t xml:space="preserve">The </w:t>
      </w:r>
      <w:r>
        <w:rPr>
          <w:i/>
          <w:iCs/>
        </w:rPr>
        <w:t>Fisheries Act</w:t>
      </w:r>
      <w:r>
        <w:t xml:space="preserve"> defines “fish habitat” as “water frequented by fish and any other areas on which fish </w:t>
      </w:r>
      <w:r>
        <w:rPr>
          <w:u w:val="single"/>
        </w:rPr>
        <w:t>depend directly or indirectly</w:t>
      </w:r>
      <w:r>
        <w:t xml:space="preserve"> to carry out their life processes” [emphasis added].</w:t>
      </w:r>
    </w:p>
    <w:p w14:paraId="26A74818" w14:textId="77777777" w:rsidR="0039739C" w:rsidRDefault="007E62DB" w:rsidP="00C96177">
      <w:pPr>
        <w:spacing w:after="240" w:line="240" w:lineRule="auto"/>
        <w:ind w:firstLine="720"/>
        <w:jc w:val="right"/>
        <w:rPr>
          <w:sz w:val="20"/>
          <w:szCs w:val="20"/>
        </w:rPr>
      </w:pPr>
      <w:r>
        <w:rPr>
          <w:i/>
          <w:iCs/>
          <w:sz w:val="20"/>
          <w:szCs w:val="20"/>
        </w:rPr>
        <w:t>Fisheries Act</w:t>
      </w:r>
      <w:r>
        <w:rPr>
          <w:sz w:val="20"/>
          <w:szCs w:val="20"/>
        </w:rPr>
        <w:t>, s 2(1) “fish habitat”.</w:t>
      </w:r>
    </w:p>
    <w:p w14:paraId="7A858EF1" w14:textId="77777777" w:rsidR="0039739C" w:rsidRDefault="007E62DB" w:rsidP="00C96177">
      <w:pPr>
        <w:numPr>
          <w:ilvl w:val="0"/>
          <w:numId w:val="3"/>
        </w:numPr>
        <w:spacing w:before="120" w:line="360" w:lineRule="auto"/>
        <w:jc w:val="both"/>
      </w:pPr>
      <w:r>
        <w:t xml:space="preserve">Fish habitat extends beyond the actual water that fish inhabit. In </w:t>
      </w:r>
      <w:r>
        <w:rPr>
          <w:i/>
          <w:iCs/>
        </w:rPr>
        <w:t>R. v. High</w:t>
      </w:r>
      <w:r>
        <w:t>, the BC Supreme Court held that “fish habitat comprises not just the [envelope] of water occupied by a particular fish from time to time, but also the geography, hydrography, flora, and fauna that provides the fish with a place to live, and facilitates its [ability] to hatch, eat, grow, migrate, and ultimately reproduce.” Moreover, fish habitat also includes “the adjacent land and vegetation that contributes to” fish life processes (</w:t>
      </w:r>
      <w:r>
        <w:rPr>
          <w:i/>
          <w:iCs/>
        </w:rPr>
        <w:t>Larsen</w:t>
      </w:r>
      <w:r>
        <w:t>).</w:t>
      </w:r>
    </w:p>
    <w:p w14:paraId="70C9A5AA" w14:textId="77777777" w:rsidR="0039739C" w:rsidRDefault="007E62DB" w:rsidP="00C96177">
      <w:pPr>
        <w:spacing w:after="120" w:line="240" w:lineRule="auto"/>
        <w:ind w:firstLine="720"/>
        <w:jc w:val="right"/>
        <w:rPr>
          <w:sz w:val="20"/>
          <w:szCs w:val="20"/>
        </w:rPr>
      </w:pPr>
      <w:r>
        <w:rPr>
          <w:i/>
          <w:iCs/>
          <w:sz w:val="20"/>
          <w:szCs w:val="20"/>
        </w:rPr>
        <w:lastRenderedPageBreak/>
        <w:t>R v High</w:t>
      </w:r>
      <w:r>
        <w:rPr>
          <w:sz w:val="20"/>
          <w:szCs w:val="20"/>
        </w:rPr>
        <w:t>, 2003 BCSC 1723 at para 9.</w:t>
      </w:r>
    </w:p>
    <w:p w14:paraId="02E55D2D" w14:textId="77777777" w:rsidR="0039739C" w:rsidRDefault="007E62DB">
      <w:pPr>
        <w:spacing w:before="120" w:after="240" w:line="240" w:lineRule="auto"/>
        <w:ind w:firstLine="720"/>
        <w:jc w:val="right"/>
        <w:rPr>
          <w:sz w:val="20"/>
          <w:szCs w:val="20"/>
        </w:rPr>
      </w:pPr>
      <w:r>
        <w:rPr>
          <w:i/>
          <w:iCs/>
          <w:sz w:val="20"/>
          <w:szCs w:val="20"/>
        </w:rPr>
        <w:t>R v Larsen</w:t>
      </w:r>
      <w:r>
        <w:rPr>
          <w:sz w:val="20"/>
          <w:szCs w:val="20"/>
        </w:rPr>
        <w:t>, 2013 BCPC 92 at para 40 [</w:t>
      </w:r>
      <w:r>
        <w:rPr>
          <w:i/>
          <w:iCs/>
          <w:sz w:val="20"/>
          <w:szCs w:val="20"/>
        </w:rPr>
        <w:t>Larsen</w:t>
      </w:r>
      <w:r>
        <w:rPr>
          <w:sz w:val="20"/>
          <w:szCs w:val="20"/>
        </w:rPr>
        <w:t xml:space="preserve">]; affirmed in </w:t>
      </w:r>
      <w:r>
        <w:rPr>
          <w:i/>
          <w:iCs/>
          <w:sz w:val="20"/>
          <w:szCs w:val="20"/>
        </w:rPr>
        <w:t>R v Larsen</w:t>
      </w:r>
      <w:r>
        <w:rPr>
          <w:sz w:val="20"/>
          <w:szCs w:val="20"/>
        </w:rPr>
        <w:t>, 2014 BCSC 2084.</w:t>
      </w:r>
    </w:p>
    <w:p w14:paraId="343448E9" w14:textId="77777777" w:rsidR="0039739C" w:rsidRDefault="007E62DB" w:rsidP="00C96177">
      <w:pPr>
        <w:numPr>
          <w:ilvl w:val="0"/>
          <w:numId w:val="3"/>
        </w:numPr>
        <w:spacing w:before="120" w:line="360" w:lineRule="auto"/>
        <w:jc w:val="both"/>
      </w:pPr>
      <w:r>
        <w:t xml:space="preserve">Similarly, in </w:t>
      </w:r>
      <w:r>
        <w:rPr>
          <w:i/>
          <w:iCs/>
        </w:rPr>
        <w:t>R. v. Bowcott</w:t>
      </w:r>
      <w:r>
        <w:t>, the BC Supreme Court held that the phrase “on which fish depend directly or indirectly in order to carry out their life processes” means something more than “could possibly be used for”. There must be some requirement of actual dependence by actual fish such that “entire watersheds” are not included.</w:t>
      </w:r>
    </w:p>
    <w:p w14:paraId="54DDEA03" w14:textId="77777777" w:rsidR="0039739C" w:rsidRDefault="007E62DB" w:rsidP="00C96177">
      <w:pPr>
        <w:spacing w:after="120" w:line="360" w:lineRule="auto"/>
        <w:ind w:firstLine="720"/>
        <w:jc w:val="right"/>
        <w:rPr>
          <w:sz w:val="20"/>
          <w:szCs w:val="20"/>
        </w:rPr>
      </w:pPr>
      <w:r>
        <w:rPr>
          <w:i/>
          <w:iCs/>
          <w:sz w:val="20"/>
          <w:szCs w:val="20"/>
        </w:rPr>
        <w:t>R v Bowcott</w:t>
      </w:r>
      <w:r>
        <w:rPr>
          <w:sz w:val="20"/>
          <w:szCs w:val="20"/>
        </w:rPr>
        <w:t>, 1998 CanLII</w:t>
      </w:r>
      <w:r>
        <w:rPr>
          <w:sz w:val="20"/>
          <w:szCs w:val="20"/>
        </w:rPr>
        <w:t xml:space="preserve"> 999 (BCSC) at paras 19-22 [</w:t>
      </w:r>
      <w:r>
        <w:rPr>
          <w:i/>
          <w:iCs/>
          <w:sz w:val="20"/>
          <w:szCs w:val="20"/>
        </w:rPr>
        <w:t>Bowcott</w:t>
      </w:r>
      <w:r>
        <w:rPr>
          <w:sz w:val="20"/>
          <w:szCs w:val="20"/>
        </w:rPr>
        <w:t>].</w:t>
      </w:r>
    </w:p>
    <w:p w14:paraId="60675DFD" w14:textId="77777777" w:rsidR="0039739C" w:rsidRDefault="007E62DB" w:rsidP="00C96177">
      <w:pPr>
        <w:numPr>
          <w:ilvl w:val="0"/>
          <w:numId w:val="3"/>
        </w:numPr>
        <w:spacing w:before="120" w:line="360" w:lineRule="auto"/>
        <w:jc w:val="both"/>
      </w:pPr>
      <w:r>
        <w:t>These cases demonstrate a nuanced interpretation of indirect dependence. While fish do not inhabit streamside land, they indirectly depend on these areas such that any harm to them necessarily harms fish. This fact is balanced with the reality that Parliament “could not have intended that all lands, however distant from water, connected to fisheries that could be proven to have some influence on the water quality in relation to fisheries” be considered “habitat”.</w:t>
      </w:r>
    </w:p>
    <w:p w14:paraId="788D9823" w14:textId="77777777" w:rsidR="0039739C" w:rsidRDefault="007E62DB" w:rsidP="00C96177">
      <w:pPr>
        <w:spacing w:after="120" w:line="360" w:lineRule="auto"/>
        <w:ind w:firstLine="720"/>
        <w:jc w:val="right"/>
        <w:rPr>
          <w:sz w:val="20"/>
          <w:szCs w:val="20"/>
        </w:rPr>
      </w:pPr>
      <w:r>
        <w:rPr>
          <w:i/>
          <w:iCs/>
          <w:sz w:val="20"/>
          <w:szCs w:val="20"/>
        </w:rPr>
        <w:t>Bowcott</w:t>
      </w:r>
      <w:r>
        <w:rPr>
          <w:sz w:val="20"/>
          <w:szCs w:val="20"/>
        </w:rPr>
        <w:t xml:space="preserve">, </w:t>
      </w:r>
      <w:r>
        <w:rPr>
          <w:i/>
          <w:iCs/>
          <w:sz w:val="20"/>
          <w:szCs w:val="20"/>
        </w:rPr>
        <w:t>supra</w:t>
      </w:r>
      <w:r>
        <w:rPr>
          <w:sz w:val="20"/>
          <w:szCs w:val="20"/>
        </w:rPr>
        <w:t xml:space="preserve"> par 80 at para 19.</w:t>
      </w:r>
    </w:p>
    <w:p w14:paraId="6B125FC3" w14:textId="77777777" w:rsidR="0039739C" w:rsidRDefault="007E62DB" w:rsidP="00C96177">
      <w:pPr>
        <w:numPr>
          <w:ilvl w:val="0"/>
          <w:numId w:val="3"/>
        </w:numPr>
        <w:spacing w:before="120" w:line="360" w:lineRule="auto"/>
        <w:jc w:val="both"/>
      </w:pPr>
      <w:r>
        <w:t xml:space="preserve">The Appeal Judge erred by not applying such reasoning to the instant case. The Appeal Judge’s reasoning relies on this premise: an area is </w:t>
      </w:r>
      <w:r>
        <w:rPr>
          <w:i/>
          <w:iCs/>
        </w:rPr>
        <w:t>not</w:t>
      </w:r>
      <w:r>
        <w:t xml:space="preserve"> habitat if there is no evidence that a species occupies it. Mr. Snell agreed that he lacked proof the Grubbed Area was used for travel, nesting, or thermogenic activities by Blanding’s turtles. However, the Appeal Judge did not give sufficient consideration to Mr. Snell’s assertion that the impugned land was “functioning as habitat.” Mr. Snell’s contention coheres with the effect given to the definition of “fish habitat” — a species need not live on the impugned land to indirectly depend on it.</w:t>
      </w:r>
    </w:p>
    <w:p w14:paraId="3AF0AF01" w14:textId="77777777" w:rsidR="0039739C" w:rsidRDefault="007E62DB" w:rsidP="00C96177">
      <w:pPr>
        <w:spacing w:after="240" w:line="240" w:lineRule="auto"/>
        <w:jc w:val="right"/>
        <w:rPr>
          <w:sz w:val="20"/>
          <w:szCs w:val="20"/>
        </w:rPr>
      </w:pPr>
      <w:r>
        <w:rPr>
          <w:sz w:val="20"/>
          <w:szCs w:val="20"/>
        </w:rPr>
        <w:t xml:space="preserve">Appeal Decision, </w:t>
      </w:r>
      <w:r>
        <w:rPr>
          <w:i/>
          <w:iCs/>
          <w:sz w:val="20"/>
          <w:szCs w:val="20"/>
        </w:rPr>
        <w:t>supra</w:t>
      </w:r>
      <w:r>
        <w:rPr>
          <w:sz w:val="20"/>
          <w:szCs w:val="20"/>
        </w:rPr>
        <w:t xml:space="preserve"> para 8 at 17-18 and 14.</w:t>
      </w:r>
    </w:p>
    <w:p w14:paraId="3E769A3F" w14:textId="77777777" w:rsidR="0039739C" w:rsidRDefault="007E62DB">
      <w:pPr>
        <w:numPr>
          <w:ilvl w:val="0"/>
          <w:numId w:val="3"/>
        </w:numPr>
        <w:spacing w:line="360" w:lineRule="auto"/>
        <w:jc w:val="both"/>
      </w:pPr>
      <w:r>
        <w:t>Here, it is clear that Blanding’s turtle indirectly depended on the Grubbed Area to the extent that it should be considered habitat.</w:t>
      </w:r>
    </w:p>
    <w:p w14:paraId="67083767" w14:textId="77777777" w:rsidR="0039739C" w:rsidRDefault="007E62DB">
      <w:pPr>
        <w:spacing w:line="360" w:lineRule="auto"/>
        <w:ind w:firstLine="720"/>
        <w:jc w:val="right"/>
        <w:rPr>
          <w:sz w:val="20"/>
          <w:szCs w:val="20"/>
        </w:rPr>
      </w:pPr>
      <w:r>
        <w:rPr>
          <w:sz w:val="20"/>
          <w:szCs w:val="20"/>
        </w:rPr>
        <w:t xml:space="preserve">Trial Decision, </w:t>
      </w:r>
      <w:r>
        <w:rPr>
          <w:i/>
          <w:iCs/>
          <w:sz w:val="20"/>
          <w:szCs w:val="20"/>
        </w:rPr>
        <w:t xml:space="preserve">supra </w:t>
      </w:r>
      <w:r>
        <w:rPr>
          <w:sz w:val="20"/>
          <w:szCs w:val="20"/>
        </w:rPr>
        <w:t>para 7 at 7.</w:t>
      </w:r>
    </w:p>
    <w:p w14:paraId="4142666D" w14:textId="77777777" w:rsidR="0039739C" w:rsidRDefault="007E62DB">
      <w:pPr>
        <w:pStyle w:val="Heading3"/>
        <w:spacing w:after="240"/>
        <w:ind w:left="0"/>
        <w:jc w:val="both"/>
        <w:rPr>
          <w:b/>
          <w:bCs/>
        </w:rPr>
      </w:pPr>
      <w:bookmarkStart w:id="25" w:name="_heading=h.dbvw132wkavp" w:colFirst="0" w:colLast="0"/>
      <w:bookmarkEnd w:id="25"/>
      <w:r>
        <w:rPr>
          <w:b/>
          <w:bCs/>
        </w:rPr>
        <w:t xml:space="preserve">(ii) The Appeal Judge’s Interpretation is Inconsistent with the </w:t>
      </w:r>
      <w:r>
        <w:rPr>
          <w:b/>
          <w:bCs/>
          <w:i/>
          <w:iCs/>
        </w:rPr>
        <w:t>ESA</w:t>
      </w:r>
      <w:r>
        <w:rPr>
          <w:b/>
          <w:bCs/>
        </w:rPr>
        <w:t>’s Purpose</w:t>
      </w:r>
    </w:p>
    <w:p w14:paraId="2B602EAD" w14:textId="77777777" w:rsidR="0039739C" w:rsidRDefault="007E62DB">
      <w:pPr>
        <w:numPr>
          <w:ilvl w:val="0"/>
          <w:numId w:val="3"/>
        </w:numPr>
        <w:spacing w:line="360" w:lineRule="auto"/>
        <w:jc w:val="both"/>
      </w:pPr>
      <w:r>
        <w:t>The 2007 Purpose is facilitated and enabled by the broad definition of “habitat”. The Act’s preamble states that a “lack of full scientific certainty should not” lead to inaction. These pieces indicate that the legislature intended to create a flexible definition of “habitat”, unhindered by minor scientific uncertainty.</w:t>
      </w:r>
    </w:p>
    <w:p w14:paraId="23EB7CD7" w14:textId="77777777" w:rsidR="0039739C" w:rsidRDefault="007E62DB">
      <w:pPr>
        <w:spacing w:line="360" w:lineRule="auto"/>
        <w:ind w:firstLine="720"/>
        <w:jc w:val="right"/>
        <w:rPr>
          <w:sz w:val="20"/>
          <w:szCs w:val="20"/>
        </w:rPr>
      </w:pPr>
      <w:r>
        <w:rPr>
          <w:i/>
          <w:iCs/>
          <w:sz w:val="20"/>
          <w:szCs w:val="20"/>
        </w:rPr>
        <w:t>ESA</w:t>
      </w:r>
      <w:r>
        <w:rPr>
          <w:sz w:val="20"/>
          <w:szCs w:val="20"/>
        </w:rPr>
        <w:t xml:space="preserve">, </w:t>
      </w:r>
      <w:r>
        <w:rPr>
          <w:i/>
          <w:iCs/>
          <w:sz w:val="20"/>
          <w:szCs w:val="20"/>
        </w:rPr>
        <w:t>supra</w:t>
      </w:r>
      <w:r>
        <w:rPr>
          <w:sz w:val="20"/>
          <w:szCs w:val="20"/>
        </w:rPr>
        <w:t xml:space="preserve"> para 1, s 2(1) “habitat” and Preamble as it appeared on August 2018.</w:t>
      </w:r>
    </w:p>
    <w:p w14:paraId="1C20FD5A" w14:textId="77777777" w:rsidR="0039739C" w:rsidRDefault="007E62DB" w:rsidP="00C96177">
      <w:pPr>
        <w:numPr>
          <w:ilvl w:val="0"/>
          <w:numId w:val="3"/>
        </w:numPr>
        <w:spacing w:before="120" w:line="360" w:lineRule="auto"/>
        <w:jc w:val="both"/>
      </w:pPr>
      <w:r>
        <w:lastRenderedPageBreak/>
        <w:t xml:space="preserve">The Appeal Judge’s interpretation of habitat is in tension with the legislature’s explicit intent to protect endangered species and necessary habitat. The Grubbed Area was not considered habitat because Mr. Snell did not have proof that Blanding’s turtle </w:t>
      </w:r>
      <w:r>
        <w:rPr>
          <w:i/>
          <w:iCs/>
        </w:rPr>
        <w:t>directly</w:t>
      </w:r>
      <w:r>
        <w:t xml:space="preserve"> used the area. Rather, Mr. Snell confidently inferred the Grubbed Area </w:t>
      </w:r>
      <w:r>
        <w:rPr>
          <w:i/>
          <w:iCs/>
        </w:rPr>
        <w:t>was</w:t>
      </w:r>
      <w:r>
        <w:t xml:space="preserve"> Blanding’s turtle habitat.</w:t>
      </w:r>
    </w:p>
    <w:p w14:paraId="38A436D8" w14:textId="77777777" w:rsidR="0039739C" w:rsidRDefault="007E62DB" w:rsidP="00C96177">
      <w:pPr>
        <w:spacing w:after="120" w:line="360" w:lineRule="auto"/>
        <w:jc w:val="right"/>
        <w:rPr>
          <w:sz w:val="20"/>
          <w:szCs w:val="20"/>
        </w:rPr>
      </w:pPr>
      <w:r>
        <w:rPr>
          <w:sz w:val="20"/>
          <w:szCs w:val="20"/>
        </w:rPr>
        <w:t xml:space="preserve">Appeal Decision, </w:t>
      </w:r>
      <w:r>
        <w:rPr>
          <w:i/>
          <w:iCs/>
          <w:sz w:val="20"/>
          <w:szCs w:val="20"/>
        </w:rPr>
        <w:t>supra</w:t>
      </w:r>
      <w:r>
        <w:rPr>
          <w:sz w:val="20"/>
          <w:szCs w:val="20"/>
        </w:rPr>
        <w:t xml:space="preserve"> para 8 at 12-17.</w:t>
      </w:r>
    </w:p>
    <w:p w14:paraId="0ED8CB72" w14:textId="77777777" w:rsidR="0039739C" w:rsidRDefault="007E62DB" w:rsidP="00C96177">
      <w:pPr>
        <w:numPr>
          <w:ilvl w:val="0"/>
          <w:numId w:val="3"/>
        </w:numPr>
        <w:spacing w:before="120" w:line="360" w:lineRule="auto"/>
        <w:jc w:val="both"/>
      </w:pPr>
      <w:r>
        <w:t xml:space="preserve">While there existed scientific uncertainty regarding Blanding’s turtles’ direct use of the Grubbed Area, this is precisely the sort of factual scenario the legislature intended to reference with the 2007 Purpose. The </w:t>
      </w:r>
      <w:r>
        <w:rPr>
          <w:i/>
          <w:iCs/>
        </w:rPr>
        <w:t>ESA</w:t>
      </w:r>
      <w:r>
        <w:t xml:space="preserve">’s purpose-driven scheme existed to protect the Grubbed Area — habitat which is </w:t>
      </w:r>
      <w:r>
        <w:rPr>
          <w:i/>
          <w:iCs/>
        </w:rPr>
        <w:t>not</w:t>
      </w:r>
      <w:r>
        <w:t xml:space="preserve"> directly used by Blanding’s turtles’ but</w:t>
      </w:r>
      <w:r>
        <w:rPr>
          <w:i/>
          <w:iCs/>
        </w:rPr>
        <w:t xml:space="preserve"> remains critical</w:t>
      </w:r>
      <w:r>
        <w:t xml:space="preserve"> to their survival.</w:t>
      </w:r>
    </w:p>
    <w:p w14:paraId="2E019920" w14:textId="77777777" w:rsidR="0039739C" w:rsidRDefault="007E62DB" w:rsidP="00C96177">
      <w:pPr>
        <w:spacing w:after="120" w:line="360" w:lineRule="auto"/>
        <w:ind w:firstLine="720"/>
        <w:jc w:val="right"/>
        <w:rPr>
          <w:sz w:val="20"/>
          <w:szCs w:val="20"/>
        </w:rPr>
      </w:pPr>
      <w:r>
        <w:rPr>
          <w:sz w:val="20"/>
          <w:szCs w:val="20"/>
        </w:rPr>
        <w:t xml:space="preserve">Appeal Decision, </w:t>
      </w:r>
      <w:r>
        <w:rPr>
          <w:i/>
          <w:iCs/>
          <w:sz w:val="20"/>
          <w:szCs w:val="20"/>
        </w:rPr>
        <w:t>supra</w:t>
      </w:r>
      <w:r>
        <w:rPr>
          <w:sz w:val="20"/>
          <w:szCs w:val="20"/>
        </w:rPr>
        <w:t xml:space="preserve"> para 8 at 17-18.</w:t>
      </w:r>
    </w:p>
    <w:p w14:paraId="0E5C29C2" w14:textId="77777777" w:rsidR="0039739C" w:rsidRDefault="007E62DB" w:rsidP="00C96177">
      <w:pPr>
        <w:numPr>
          <w:ilvl w:val="0"/>
          <w:numId w:val="3"/>
        </w:numPr>
        <w:spacing w:before="120" w:line="360" w:lineRule="auto"/>
        <w:jc w:val="both"/>
      </w:pPr>
      <w:r>
        <w:t xml:space="preserve">If the legislature had intended to restrain the definition of “habitat” to only those lands which are </w:t>
      </w:r>
      <w:r>
        <w:rPr>
          <w:i/>
          <w:iCs/>
        </w:rPr>
        <w:t>directly</w:t>
      </w:r>
      <w:r>
        <w:t xml:space="preserve"> depended on, it could have done so. Instead, the drafters intentionally included this language “to ensure that both direct and indirect reliance on habitat is protected.”</w:t>
      </w:r>
    </w:p>
    <w:p w14:paraId="00BAB5BF" w14:textId="77777777" w:rsidR="0039739C" w:rsidRDefault="007E62DB" w:rsidP="00C96177">
      <w:pPr>
        <w:spacing w:after="240" w:line="240" w:lineRule="auto"/>
        <w:ind w:left="720"/>
        <w:jc w:val="right"/>
        <w:rPr>
          <w:sz w:val="20"/>
          <w:szCs w:val="20"/>
        </w:rPr>
      </w:pPr>
      <w:r>
        <w:rPr>
          <w:sz w:val="20"/>
          <w:szCs w:val="20"/>
        </w:rPr>
        <w:t xml:space="preserve">Ontario, Legislative Assembly of Ontario, </w:t>
      </w:r>
      <w:r>
        <w:rPr>
          <w:i/>
          <w:iCs/>
          <w:sz w:val="20"/>
          <w:szCs w:val="20"/>
        </w:rPr>
        <w:t>Official Report of Debates</w:t>
      </w:r>
      <w:r>
        <w:rPr>
          <w:sz w:val="20"/>
          <w:szCs w:val="20"/>
        </w:rPr>
        <w:t xml:space="preserve">, Standing Committee on Government, </w:t>
      </w:r>
      <w:r>
        <w:rPr>
          <w:i/>
          <w:iCs/>
          <w:sz w:val="20"/>
          <w:szCs w:val="20"/>
        </w:rPr>
        <w:t>Endangered Species Act, 2007</w:t>
      </w:r>
      <w:r>
        <w:rPr>
          <w:sz w:val="20"/>
          <w:szCs w:val="20"/>
        </w:rPr>
        <w:t>, 38-2 (9 May 2007) at G-1148 (Mr David Orazietti).</w:t>
      </w:r>
    </w:p>
    <w:p w14:paraId="15DB11B1" w14:textId="77777777" w:rsidR="0039739C" w:rsidRDefault="007E62DB" w:rsidP="00C96177">
      <w:pPr>
        <w:numPr>
          <w:ilvl w:val="0"/>
          <w:numId w:val="3"/>
        </w:numPr>
        <w:spacing w:before="120" w:line="360" w:lineRule="auto"/>
        <w:jc w:val="both"/>
      </w:pPr>
      <w:r>
        <w:t xml:space="preserve">The Appeal Judge’s interpretation supports an unrealistically high burden of proof. Accordingly, this application should be rejected because the “legislature does not intend to produce absurd consequences.” The Appeal Judge’s interpretation results in an impracticable evidentiary hurdle and requires scientific certainty which the 2007 Purpose explicitly rejects. </w:t>
      </w:r>
    </w:p>
    <w:p w14:paraId="10427AB6" w14:textId="77777777" w:rsidR="0039739C" w:rsidRDefault="007E62DB" w:rsidP="00C96177">
      <w:pPr>
        <w:spacing w:after="120" w:line="360" w:lineRule="auto"/>
        <w:ind w:left="720"/>
        <w:jc w:val="right"/>
        <w:rPr>
          <w:b/>
          <w:bCs/>
          <w:sz w:val="20"/>
          <w:szCs w:val="20"/>
        </w:rPr>
      </w:pPr>
      <w:r>
        <w:rPr>
          <w:i/>
          <w:iCs/>
          <w:sz w:val="20"/>
          <w:szCs w:val="20"/>
        </w:rPr>
        <w:t>Rizzo</w:t>
      </w:r>
      <w:r>
        <w:rPr>
          <w:sz w:val="20"/>
          <w:szCs w:val="20"/>
        </w:rPr>
        <w:t xml:space="preserve">, </w:t>
      </w:r>
      <w:r>
        <w:rPr>
          <w:i/>
          <w:iCs/>
          <w:sz w:val="20"/>
          <w:szCs w:val="20"/>
        </w:rPr>
        <w:t>supra</w:t>
      </w:r>
      <w:r>
        <w:rPr>
          <w:sz w:val="20"/>
          <w:szCs w:val="20"/>
        </w:rPr>
        <w:t xml:space="preserve"> para 44 at para 27.</w:t>
      </w:r>
    </w:p>
    <w:p w14:paraId="616A5B10" w14:textId="77777777" w:rsidR="0039739C" w:rsidRDefault="007E62DB">
      <w:pPr>
        <w:numPr>
          <w:ilvl w:val="0"/>
          <w:numId w:val="3"/>
        </w:numPr>
        <w:spacing w:before="120" w:line="360" w:lineRule="auto"/>
        <w:jc w:val="both"/>
      </w:pPr>
      <w:r>
        <w:t xml:space="preserve">Moreover, the </w:t>
      </w:r>
      <w:r>
        <w:rPr>
          <w:i/>
          <w:iCs/>
        </w:rPr>
        <w:t>ESA</w:t>
      </w:r>
      <w:r>
        <w:t xml:space="preserve"> contains an internal mechanism by which to limit the definition of “habitat”. Section 55(1)(b) empowers the Province to make regulations limiting the application of the “habitat” definition for one or more species.</w:t>
      </w:r>
    </w:p>
    <w:p w14:paraId="48346D2F" w14:textId="77777777" w:rsidR="0039739C" w:rsidRDefault="007E62DB">
      <w:pPr>
        <w:spacing w:after="120" w:line="360" w:lineRule="auto"/>
        <w:ind w:firstLine="720"/>
        <w:jc w:val="right"/>
        <w:rPr>
          <w:sz w:val="20"/>
          <w:szCs w:val="20"/>
        </w:rPr>
      </w:pPr>
      <w:r>
        <w:rPr>
          <w:i/>
          <w:iCs/>
          <w:sz w:val="20"/>
          <w:szCs w:val="20"/>
        </w:rPr>
        <w:t>ESA</w:t>
      </w:r>
      <w:r>
        <w:rPr>
          <w:sz w:val="20"/>
          <w:szCs w:val="20"/>
        </w:rPr>
        <w:t xml:space="preserve">, </w:t>
      </w:r>
      <w:r>
        <w:rPr>
          <w:i/>
          <w:iCs/>
          <w:sz w:val="20"/>
          <w:szCs w:val="20"/>
        </w:rPr>
        <w:t>supra</w:t>
      </w:r>
      <w:r>
        <w:rPr>
          <w:sz w:val="20"/>
          <w:szCs w:val="20"/>
        </w:rPr>
        <w:t xml:space="preserve"> para 11, s 55(1)(b) as it appeared on August 2018.</w:t>
      </w:r>
    </w:p>
    <w:p w14:paraId="1E4D89AE" w14:textId="77777777" w:rsidR="0039739C" w:rsidRDefault="007E62DB">
      <w:pPr>
        <w:numPr>
          <w:ilvl w:val="0"/>
          <w:numId w:val="3"/>
        </w:numPr>
        <w:spacing w:before="120" w:after="120" w:line="360" w:lineRule="auto"/>
        <w:jc w:val="both"/>
      </w:pPr>
      <w:r>
        <w:t>If the Province had a legitimate reason to limit the habitat of Blanding’s turtles to only those lands which are directly relied upon, they could have done so. It is not appropriate for the court to step into the role of the executive. The Appeal Judge erred by ignoring this provision and taking it upon herself to limit Blanding’s turtle habitat.</w:t>
      </w:r>
      <w:r>
        <w:tab/>
      </w:r>
    </w:p>
    <w:p w14:paraId="1FA79761" w14:textId="77777777" w:rsidR="0039739C" w:rsidRDefault="007E62DB">
      <w:pPr>
        <w:pStyle w:val="Heading2"/>
        <w:spacing w:before="240" w:after="240" w:line="360" w:lineRule="auto"/>
        <w:jc w:val="both"/>
        <w:rPr>
          <w:u w:val="single"/>
        </w:rPr>
      </w:pPr>
      <w:bookmarkStart w:id="26" w:name="_heading=h.jufv9ucvews9" w:colFirst="0" w:colLast="0"/>
      <w:bookmarkEnd w:id="26"/>
      <w:r>
        <w:rPr>
          <w:u w:val="single"/>
        </w:rPr>
        <w:lastRenderedPageBreak/>
        <w:t>F. CHL Should Still Be Convicted With a Narrower Definition of “Habitat”</w:t>
      </w:r>
    </w:p>
    <w:p w14:paraId="7B671C6E" w14:textId="77777777" w:rsidR="0039739C" w:rsidRDefault="007E62DB">
      <w:pPr>
        <w:pStyle w:val="Heading3"/>
        <w:spacing w:after="240"/>
        <w:ind w:left="0"/>
        <w:jc w:val="both"/>
        <w:rPr>
          <w:b/>
          <w:bCs/>
        </w:rPr>
      </w:pPr>
      <w:bookmarkStart w:id="27" w:name="_heading=h.p0yqrae6w0pu" w:colFirst="0" w:colLast="0"/>
      <w:bookmarkEnd w:id="27"/>
      <w:r>
        <w:rPr>
          <w:b/>
          <w:bCs/>
        </w:rPr>
        <w:t>(i) Amended Definitions and Purpose Statements</w:t>
      </w:r>
    </w:p>
    <w:p w14:paraId="3DBAB101" w14:textId="77777777" w:rsidR="0039739C" w:rsidRDefault="007E62DB">
      <w:pPr>
        <w:numPr>
          <w:ilvl w:val="0"/>
          <w:numId w:val="3"/>
        </w:numPr>
        <w:pBdr>
          <w:top w:val="nil"/>
          <w:left w:val="nil"/>
          <w:bottom w:val="nil"/>
          <w:right w:val="nil"/>
          <w:between w:val="nil"/>
        </w:pBdr>
        <w:spacing w:line="360" w:lineRule="auto"/>
        <w:jc w:val="both"/>
      </w:pPr>
      <w:r>
        <w:t xml:space="preserve">In 2025, Bill C-5, s. 2(3) amended several sections of the </w:t>
      </w:r>
      <w:r>
        <w:rPr>
          <w:i/>
          <w:iCs/>
        </w:rPr>
        <w:t xml:space="preserve">ESA </w:t>
      </w:r>
      <w:r>
        <w:t>(the “</w:t>
      </w:r>
      <w:r>
        <w:rPr>
          <w:b/>
          <w:bCs/>
        </w:rPr>
        <w:t xml:space="preserve">2025 </w:t>
      </w:r>
      <w:r>
        <w:rPr>
          <w:b/>
          <w:bCs/>
          <w:i/>
          <w:iCs/>
        </w:rPr>
        <w:t>ESA</w:t>
      </w:r>
      <w:r>
        <w:t>”). The amended definition alters the definition of “habitat”.</w:t>
      </w:r>
    </w:p>
    <w:p w14:paraId="3E2555BF" w14:textId="77777777" w:rsidR="0039739C" w:rsidRDefault="007E62DB">
      <w:pPr>
        <w:pBdr>
          <w:top w:val="nil"/>
          <w:left w:val="nil"/>
          <w:bottom w:val="nil"/>
          <w:right w:val="nil"/>
          <w:between w:val="nil"/>
        </w:pBdr>
        <w:spacing w:line="360" w:lineRule="auto"/>
        <w:jc w:val="right"/>
        <w:rPr>
          <w:sz w:val="20"/>
          <w:szCs w:val="20"/>
        </w:rPr>
      </w:pPr>
      <w:r>
        <w:rPr>
          <w:sz w:val="20"/>
          <w:szCs w:val="20"/>
        </w:rPr>
        <w:t xml:space="preserve">Bill C-5, </w:t>
      </w:r>
      <w:r>
        <w:rPr>
          <w:i/>
          <w:iCs/>
          <w:sz w:val="20"/>
          <w:szCs w:val="20"/>
        </w:rPr>
        <w:t xml:space="preserve">supra </w:t>
      </w:r>
      <w:r>
        <w:rPr>
          <w:sz w:val="20"/>
          <w:szCs w:val="20"/>
        </w:rPr>
        <w:t xml:space="preserve">para 40, s 2(3). </w:t>
      </w:r>
    </w:p>
    <w:p w14:paraId="395746D2" w14:textId="77777777" w:rsidR="0039739C" w:rsidRDefault="007E62DB">
      <w:pPr>
        <w:numPr>
          <w:ilvl w:val="0"/>
          <w:numId w:val="3"/>
        </w:numPr>
        <w:pBdr>
          <w:top w:val="nil"/>
          <w:left w:val="nil"/>
          <w:bottom w:val="nil"/>
          <w:right w:val="nil"/>
          <w:between w:val="nil"/>
        </w:pBdr>
        <w:spacing w:before="120" w:after="120" w:line="360" w:lineRule="auto"/>
        <w:jc w:val="both"/>
      </w:pPr>
      <w:r>
        <w:t xml:space="preserve">The previous definition of “habitat” under the original </w:t>
      </w:r>
      <w:r>
        <w:rPr>
          <w:i/>
          <w:iCs/>
        </w:rPr>
        <w:t>ESA</w:t>
      </w:r>
      <w:r>
        <w:t xml:space="preserve"> (the “</w:t>
      </w:r>
      <w:r>
        <w:rPr>
          <w:b/>
          <w:bCs/>
        </w:rPr>
        <w:t xml:space="preserve">2007 </w:t>
      </w:r>
      <w:r>
        <w:rPr>
          <w:b/>
          <w:bCs/>
          <w:i/>
          <w:iCs/>
        </w:rPr>
        <w:t>ESA</w:t>
      </w:r>
      <w:r>
        <w:t xml:space="preserve">”) relied on an application of </w:t>
      </w:r>
      <w:r>
        <w:rPr>
          <w:i/>
          <w:iCs/>
        </w:rPr>
        <w:t xml:space="preserve">direct/indirect </w:t>
      </w:r>
      <w:r>
        <w:t xml:space="preserve">understanding of environmental impacts on species at risk. Under the 2025 </w:t>
      </w:r>
      <w:r>
        <w:rPr>
          <w:i/>
          <w:iCs/>
        </w:rPr>
        <w:t>ESA</w:t>
      </w:r>
      <w:r>
        <w:t xml:space="preserve">, these terms are now replaced with </w:t>
      </w:r>
      <w:r>
        <w:rPr>
          <w:i/>
          <w:iCs/>
        </w:rPr>
        <w:t>occupied/habitually occupied</w:t>
      </w:r>
      <w:r>
        <w:rPr>
          <w:b/>
          <w:bCs/>
        </w:rPr>
        <w:t>.</w:t>
      </w:r>
    </w:p>
    <w:p w14:paraId="6444B63C" w14:textId="77777777" w:rsidR="0039739C" w:rsidRDefault="007E62DB">
      <w:pPr>
        <w:numPr>
          <w:ilvl w:val="0"/>
          <w:numId w:val="3"/>
        </w:numPr>
        <w:spacing w:before="120" w:after="120" w:line="360" w:lineRule="auto"/>
        <w:jc w:val="both"/>
      </w:pPr>
      <w:r>
        <w:t xml:space="preserve">A strict textual interpretation of the 2025 </w:t>
      </w:r>
      <w:r>
        <w:rPr>
          <w:i/>
          <w:iCs/>
        </w:rPr>
        <w:t>ESA</w:t>
      </w:r>
      <w:r>
        <w:t xml:space="preserve"> habitat definition drastically reduces the powers of 2007 </w:t>
      </w:r>
      <w:r>
        <w:rPr>
          <w:i/>
          <w:iCs/>
        </w:rPr>
        <w:t>ESA</w:t>
      </w:r>
      <w:r>
        <w:t xml:space="preserve"> by decreasing the applicable area or range of habitat that could be placed under protection of the </w:t>
      </w:r>
      <w:r>
        <w:rPr>
          <w:i/>
          <w:iCs/>
        </w:rPr>
        <w:t>ESA</w:t>
      </w:r>
      <w:r>
        <w:t xml:space="preserve">. The definition would reduce habitat protection by only applying to the nests, dwellings or homes of occupied, or habitually occupied locations. Surrounding “indirect” areas would now be excluded from habitat designation. Allowing a narrow definition would be inconsistent with a modern statutory approach. </w:t>
      </w:r>
    </w:p>
    <w:p w14:paraId="3B1014BB" w14:textId="77777777" w:rsidR="0039739C" w:rsidRDefault="007E62DB">
      <w:pPr>
        <w:numPr>
          <w:ilvl w:val="0"/>
          <w:numId w:val="3"/>
        </w:numPr>
        <w:pBdr>
          <w:top w:val="nil"/>
          <w:left w:val="nil"/>
          <w:bottom w:val="nil"/>
          <w:right w:val="nil"/>
          <w:between w:val="nil"/>
        </w:pBdr>
        <w:spacing w:line="360" w:lineRule="auto"/>
        <w:jc w:val="both"/>
      </w:pPr>
      <w:r>
        <w:t xml:space="preserve"> The 2025 </w:t>
      </w:r>
      <w:r>
        <w:rPr>
          <w:i/>
          <w:iCs/>
        </w:rPr>
        <w:t>ESA</w:t>
      </w:r>
      <w:r>
        <w:t xml:space="preserve"> amendments alter the purpose statements of the 2007 </w:t>
      </w:r>
      <w:r>
        <w:rPr>
          <w:i/>
          <w:iCs/>
        </w:rPr>
        <w:t>ESA</w:t>
      </w:r>
      <w:r>
        <w:t xml:space="preserve"> by editing and deleting key phrases. The second statement is amended to read “to provide for the protection and conservation of species at risk </w:t>
      </w:r>
      <w:r>
        <w:rPr>
          <w:i/>
          <w:iCs/>
        </w:rPr>
        <w:t>while taking into account social and economic considerations including the need for sustainable economic growth in Ontario</w:t>
      </w:r>
      <w:r>
        <w:t>” (emphasis added). One of the fundamental purposes of the Act dictates that protection for endangered species habitat must now occur in combination with economic interests. The third st</w:t>
      </w:r>
      <w:r>
        <w:t xml:space="preserve">atement requiring community and Indigenous participation was entirely deleted. </w:t>
      </w:r>
    </w:p>
    <w:p w14:paraId="72F82A37" w14:textId="77777777" w:rsidR="0039739C" w:rsidRDefault="007E62DB">
      <w:pPr>
        <w:spacing w:after="120" w:line="360" w:lineRule="auto"/>
        <w:ind w:left="1080"/>
        <w:jc w:val="right"/>
        <w:rPr>
          <w:sz w:val="20"/>
          <w:szCs w:val="20"/>
        </w:rPr>
      </w:pPr>
      <w:r>
        <w:rPr>
          <w:i/>
          <w:iCs/>
          <w:sz w:val="20"/>
          <w:szCs w:val="20"/>
        </w:rPr>
        <w:t xml:space="preserve">ESA, supra </w:t>
      </w:r>
      <w:r>
        <w:rPr>
          <w:sz w:val="20"/>
          <w:szCs w:val="20"/>
        </w:rPr>
        <w:t>para 11, Preamble and s 1.</w:t>
      </w:r>
    </w:p>
    <w:p w14:paraId="3578697B" w14:textId="77777777" w:rsidR="0039739C" w:rsidRDefault="007E62DB" w:rsidP="00C96177">
      <w:pPr>
        <w:numPr>
          <w:ilvl w:val="0"/>
          <w:numId w:val="3"/>
        </w:numPr>
        <w:pBdr>
          <w:top w:val="nil"/>
          <w:left w:val="nil"/>
          <w:bottom w:val="nil"/>
          <w:right w:val="nil"/>
          <w:between w:val="nil"/>
        </w:pBdr>
        <w:spacing w:before="120" w:line="360" w:lineRule="auto"/>
        <w:jc w:val="both"/>
      </w:pPr>
      <w:r>
        <w:t xml:space="preserve">A trial judge may look at the purpose statement of an act to resolve ambiguities in the legislation but cannot use the purpose statement to override written provisions. A judge must use a “harmonious” approach by considering the overall text, context and purpose of the intended legislation. The </w:t>
      </w:r>
      <w:r>
        <w:rPr>
          <w:i/>
          <w:iCs/>
        </w:rPr>
        <w:t>ESA</w:t>
      </w:r>
      <w:r>
        <w:t xml:space="preserve"> is still primarily environmental legislation aimed at protecting species and their habitats, a judge must look at what “mischief” the legislation is intended to solve. Although the purpose statements of the </w:t>
      </w:r>
      <w:r>
        <w:rPr>
          <w:i/>
          <w:iCs/>
        </w:rPr>
        <w:t>ESA</w:t>
      </w:r>
      <w:r>
        <w:t xml:space="preserve"> are modified, any interpretation of habitat definitions must be made with a broad purposive reading as to what the legislature intended.</w:t>
      </w:r>
    </w:p>
    <w:p w14:paraId="677363EE" w14:textId="77777777" w:rsidR="0039739C" w:rsidRDefault="007E62DB" w:rsidP="00C96177">
      <w:pPr>
        <w:pBdr>
          <w:top w:val="nil"/>
          <w:left w:val="nil"/>
          <w:bottom w:val="nil"/>
          <w:right w:val="nil"/>
          <w:between w:val="nil"/>
        </w:pBdr>
        <w:spacing w:after="120" w:line="360" w:lineRule="auto"/>
        <w:ind w:left="720"/>
        <w:jc w:val="right"/>
        <w:rPr>
          <w:sz w:val="20"/>
          <w:szCs w:val="20"/>
        </w:rPr>
      </w:pPr>
      <w:r>
        <w:rPr>
          <w:i/>
          <w:iCs/>
          <w:sz w:val="20"/>
          <w:szCs w:val="20"/>
        </w:rPr>
        <w:lastRenderedPageBreak/>
        <w:t>Rizzo</w:t>
      </w:r>
      <w:r>
        <w:rPr>
          <w:sz w:val="20"/>
          <w:szCs w:val="20"/>
        </w:rPr>
        <w:t>,</w:t>
      </w:r>
      <w:r>
        <w:rPr>
          <w:i/>
          <w:iCs/>
          <w:sz w:val="20"/>
          <w:szCs w:val="20"/>
        </w:rPr>
        <w:t xml:space="preserve"> supra </w:t>
      </w:r>
      <w:r>
        <w:rPr>
          <w:sz w:val="20"/>
          <w:szCs w:val="20"/>
        </w:rPr>
        <w:t>para 44 at para 21.</w:t>
      </w:r>
    </w:p>
    <w:p w14:paraId="50CD8FE8" w14:textId="77777777" w:rsidR="0039739C" w:rsidRDefault="007E62DB">
      <w:pPr>
        <w:pStyle w:val="Heading3"/>
        <w:spacing w:after="120"/>
        <w:ind w:left="0"/>
        <w:jc w:val="both"/>
        <w:rPr>
          <w:b/>
          <w:bCs/>
        </w:rPr>
      </w:pPr>
      <w:bookmarkStart w:id="28" w:name="_heading=h.avd6o51ied8u" w:colFirst="0" w:colLast="0"/>
      <w:bookmarkEnd w:id="28"/>
      <w:r>
        <w:rPr>
          <w:b/>
          <w:bCs/>
        </w:rPr>
        <w:t xml:space="preserve">(ii)  Convicting at Trial With a New Definition of “Habitat” </w:t>
      </w:r>
    </w:p>
    <w:p w14:paraId="79168714" w14:textId="77777777" w:rsidR="0039739C" w:rsidRDefault="007E62DB">
      <w:pPr>
        <w:numPr>
          <w:ilvl w:val="0"/>
          <w:numId w:val="3"/>
        </w:numPr>
        <w:spacing w:before="120" w:after="120" w:line="360" w:lineRule="auto"/>
        <w:jc w:val="both"/>
      </w:pPr>
      <w:r>
        <w:t xml:space="preserve">If the direct/indirect standard were replaced with the occupied/habitually occupied definition of habitat, the ruling of the Trial Judge would not have changed and the conviction would have been upheld. While the 2025 </w:t>
      </w:r>
      <w:r>
        <w:rPr>
          <w:i/>
          <w:iCs/>
        </w:rPr>
        <w:t>ESA</w:t>
      </w:r>
      <w:r>
        <w:t xml:space="preserve"> amended definition of habitat is conceivably narrower than what was used at trial, it does not immediately support an inference that the trial would have been decided differently based on this definition.</w:t>
      </w:r>
    </w:p>
    <w:p w14:paraId="7048F543" w14:textId="77777777" w:rsidR="0039739C" w:rsidRDefault="007E62DB">
      <w:pPr>
        <w:numPr>
          <w:ilvl w:val="0"/>
          <w:numId w:val="3"/>
        </w:numPr>
        <w:spacing w:before="120" w:after="120" w:line="360" w:lineRule="auto"/>
        <w:jc w:val="both"/>
      </w:pPr>
      <w:r>
        <w:t xml:space="preserve">The use of an amended “habitat” definition does not directly support an inference that an “occupied/habitually occupied” definition would necessitate a “direct” evidence finding. The 2025 </w:t>
      </w:r>
      <w:r>
        <w:rPr>
          <w:i/>
          <w:iCs/>
        </w:rPr>
        <w:t>ESA</w:t>
      </w:r>
      <w:r>
        <w:t xml:space="preserve"> definition allows for </w:t>
      </w:r>
      <w:r>
        <w:rPr>
          <w:i/>
          <w:iCs/>
        </w:rPr>
        <w:t>(ii) the area immediately around a dwelling place described in subclause (i) that is essential for the purposes set out in that subclause.</w:t>
      </w:r>
      <w:r>
        <w:t xml:space="preserve"> Where a species is able to demonstrate that the surrounding area around its immediate habitat is necessary for its survival, it would have to be included as habitat under the 2025 </w:t>
      </w:r>
      <w:r>
        <w:rPr>
          <w:i/>
          <w:iCs/>
        </w:rPr>
        <w:t>ESA</w:t>
      </w:r>
      <w:r>
        <w:t>.</w:t>
      </w:r>
    </w:p>
    <w:p w14:paraId="39F5F3DE" w14:textId="77777777" w:rsidR="0039739C" w:rsidRDefault="007E62DB" w:rsidP="00C96177">
      <w:pPr>
        <w:numPr>
          <w:ilvl w:val="0"/>
          <w:numId w:val="3"/>
        </w:numPr>
        <w:spacing w:before="120" w:line="360" w:lineRule="auto"/>
        <w:jc w:val="both"/>
      </w:pPr>
      <w:r>
        <w:t xml:space="preserve"> The Trial Judge noted </w:t>
      </w:r>
      <w:r>
        <w:rPr>
          <w:i/>
          <w:iCs/>
        </w:rPr>
        <w:t>ESA</w:t>
      </w:r>
      <w:r>
        <w:t xml:space="preserve"> s. 9 (1)(a) which states “that no person shall kill, harm or harass a species listed as threatened or endangered or damage or destroy the habitat of a species that is threatened or endangered that has habitat protection.” The Trial Judge understood the </w:t>
      </w:r>
      <w:r>
        <w:rPr>
          <w:i/>
          <w:iCs/>
        </w:rPr>
        <w:t>ESA</w:t>
      </w:r>
      <w:r>
        <w:t xml:space="preserve"> language as legislation intended to protect species at risk and permits a broad interpretation that corresponds to the purpose of the </w:t>
      </w:r>
      <w:r>
        <w:rPr>
          <w:i/>
          <w:iCs/>
        </w:rPr>
        <w:t>ESA</w:t>
      </w:r>
      <w:r>
        <w:t>. Although category 2 habitat is not “occupied/habitually occupied,” the surrounding area is critical to the immed</w:t>
      </w:r>
      <w:r>
        <w:t>iate nesting area.</w:t>
      </w:r>
    </w:p>
    <w:p w14:paraId="2B994E1D" w14:textId="77777777" w:rsidR="0039739C" w:rsidRDefault="007E62DB" w:rsidP="00C96177">
      <w:pPr>
        <w:spacing w:after="120" w:line="240" w:lineRule="auto"/>
        <w:ind w:left="720"/>
        <w:jc w:val="right"/>
        <w:rPr>
          <w:sz w:val="20"/>
          <w:szCs w:val="20"/>
        </w:rPr>
      </w:pPr>
      <w:r>
        <w:rPr>
          <w:sz w:val="20"/>
          <w:szCs w:val="20"/>
        </w:rPr>
        <w:t xml:space="preserve">Trial Decision, </w:t>
      </w:r>
      <w:r>
        <w:rPr>
          <w:i/>
          <w:iCs/>
          <w:sz w:val="20"/>
          <w:szCs w:val="20"/>
        </w:rPr>
        <w:t>supra</w:t>
      </w:r>
      <w:r>
        <w:rPr>
          <w:sz w:val="20"/>
          <w:szCs w:val="20"/>
        </w:rPr>
        <w:t xml:space="preserve"> para 7 at 7.</w:t>
      </w:r>
    </w:p>
    <w:p w14:paraId="3356666F" w14:textId="77777777" w:rsidR="0039739C" w:rsidRDefault="007E62DB">
      <w:pPr>
        <w:spacing w:before="120" w:after="240" w:line="240" w:lineRule="auto"/>
        <w:ind w:left="720"/>
        <w:jc w:val="right"/>
        <w:rPr>
          <w:sz w:val="20"/>
          <w:szCs w:val="20"/>
        </w:rPr>
      </w:pPr>
      <w:r>
        <w:rPr>
          <w:sz w:val="20"/>
          <w:szCs w:val="20"/>
        </w:rPr>
        <w:t>GHD</w:t>
      </w:r>
      <w:r>
        <w:rPr>
          <w:i/>
          <w:iCs/>
          <w:sz w:val="20"/>
          <w:szCs w:val="20"/>
        </w:rPr>
        <w:t xml:space="preserve">, </w:t>
      </w:r>
      <w:r>
        <w:rPr>
          <w:i/>
          <w:iCs/>
          <w:sz w:val="20"/>
          <w:szCs w:val="20"/>
        </w:rPr>
        <w:t>supra</w:t>
      </w:r>
      <w:r>
        <w:rPr>
          <w:sz w:val="20"/>
          <w:szCs w:val="20"/>
        </w:rPr>
        <w:t xml:space="preserve"> para 7</w:t>
      </w:r>
      <w:r>
        <w:rPr>
          <w:i/>
          <w:iCs/>
          <w:sz w:val="20"/>
          <w:szCs w:val="20"/>
        </w:rPr>
        <w:t xml:space="preserve"> </w:t>
      </w:r>
      <w:r>
        <w:rPr>
          <w:sz w:val="20"/>
          <w:szCs w:val="20"/>
        </w:rPr>
        <w:t>at 1.</w:t>
      </w:r>
    </w:p>
    <w:p w14:paraId="14A47722" w14:textId="77777777" w:rsidR="0039739C" w:rsidRDefault="007E62DB" w:rsidP="00C96177">
      <w:pPr>
        <w:numPr>
          <w:ilvl w:val="0"/>
          <w:numId w:val="3"/>
        </w:numPr>
        <w:pBdr>
          <w:top w:val="nil"/>
          <w:left w:val="nil"/>
          <w:bottom w:val="nil"/>
          <w:right w:val="nil"/>
          <w:between w:val="nil"/>
        </w:pBdr>
        <w:spacing w:before="120" w:line="360" w:lineRule="auto"/>
        <w:jc w:val="both"/>
      </w:pPr>
      <w:r>
        <w:t xml:space="preserve">If the 2025 </w:t>
      </w:r>
      <w:r>
        <w:rPr>
          <w:i/>
          <w:iCs/>
        </w:rPr>
        <w:t>ESA</w:t>
      </w:r>
      <w:r>
        <w:t xml:space="preserve"> definitions are imported into the Trial Decision then all of the accompanying amendments to the </w:t>
      </w:r>
      <w:r>
        <w:rPr>
          <w:i/>
          <w:iCs/>
        </w:rPr>
        <w:t>ESA</w:t>
      </w:r>
      <w:r>
        <w:t xml:space="preserve"> legislation should be imported as well. To properly consider how the Trial Judge may have ruled at the time of the trial decision, the Trial Judge would have addressed the definition in relation to the whole of the legislation and not in part. </w:t>
      </w:r>
    </w:p>
    <w:p w14:paraId="047B1FC8" w14:textId="77777777" w:rsidR="0039739C" w:rsidRDefault="007E62DB" w:rsidP="00C96177">
      <w:pPr>
        <w:spacing w:after="120" w:line="360" w:lineRule="auto"/>
        <w:ind w:left="720"/>
        <w:jc w:val="right"/>
        <w:rPr>
          <w:i/>
          <w:iCs/>
          <w:sz w:val="20"/>
          <w:szCs w:val="20"/>
        </w:rPr>
      </w:pPr>
      <w:r>
        <w:rPr>
          <w:i/>
          <w:iCs/>
          <w:sz w:val="20"/>
          <w:szCs w:val="20"/>
        </w:rPr>
        <w:t>Rizzo</w:t>
      </w:r>
      <w:r>
        <w:rPr>
          <w:sz w:val="20"/>
          <w:szCs w:val="20"/>
        </w:rPr>
        <w:t xml:space="preserve"> </w:t>
      </w:r>
      <w:r>
        <w:rPr>
          <w:i/>
          <w:iCs/>
          <w:sz w:val="20"/>
          <w:szCs w:val="20"/>
        </w:rPr>
        <w:t>supra</w:t>
      </w:r>
      <w:r>
        <w:rPr>
          <w:sz w:val="20"/>
          <w:szCs w:val="20"/>
        </w:rPr>
        <w:t xml:space="preserve"> para 44 at para 21.</w:t>
      </w:r>
    </w:p>
    <w:p w14:paraId="027EF9A0" w14:textId="77777777" w:rsidR="0039739C" w:rsidRDefault="007E62DB" w:rsidP="00C96177">
      <w:pPr>
        <w:numPr>
          <w:ilvl w:val="0"/>
          <w:numId w:val="3"/>
        </w:numPr>
        <w:spacing w:before="120" w:line="360" w:lineRule="auto"/>
        <w:jc w:val="both"/>
      </w:pPr>
      <w:r>
        <w:t xml:space="preserve">At trial, CHL advanced arguments that there was no direct evidence of Blanding’s turtles found at the grub site. CHL conceded at trial that expert testimony from a Ministerial employee affirmed that the land had the potential to be Blanding’s turtle habitat. The Trial Judge was satisfied </w:t>
      </w:r>
      <w:r>
        <w:lastRenderedPageBreak/>
        <w:t>that there was sufficient evidence to conclusively support a conviction stating “it is clear from (his) evidence that the area in question is turtle habitat, Blanding’s turtle habitat.”</w:t>
      </w:r>
    </w:p>
    <w:p w14:paraId="5C3B2AEB" w14:textId="77777777" w:rsidR="0039739C" w:rsidRDefault="007E62DB" w:rsidP="00C96177">
      <w:pPr>
        <w:spacing w:after="120" w:line="360" w:lineRule="auto"/>
        <w:ind w:firstLine="720"/>
        <w:jc w:val="right"/>
        <w:rPr>
          <w:sz w:val="20"/>
          <w:szCs w:val="20"/>
        </w:rPr>
      </w:pPr>
      <w:r>
        <w:rPr>
          <w:sz w:val="20"/>
          <w:szCs w:val="20"/>
        </w:rPr>
        <w:t xml:space="preserve">Trial Decision, </w:t>
      </w:r>
      <w:r>
        <w:rPr>
          <w:i/>
          <w:iCs/>
          <w:sz w:val="20"/>
          <w:szCs w:val="20"/>
        </w:rPr>
        <w:t>supra</w:t>
      </w:r>
      <w:r>
        <w:rPr>
          <w:sz w:val="20"/>
          <w:szCs w:val="20"/>
        </w:rPr>
        <w:t xml:space="preserve"> para 7 at 10.</w:t>
      </w:r>
    </w:p>
    <w:p w14:paraId="64EA5143" w14:textId="77777777" w:rsidR="0039739C" w:rsidRDefault="007E62DB">
      <w:pPr>
        <w:numPr>
          <w:ilvl w:val="0"/>
          <w:numId w:val="3"/>
        </w:numPr>
        <w:pBdr>
          <w:top w:val="nil"/>
          <w:left w:val="nil"/>
          <w:bottom w:val="nil"/>
          <w:right w:val="nil"/>
          <w:between w:val="nil"/>
        </w:pBdr>
        <w:spacing w:before="120" w:after="120" w:line="360" w:lineRule="auto"/>
        <w:jc w:val="both"/>
      </w:pPr>
      <w:r>
        <w:t xml:space="preserve">The occupied/habitually occupied definition still allows protections for indirect dependence in category 2 habitat if it directly impacts the nesting zone. A species need not occupy or habitually occupy habitat to receive protection under the amended </w:t>
      </w:r>
      <w:r>
        <w:rPr>
          <w:i/>
          <w:iCs/>
        </w:rPr>
        <w:t>ESA</w:t>
      </w:r>
      <w:r>
        <w:t xml:space="preserve">. </w:t>
      </w:r>
    </w:p>
    <w:p w14:paraId="0C3C6AA8" w14:textId="77777777" w:rsidR="0039739C" w:rsidRDefault="007E62DB">
      <w:pPr>
        <w:numPr>
          <w:ilvl w:val="0"/>
          <w:numId w:val="3"/>
        </w:numPr>
        <w:pBdr>
          <w:top w:val="nil"/>
          <w:left w:val="nil"/>
          <w:bottom w:val="nil"/>
          <w:right w:val="nil"/>
          <w:between w:val="nil"/>
        </w:pBdr>
        <w:spacing w:before="120" w:after="120" w:line="360" w:lineRule="auto"/>
        <w:jc w:val="both"/>
      </w:pPr>
      <w:r>
        <w:t xml:space="preserve">The 2025 </w:t>
      </w:r>
      <w:r>
        <w:rPr>
          <w:i/>
          <w:iCs/>
        </w:rPr>
        <w:t>ESA</w:t>
      </w:r>
      <w:r>
        <w:t xml:space="preserve"> definitions must be read in light of the purpose of the legislation. Although the definitions and purpose statements have been amended, the legislation remains committed to the protection of endangered species. The “habitat” definitions must be read broadly and seek to include rather than exclude protections for endangered species. Allowing a narrow definition of “habitat” contradicts the purpose of environmental legislation and what it purports to achieve.</w:t>
      </w:r>
    </w:p>
    <w:p w14:paraId="04D4776A" w14:textId="77777777" w:rsidR="0039739C" w:rsidRDefault="007E62DB">
      <w:pPr>
        <w:numPr>
          <w:ilvl w:val="0"/>
          <w:numId w:val="3"/>
        </w:numPr>
        <w:spacing w:before="120" w:after="120" w:line="360" w:lineRule="auto"/>
        <w:jc w:val="both"/>
      </w:pPr>
      <w:r>
        <w:t xml:space="preserve">Returning to the facts at issue here, under the new definition of “habitat” the judge could convict CHL using the new definition of habitat by concluding that the new definitions still allow for a broad interpretation of activities that are “essential” for Blanding’s turtle survival. A purposive reading of the occupied/habitually occupied subclauses would allow the Trial Judge to draw this inference and support the ruling against CHL. </w:t>
      </w:r>
    </w:p>
    <w:p w14:paraId="65F5E2D1" w14:textId="77777777" w:rsidR="0039739C" w:rsidRDefault="007E62DB">
      <w:pPr>
        <w:pStyle w:val="Heading1"/>
        <w:spacing w:before="240" w:after="240"/>
        <w:jc w:val="both"/>
        <w:rPr>
          <w:rFonts w:ascii="Times New Roman" w:eastAsia="Times New Roman" w:hAnsi="Times New Roman" w:cs="Times New Roman"/>
        </w:rPr>
      </w:pPr>
      <w:bookmarkStart w:id="29" w:name="_heading=h.8nm7ky9fipl" w:colFirst="0" w:colLast="0"/>
      <w:bookmarkEnd w:id="29"/>
      <w:r>
        <w:rPr>
          <w:rFonts w:ascii="Times New Roman" w:eastAsia="Times New Roman" w:hAnsi="Times New Roman" w:cs="Times New Roman"/>
        </w:rPr>
        <w:t>PART IV -- SUBMISSIONS IN SUPPORT OF COSTS</w:t>
      </w:r>
    </w:p>
    <w:p w14:paraId="250B4671" w14:textId="77777777" w:rsidR="0039739C" w:rsidRDefault="007E62DB">
      <w:pPr>
        <w:numPr>
          <w:ilvl w:val="0"/>
          <w:numId w:val="3"/>
        </w:numPr>
        <w:pBdr>
          <w:top w:val="nil"/>
          <w:left w:val="nil"/>
          <w:bottom w:val="nil"/>
          <w:right w:val="nil"/>
          <w:between w:val="nil"/>
        </w:pBdr>
        <w:spacing w:before="120" w:after="120" w:line="360" w:lineRule="auto"/>
        <w:jc w:val="both"/>
      </w:pPr>
      <w:r>
        <w:t xml:space="preserve">The Province does not seek costs against CHL. </w:t>
      </w:r>
    </w:p>
    <w:p w14:paraId="3C9A20B6" w14:textId="77777777" w:rsidR="0039739C" w:rsidRDefault="007E62DB">
      <w:pPr>
        <w:pStyle w:val="Heading1"/>
        <w:spacing w:before="240" w:after="240"/>
        <w:jc w:val="both"/>
        <w:rPr>
          <w:rFonts w:ascii="Times New Roman" w:eastAsia="Times New Roman" w:hAnsi="Times New Roman" w:cs="Times New Roman"/>
        </w:rPr>
      </w:pPr>
      <w:bookmarkStart w:id="30" w:name="_heading=h.a2act04emagj" w:colFirst="0" w:colLast="0"/>
      <w:bookmarkEnd w:id="30"/>
      <w:r>
        <w:rPr>
          <w:rFonts w:ascii="Times New Roman" w:eastAsia="Times New Roman" w:hAnsi="Times New Roman" w:cs="Times New Roman"/>
        </w:rPr>
        <w:t>PART V -- ORDER SOUGHT</w:t>
      </w:r>
    </w:p>
    <w:p w14:paraId="2C218A41" w14:textId="4AE42DC6" w:rsidR="0039739C" w:rsidRDefault="007E62DB" w:rsidP="00C96177">
      <w:pPr>
        <w:numPr>
          <w:ilvl w:val="0"/>
          <w:numId w:val="3"/>
        </w:numPr>
        <w:pBdr>
          <w:top w:val="nil"/>
          <w:left w:val="nil"/>
          <w:bottom w:val="nil"/>
          <w:right w:val="nil"/>
          <w:between w:val="nil"/>
        </w:pBdr>
        <w:spacing w:before="120" w:after="120" w:line="360" w:lineRule="auto"/>
        <w:jc w:val="both"/>
      </w:pPr>
      <w:r>
        <w:t>The Province seeks an order reinstating the original penalty of $1.00 against CHL and the $200,000 donation paid to the Nature Conservancy of Canada.</w:t>
      </w:r>
    </w:p>
    <w:p w14:paraId="1DC1B21D" w14:textId="77777777" w:rsidR="0039739C" w:rsidRDefault="007E62DB" w:rsidP="00C96177">
      <w:pPr>
        <w:spacing w:before="240" w:after="240" w:line="360" w:lineRule="auto"/>
        <w:jc w:val="both"/>
      </w:pPr>
      <w:r>
        <w:t>ALL OF WHICH IS RESPECTFULLY SUBMITTED this 9th day of January, 2026.</w:t>
      </w:r>
    </w:p>
    <w:p w14:paraId="2ADAB57D" w14:textId="77777777" w:rsidR="0039739C" w:rsidRDefault="0039739C" w:rsidP="00C96177">
      <w:pPr>
        <w:spacing w:line="360" w:lineRule="auto"/>
        <w:jc w:val="center"/>
      </w:pPr>
    </w:p>
    <w:p w14:paraId="237143AB" w14:textId="77777777" w:rsidR="0039739C" w:rsidRDefault="007E62DB">
      <w:pPr>
        <w:spacing w:line="240" w:lineRule="auto"/>
        <w:jc w:val="right"/>
      </w:pPr>
      <w:r>
        <w:t>Ariane Lecompte</w:t>
      </w:r>
    </w:p>
    <w:p w14:paraId="4B3DC6FF" w14:textId="77777777" w:rsidR="0039739C" w:rsidRDefault="007E62DB">
      <w:pPr>
        <w:spacing w:line="240" w:lineRule="auto"/>
        <w:jc w:val="right"/>
      </w:pPr>
      <w:bookmarkStart w:id="31" w:name="bookmark=id.avb1gea98qcw" w:colFirst="0" w:colLast="0"/>
      <w:bookmarkEnd w:id="31"/>
      <w:r>
        <w:t>Craig Nix</w:t>
      </w:r>
    </w:p>
    <w:p w14:paraId="1C07F03E" w14:textId="77777777" w:rsidR="0039739C" w:rsidRDefault="007E62DB">
      <w:pPr>
        <w:spacing w:line="240" w:lineRule="auto"/>
        <w:jc w:val="right"/>
      </w:pPr>
      <w:r>
        <w:t>Will Oxtoby</w:t>
      </w:r>
    </w:p>
    <w:p w14:paraId="77983890" w14:textId="77777777" w:rsidR="0039739C" w:rsidRDefault="007E62DB">
      <w:pPr>
        <w:spacing w:line="240" w:lineRule="auto"/>
        <w:jc w:val="right"/>
      </w:pPr>
      <w:r>
        <w:t>     </w:t>
      </w:r>
    </w:p>
    <w:p w14:paraId="3EECA7E8" w14:textId="77777777" w:rsidR="00C96177" w:rsidRDefault="007E62DB" w:rsidP="00C96177">
      <w:pPr>
        <w:jc w:val="right"/>
      </w:pPr>
      <w:r>
        <w:t>Counsel for the Appellant</w:t>
      </w:r>
    </w:p>
    <w:p w14:paraId="250EFD89" w14:textId="1D46C47D" w:rsidR="0039739C" w:rsidRDefault="007E62DB" w:rsidP="00C96177">
      <w:pPr>
        <w:jc w:val="right"/>
      </w:pPr>
      <w:r>
        <w:t>His Majesty the King</w:t>
      </w:r>
    </w:p>
    <w:p w14:paraId="44FDE68B" w14:textId="77777777" w:rsidR="00C96177" w:rsidRDefault="00C96177" w:rsidP="00C96177">
      <w:pPr>
        <w:pStyle w:val="Heading1"/>
        <w:jc w:val="both"/>
        <w:rPr>
          <w:rFonts w:ascii="Times New Roman" w:eastAsia="Times New Roman" w:hAnsi="Times New Roman" w:cs="Times New Roman"/>
        </w:rPr>
      </w:pPr>
      <w:bookmarkStart w:id="32" w:name="_heading=h.gahwfkxwoq9" w:colFirst="0" w:colLast="0"/>
      <w:bookmarkStart w:id="33" w:name="_heading=h.42yb7jo9vl4" w:colFirst="0" w:colLast="0"/>
      <w:bookmarkStart w:id="34" w:name="_heading=h.nnl7usvn5efz" w:colFirst="0" w:colLast="0"/>
      <w:bookmarkStart w:id="35" w:name="_heading=h.e1jtsgbikio7" w:colFirst="0" w:colLast="0"/>
      <w:bookmarkStart w:id="36" w:name="_heading=h.7vg6uat9m9id" w:colFirst="0" w:colLast="0"/>
      <w:bookmarkStart w:id="37" w:name="_heading=h.vlkocys9mrjp" w:colFirst="0" w:colLast="0"/>
      <w:bookmarkEnd w:id="32"/>
      <w:bookmarkEnd w:id="33"/>
      <w:bookmarkEnd w:id="34"/>
      <w:bookmarkEnd w:id="35"/>
      <w:bookmarkEnd w:id="36"/>
      <w:bookmarkEnd w:id="37"/>
    </w:p>
    <w:p w14:paraId="699FBBE8" w14:textId="4536A2C6" w:rsidR="00C96177" w:rsidRDefault="007E62DB" w:rsidP="00C96177">
      <w:pPr>
        <w:pStyle w:val="Heading1"/>
        <w:jc w:val="both"/>
        <w:rPr>
          <w:rFonts w:ascii="Times New Roman" w:eastAsia="Times New Roman" w:hAnsi="Times New Roman" w:cs="Times New Roman"/>
        </w:rPr>
      </w:pPr>
      <w:r>
        <w:rPr>
          <w:rFonts w:ascii="Times New Roman" w:eastAsia="Times New Roman" w:hAnsi="Times New Roman" w:cs="Times New Roman"/>
        </w:rPr>
        <w:t>PART</w:t>
      </w:r>
      <w:r w:rsidR="00C96177">
        <w:rPr>
          <w:rFonts w:ascii="Times New Roman" w:eastAsia="Times New Roman" w:hAnsi="Times New Roman" w:cs="Times New Roman"/>
        </w:rPr>
        <w:t xml:space="preserve"> </w:t>
      </w:r>
      <w:r>
        <w:rPr>
          <w:rFonts w:ascii="Times New Roman" w:eastAsia="Times New Roman" w:hAnsi="Times New Roman" w:cs="Times New Roman"/>
        </w:rPr>
        <w:t>VI -- TABLE OF AUTHORITIES</w:t>
      </w:r>
      <w:r w:rsidR="00C96177">
        <w:rPr>
          <w:rFonts w:ascii="Times New Roman" w:eastAsia="Times New Roman" w:hAnsi="Times New Roman" w:cs="Times New Roman"/>
        </w:rPr>
        <w:t xml:space="preserve">  </w:t>
      </w:r>
    </w:p>
    <w:p w14:paraId="54611FAB" w14:textId="77777777" w:rsidR="00C96177" w:rsidRPr="00C96177" w:rsidRDefault="00C96177" w:rsidP="00C96177"/>
    <w:tbl>
      <w:tblPr>
        <w:tblStyle w:val="ab"/>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9739C" w14:paraId="66D8F84B" w14:textId="77777777" w:rsidTr="00C96177">
        <w:tc>
          <w:tcPr>
            <w:tcW w:w="4680" w:type="dxa"/>
          </w:tcPr>
          <w:p w14:paraId="3EB291D7" w14:textId="377CAE47" w:rsidR="0039739C" w:rsidRDefault="00C96177" w:rsidP="00C96177">
            <w:pPr>
              <w:widowControl w:val="0"/>
              <w:tabs>
                <w:tab w:val="left" w:pos="1564"/>
              </w:tabs>
              <w:spacing w:line="240" w:lineRule="auto"/>
              <w:rPr>
                <w:b/>
                <w:bCs/>
              </w:rPr>
            </w:pPr>
            <w:r>
              <w:rPr>
                <w:b/>
                <w:bCs/>
              </w:rPr>
              <w:t>Authorities</w:t>
            </w:r>
          </w:p>
        </w:tc>
        <w:tc>
          <w:tcPr>
            <w:tcW w:w="4680" w:type="dxa"/>
          </w:tcPr>
          <w:p w14:paraId="6391AE4F" w14:textId="77777777" w:rsidR="0039739C" w:rsidRDefault="007E62DB" w:rsidP="00C96177">
            <w:pPr>
              <w:widowControl w:val="0"/>
              <w:spacing w:line="240" w:lineRule="auto"/>
              <w:rPr>
                <w:b/>
                <w:bCs/>
              </w:rPr>
            </w:pPr>
            <w:r>
              <w:rPr>
                <w:b/>
                <w:bCs/>
              </w:rPr>
              <w:t>Paragraph #</w:t>
            </w:r>
          </w:p>
        </w:tc>
      </w:tr>
      <w:tr w:rsidR="0039739C" w14:paraId="55E9CC5A" w14:textId="77777777" w:rsidTr="00C96177">
        <w:tc>
          <w:tcPr>
            <w:tcW w:w="4680" w:type="dxa"/>
          </w:tcPr>
          <w:p w14:paraId="2CBA4F28" w14:textId="77777777" w:rsidR="0039739C" w:rsidRDefault="007E62DB" w:rsidP="00C96177">
            <w:pPr>
              <w:widowControl w:val="0"/>
              <w:spacing w:before="120" w:after="120" w:line="240" w:lineRule="auto"/>
            </w:pPr>
            <w:r>
              <w:rPr>
                <w:i/>
                <w:iCs/>
                <w:highlight w:val="white"/>
              </w:rPr>
              <w:t xml:space="preserve">Alliance to Protect Prince Edward County v Director, Ministry of the Environment, </w:t>
            </w:r>
            <w:r>
              <w:rPr>
                <w:highlight w:val="white"/>
              </w:rPr>
              <w:t>2013 CarswellOnt 9187 (Ont Environ Rev Trib), [2013] OERTD No 40</w:t>
            </w:r>
          </w:p>
        </w:tc>
        <w:tc>
          <w:tcPr>
            <w:tcW w:w="4680" w:type="dxa"/>
          </w:tcPr>
          <w:p w14:paraId="027B7951" w14:textId="77777777" w:rsidR="0039739C" w:rsidRDefault="007E62DB" w:rsidP="00C96177">
            <w:pPr>
              <w:widowControl w:val="0"/>
              <w:spacing w:line="240" w:lineRule="auto"/>
            </w:pPr>
            <w:r>
              <w:t>77</w:t>
            </w:r>
          </w:p>
        </w:tc>
      </w:tr>
      <w:tr w:rsidR="0039739C" w14:paraId="25AC08A1" w14:textId="77777777" w:rsidTr="00C96177">
        <w:tc>
          <w:tcPr>
            <w:tcW w:w="4680" w:type="dxa"/>
          </w:tcPr>
          <w:p w14:paraId="05516DD2" w14:textId="77777777" w:rsidR="0039739C" w:rsidRDefault="007E62DB" w:rsidP="00C96177">
            <w:pPr>
              <w:shd w:val="clear" w:color="auto" w:fill="FFFFFF"/>
              <w:spacing w:before="120" w:after="120" w:line="288" w:lineRule="auto"/>
              <w:rPr>
                <w:i/>
                <w:iCs/>
              </w:rPr>
            </w:pPr>
            <w:r>
              <w:rPr>
                <w:i/>
                <w:iCs/>
              </w:rPr>
              <w:t>Canada Evidence Act</w:t>
            </w:r>
            <w:r>
              <w:t>, RSC 1985, c C-5</w:t>
            </w:r>
          </w:p>
        </w:tc>
        <w:tc>
          <w:tcPr>
            <w:tcW w:w="4680" w:type="dxa"/>
          </w:tcPr>
          <w:p w14:paraId="1FEEC298" w14:textId="77777777" w:rsidR="0039739C" w:rsidRDefault="007E62DB" w:rsidP="00C96177">
            <w:pPr>
              <w:widowControl w:val="0"/>
              <w:spacing w:line="240" w:lineRule="auto"/>
            </w:pPr>
            <w:r>
              <w:t>62</w:t>
            </w:r>
          </w:p>
        </w:tc>
      </w:tr>
      <w:tr w:rsidR="0039739C" w14:paraId="5DB56903" w14:textId="77777777" w:rsidTr="00C96177">
        <w:tc>
          <w:tcPr>
            <w:tcW w:w="4680" w:type="dxa"/>
          </w:tcPr>
          <w:p w14:paraId="53D3BFEF" w14:textId="77777777" w:rsidR="0039739C" w:rsidRDefault="007E62DB" w:rsidP="00C96177">
            <w:pPr>
              <w:widowControl w:val="0"/>
              <w:spacing w:before="120" w:after="120" w:line="240" w:lineRule="auto"/>
            </w:pPr>
            <w:r>
              <w:rPr>
                <w:i/>
                <w:iCs/>
              </w:rPr>
              <w:t>Castonguay Blasting Ltd v Ontario</w:t>
            </w:r>
            <w:r>
              <w:t>, 2013 SCC 52</w:t>
            </w:r>
          </w:p>
        </w:tc>
        <w:tc>
          <w:tcPr>
            <w:tcW w:w="4680" w:type="dxa"/>
          </w:tcPr>
          <w:p w14:paraId="7D771D8B" w14:textId="77777777" w:rsidR="0039739C" w:rsidRDefault="007E62DB" w:rsidP="00C96177">
            <w:pPr>
              <w:widowControl w:val="0"/>
              <w:spacing w:line="240" w:lineRule="auto"/>
            </w:pPr>
            <w:r>
              <w:t>46, 52</w:t>
            </w:r>
          </w:p>
        </w:tc>
      </w:tr>
      <w:tr w:rsidR="0039739C" w14:paraId="6C7836B6" w14:textId="77777777" w:rsidTr="00C96177">
        <w:tc>
          <w:tcPr>
            <w:tcW w:w="4680" w:type="dxa"/>
          </w:tcPr>
          <w:p w14:paraId="138A7A2D" w14:textId="77777777" w:rsidR="0039739C" w:rsidRDefault="007E62DB" w:rsidP="00C96177">
            <w:pPr>
              <w:widowControl w:val="0"/>
              <w:spacing w:before="120" w:after="120" w:line="240" w:lineRule="auto"/>
            </w:pPr>
            <w:r>
              <w:rPr>
                <w:i/>
                <w:iCs/>
              </w:rPr>
              <w:t>Endangered Species Act</w:t>
            </w:r>
            <w:r>
              <w:t>,</w:t>
            </w:r>
            <w:r>
              <w:rPr>
                <w:i/>
                <w:iCs/>
              </w:rPr>
              <w:t xml:space="preserve"> 2007,</w:t>
            </w:r>
            <w:r>
              <w:t xml:space="preserve"> SO 2007, c 6</w:t>
            </w:r>
          </w:p>
        </w:tc>
        <w:tc>
          <w:tcPr>
            <w:tcW w:w="4680" w:type="dxa"/>
          </w:tcPr>
          <w:p w14:paraId="427DBAE8" w14:textId="77777777" w:rsidR="0039739C" w:rsidRDefault="007E62DB" w:rsidP="00C96177">
            <w:pPr>
              <w:widowControl w:val="0"/>
              <w:spacing w:line="240" w:lineRule="auto"/>
            </w:pPr>
            <w:r>
              <w:t>1, 12, 47, 71, 72, 75, 84, 89, 94</w:t>
            </w:r>
          </w:p>
        </w:tc>
      </w:tr>
      <w:tr w:rsidR="0039739C" w14:paraId="19E6F60D" w14:textId="77777777" w:rsidTr="00C96177">
        <w:tc>
          <w:tcPr>
            <w:tcW w:w="4680" w:type="dxa"/>
          </w:tcPr>
          <w:p w14:paraId="5AD7DB8D" w14:textId="77777777" w:rsidR="0039739C" w:rsidRDefault="007E62DB" w:rsidP="00C96177">
            <w:pPr>
              <w:shd w:val="clear" w:color="auto" w:fill="FFFFFF"/>
              <w:spacing w:before="120" w:after="120"/>
              <w:rPr>
                <w:i/>
                <w:iCs/>
                <w:sz w:val="28"/>
                <w:szCs w:val="28"/>
              </w:rPr>
            </w:pPr>
            <w:r>
              <w:rPr>
                <w:i/>
                <w:iCs/>
              </w:rPr>
              <w:t>Evidence Act</w:t>
            </w:r>
            <w:r>
              <w:t>, R.S.O. 1990, c. E.23</w:t>
            </w:r>
          </w:p>
        </w:tc>
        <w:tc>
          <w:tcPr>
            <w:tcW w:w="4680" w:type="dxa"/>
          </w:tcPr>
          <w:p w14:paraId="260E9E98" w14:textId="77777777" w:rsidR="0039739C" w:rsidRDefault="007E62DB" w:rsidP="00C96177">
            <w:pPr>
              <w:widowControl w:val="0"/>
              <w:spacing w:line="240" w:lineRule="auto"/>
            </w:pPr>
            <w:r>
              <w:t>62, 64</w:t>
            </w:r>
          </w:p>
        </w:tc>
      </w:tr>
      <w:tr w:rsidR="0039739C" w14:paraId="6DE5F8DD" w14:textId="77777777" w:rsidTr="00C96177">
        <w:tc>
          <w:tcPr>
            <w:tcW w:w="4680" w:type="dxa"/>
          </w:tcPr>
          <w:p w14:paraId="4C7A197A" w14:textId="77777777" w:rsidR="0039739C" w:rsidRDefault="007E62DB" w:rsidP="00C96177">
            <w:pPr>
              <w:spacing w:before="120" w:after="120" w:line="240" w:lineRule="auto"/>
              <w:rPr>
                <w:i/>
                <w:iCs/>
              </w:rPr>
            </w:pPr>
            <w:r>
              <w:rPr>
                <w:i/>
                <w:iCs/>
              </w:rPr>
              <w:t xml:space="preserve">R v Consolidated Homes </w:t>
            </w:r>
            <w:r>
              <w:t xml:space="preserve">(12 October 2022), North Bay 2560-999-19-0038-00 (ONCJ (GD)) (Evidence, Examination-in-Chief of Shamus Snell, Trial </w:t>
            </w:r>
            <w:r>
              <w:t>Transcript for May 3)</w:t>
            </w:r>
          </w:p>
        </w:tc>
        <w:tc>
          <w:tcPr>
            <w:tcW w:w="4680" w:type="dxa"/>
          </w:tcPr>
          <w:p w14:paraId="0330457A" w14:textId="77777777" w:rsidR="0039739C" w:rsidRDefault="007E62DB" w:rsidP="00C96177">
            <w:pPr>
              <w:widowControl w:val="0"/>
              <w:spacing w:line="240" w:lineRule="auto"/>
            </w:pPr>
            <w:r>
              <w:t>8, 28, 52, 58</w:t>
            </w:r>
          </w:p>
        </w:tc>
      </w:tr>
      <w:tr w:rsidR="0039739C" w14:paraId="67F31E13" w14:textId="77777777" w:rsidTr="00C96177">
        <w:tc>
          <w:tcPr>
            <w:tcW w:w="4680" w:type="dxa"/>
          </w:tcPr>
          <w:p w14:paraId="2A892230" w14:textId="77777777" w:rsidR="0039739C" w:rsidRDefault="007E62DB" w:rsidP="00C96177">
            <w:pPr>
              <w:widowControl w:val="0"/>
              <w:spacing w:before="120" w:after="120" w:line="240" w:lineRule="auto"/>
            </w:pPr>
            <w:r>
              <w:rPr>
                <w:i/>
                <w:iCs/>
              </w:rPr>
              <w:t>Fisheries Act</w:t>
            </w:r>
            <w:r>
              <w:t>, RSC, 1985, c F-14</w:t>
            </w:r>
          </w:p>
        </w:tc>
        <w:tc>
          <w:tcPr>
            <w:tcW w:w="4680" w:type="dxa"/>
          </w:tcPr>
          <w:p w14:paraId="69F1450E" w14:textId="77777777" w:rsidR="0039739C" w:rsidRDefault="007E62DB" w:rsidP="00C96177">
            <w:pPr>
              <w:widowControl w:val="0"/>
              <w:spacing w:line="240" w:lineRule="auto"/>
            </w:pPr>
            <w:r>
              <w:t>78</w:t>
            </w:r>
          </w:p>
        </w:tc>
      </w:tr>
      <w:tr w:rsidR="0039739C" w14:paraId="105DCDFF" w14:textId="77777777" w:rsidTr="00C96177">
        <w:tc>
          <w:tcPr>
            <w:tcW w:w="4680" w:type="dxa"/>
          </w:tcPr>
          <w:p w14:paraId="74D59FA2" w14:textId="77777777" w:rsidR="0039739C" w:rsidRDefault="007E62DB" w:rsidP="00C96177">
            <w:pPr>
              <w:widowControl w:val="0"/>
              <w:spacing w:before="120" w:after="120" w:line="240" w:lineRule="auto"/>
            </w:pPr>
            <w:r>
              <w:rPr>
                <w:i/>
                <w:iCs/>
              </w:rPr>
              <w:t>Housen v Nikolaisen,</w:t>
            </w:r>
            <w:r>
              <w:t xml:space="preserve"> 2002 SCC 33</w:t>
            </w:r>
          </w:p>
        </w:tc>
        <w:tc>
          <w:tcPr>
            <w:tcW w:w="4680" w:type="dxa"/>
          </w:tcPr>
          <w:p w14:paraId="4259F6CC" w14:textId="77777777" w:rsidR="0039739C" w:rsidRDefault="007E62DB" w:rsidP="00C96177">
            <w:pPr>
              <w:widowControl w:val="0"/>
              <w:spacing w:line="240" w:lineRule="auto"/>
            </w:pPr>
            <w:r>
              <w:t>49</w:t>
            </w:r>
          </w:p>
        </w:tc>
      </w:tr>
      <w:tr w:rsidR="0039739C" w14:paraId="7729F05E" w14:textId="77777777" w:rsidTr="00C96177">
        <w:tc>
          <w:tcPr>
            <w:tcW w:w="4680" w:type="dxa"/>
          </w:tcPr>
          <w:p w14:paraId="79B479F6" w14:textId="77777777" w:rsidR="0039739C" w:rsidRDefault="007E62DB" w:rsidP="00C96177">
            <w:pPr>
              <w:spacing w:before="120" w:after="120" w:line="240" w:lineRule="auto"/>
              <w:rPr>
                <w:i/>
                <w:iCs/>
              </w:rPr>
            </w:pPr>
            <w:r>
              <w:rPr>
                <w:i/>
                <w:iCs/>
              </w:rPr>
              <w:t>Legislation Act</w:t>
            </w:r>
            <w:r>
              <w:t>, 2006, SO 2006, c 21, Sched F, s 64(1)</w:t>
            </w:r>
          </w:p>
        </w:tc>
        <w:tc>
          <w:tcPr>
            <w:tcW w:w="4680" w:type="dxa"/>
          </w:tcPr>
          <w:p w14:paraId="1BB7D9C4" w14:textId="77777777" w:rsidR="0039739C" w:rsidRDefault="007E62DB" w:rsidP="00C96177">
            <w:pPr>
              <w:widowControl w:val="0"/>
              <w:spacing w:line="240" w:lineRule="auto"/>
            </w:pPr>
            <w:r>
              <w:t>45, 47</w:t>
            </w:r>
          </w:p>
        </w:tc>
      </w:tr>
      <w:tr w:rsidR="0039739C" w14:paraId="01FD0986" w14:textId="77777777" w:rsidTr="00C96177">
        <w:tc>
          <w:tcPr>
            <w:tcW w:w="4680" w:type="dxa"/>
          </w:tcPr>
          <w:p w14:paraId="1EF740E2" w14:textId="77777777" w:rsidR="0039739C" w:rsidRDefault="007E62DB" w:rsidP="00C96177">
            <w:pPr>
              <w:widowControl w:val="0"/>
              <w:spacing w:before="120" w:after="120" w:line="240" w:lineRule="auto"/>
              <w:rPr>
                <w:i/>
                <w:iCs/>
              </w:rPr>
            </w:pPr>
            <w:r>
              <w:t>MacLean, Jason &amp; Chris Tollefson, “</w:t>
            </w:r>
            <w:r>
              <w:rPr>
                <w:i/>
                <w:iCs/>
              </w:rPr>
              <w:t xml:space="preserve">Climate-Proofing Judicial Review after </w:t>
            </w:r>
            <w:r>
              <w:rPr>
                <w:i/>
                <w:iCs/>
              </w:rPr>
              <w:t>Paris: Judicial Competence and Courage”</w:t>
            </w:r>
            <w:r>
              <w:t xml:space="preserve"> (2018) 31 J Envtl L &amp; Prac 245</w:t>
            </w:r>
          </w:p>
        </w:tc>
        <w:tc>
          <w:tcPr>
            <w:tcW w:w="4680" w:type="dxa"/>
          </w:tcPr>
          <w:p w14:paraId="0E80E5D0" w14:textId="77777777" w:rsidR="0039739C" w:rsidRDefault="007E62DB" w:rsidP="00C96177">
            <w:pPr>
              <w:widowControl w:val="0"/>
              <w:spacing w:line="240" w:lineRule="auto"/>
            </w:pPr>
            <w:r>
              <w:t>75</w:t>
            </w:r>
          </w:p>
        </w:tc>
      </w:tr>
      <w:tr w:rsidR="0039739C" w14:paraId="25F53129" w14:textId="77777777" w:rsidTr="00C96177">
        <w:tc>
          <w:tcPr>
            <w:tcW w:w="4680" w:type="dxa"/>
          </w:tcPr>
          <w:p w14:paraId="63630C8E" w14:textId="77777777" w:rsidR="0039739C" w:rsidRDefault="007E62DB" w:rsidP="00C96177">
            <w:pPr>
              <w:widowControl w:val="0"/>
              <w:spacing w:before="120" w:after="120" w:line="240" w:lineRule="auto"/>
            </w:pPr>
            <w:r>
              <w:t xml:space="preserve">Ontario, Legislative Assembly of Ontario, </w:t>
            </w:r>
            <w:r>
              <w:rPr>
                <w:i/>
                <w:iCs/>
              </w:rPr>
              <w:t>Official Report of Debates</w:t>
            </w:r>
            <w:r>
              <w:t xml:space="preserve">, Standing Committee on Government, </w:t>
            </w:r>
            <w:r>
              <w:rPr>
                <w:i/>
                <w:iCs/>
              </w:rPr>
              <w:t>Endangered Species Act, 2007</w:t>
            </w:r>
            <w:r>
              <w:t>, 38-2 (9 May 2007)</w:t>
            </w:r>
          </w:p>
        </w:tc>
        <w:tc>
          <w:tcPr>
            <w:tcW w:w="4680" w:type="dxa"/>
          </w:tcPr>
          <w:p w14:paraId="69E58A3D" w14:textId="77777777" w:rsidR="0039739C" w:rsidRDefault="007E62DB" w:rsidP="00C96177">
            <w:pPr>
              <w:widowControl w:val="0"/>
              <w:spacing w:line="240" w:lineRule="auto"/>
            </w:pPr>
            <w:r>
              <w:t>87</w:t>
            </w:r>
          </w:p>
        </w:tc>
      </w:tr>
      <w:tr w:rsidR="0039739C" w14:paraId="683A9A08" w14:textId="77777777" w:rsidTr="00C96177">
        <w:trPr>
          <w:trHeight w:val="746"/>
        </w:trPr>
        <w:tc>
          <w:tcPr>
            <w:tcW w:w="4680" w:type="dxa"/>
          </w:tcPr>
          <w:p w14:paraId="4A6BB40E" w14:textId="77777777" w:rsidR="0039739C" w:rsidRDefault="007E62DB" w:rsidP="00C96177">
            <w:pPr>
              <w:widowControl w:val="0"/>
              <w:spacing w:before="120" w:after="120" w:line="240" w:lineRule="auto"/>
            </w:pPr>
            <w:r>
              <w:t xml:space="preserve">Ontario, Ministry of the Environment Conservation and Parks, July 2013 </w:t>
            </w:r>
            <w:r>
              <w:rPr>
                <w:i/>
                <w:iCs/>
              </w:rPr>
              <w:t>General Habitat Description for the Blanding’s turtle</w:t>
            </w:r>
          </w:p>
        </w:tc>
        <w:tc>
          <w:tcPr>
            <w:tcW w:w="4680" w:type="dxa"/>
          </w:tcPr>
          <w:p w14:paraId="20E765D7" w14:textId="77777777" w:rsidR="0039739C" w:rsidRDefault="007E62DB" w:rsidP="00C96177">
            <w:pPr>
              <w:widowControl w:val="0"/>
              <w:spacing w:line="240" w:lineRule="auto"/>
            </w:pPr>
            <w:r>
              <w:t>7, 26, 27, 98</w:t>
            </w:r>
          </w:p>
        </w:tc>
      </w:tr>
      <w:tr w:rsidR="0039739C" w14:paraId="44530B9E" w14:textId="77777777" w:rsidTr="00C96177">
        <w:tc>
          <w:tcPr>
            <w:tcW w:w="4680" w:type="dxa"/>
          </w:tcPr>
          <w:p w14:paraId="2B341633" w14:textId="77777777" w:rsidR="0039739C" w:rsidRDefault="007E62DB" w:rsidP="00C96177">
            <w:pPr>
              <w:spacing w:before="120" w:after="120" w:line="240" w:lineRule="auto"/>
              <w:rPr>
                <w:i/>
                <w:iCs/>
              </w:rPr>
            </w:pPr>
            <w:r>
              <w:rPr>
                <w:i/>
                <w:iCs/>
              </w:rPr>
              <w:lastRenderedPageBreak/>
              <w:t>Ontario (Natural Resources and Forestry) v South Bruce Peninsula (Town)</w:t>
            </w:r>
            <w:r>
              <w:t>, 2022 ONCA 315</w:t>
            </w:r>
          </w:p>
        </w:tc>
        <w:tc>
          <w:tcPr>
            <w:tcW w:w="4680" w:type="dxa"/>
          </w:tcPr>
          <w:p w14:paraId="08446E95" w14:textId="77777777" w:rsidR="0039739C" w:rsidRDefault="007E62DB" w:rsidP="00C96177">
            <w:pPr>
              <w:widowControl w:val="0"/>
              <w:spacing w:line="240" w:lineRule="auto"/>
            </w:pPr>
            <w:r>
              <w:t>46, 52, 59</w:t>
            </w:r>
          </w:p>
        </w:tc>
      </w:tr>
      <w:tr w:rsidR="0039739C" w14:paraId="356CDD8C" w14:textId="77777777" w:rsidTr="00C96177">
        <w:tc>
          <w:tcPr>
            <w:tcW w:w="4680" w:type="dxa"/>
          </w:tcPr>
          <w:p w14:paraId="40F17CCC" w14:textId="77777777" w:rsidR="0039739C" w:rsidRDefault="007E62DB" w:rsidP="00C96177">
            <w:pPr>
              <w:widowControl w:val="0"/>
              <w:spacing w:before="120" w:after="120" w:line="240" w:lineRule="auto"/>
            </w:pPr>
            <w:r>
              <w:rPr>
                <w:i/>
                <w:iCs/>
              </w:rPr>
              <w:t xml:space="preserve">Protecting Ontario By Unleashing Our </w:t>
            </w:r>
            <w:r>
              <w:rPr>
                <w:i/>
                <w:iCs/>
              </w:rPr>
              <w:t>Economy</w:t>
            </w:r>
            <w:r>
              <w:t>, 2025, 44th leg, 1st Sess, Ontario, 2025 C-5</w:t>
            </w:r>
          </w:p>
        </w:tc>
        <w:tc>
          <w:tcPr>
            <w:tcW w:w="4680" w:type="dxa"/>
          </w:tcPr>
          <w:p w14:paraId="0B4D7421" w14:textId="77777777" w:rsidR="0039739C" w:rsidRDefault="007E62DB" w:rsidP="00C96177">
            <w:pPr>
              <w:widowControl w:val="0"/>
              <w:spacing w:line="240" w:lineRule="auto"/>
            </w:pPr>
            <w:r>
              <w:t>40, 41, 91</w:t>
            </w:r>
          </w:p>
        </w:tc>
      </w:tr>
      <w:tr w:rsidR="0039739C" w14:paraId="73AB1943" w14:textId="77777777" w:rsidTr="00C96177">
        <w:tc>
          <w:tcPr>
            <w:tcW w:w="4680" w:type="dxa"/>
          </w:tcPr>
          <w:p w14:paraId="2C7C093F" w14:textId="77777777" w:rsidR="0039739C" w:rsidRDefault="007E62DB" w:rsidP="00C96177">
            <w:pPr>
              <w:widowControl w:val="0"/>
              <w:spacing w:before="120" w:after="120" w:line="240" w:lineRule="auto"/>
            </w:pPr>
            <w:r>
              <w:t xml:space="preserve">Province of Ontario, Ministry of the Environment, Conservation, and Parks, </w:t>
            </w:r>
            <w:r>
              <w:rPr>
                <w:i/>
                <w:iCs/>
              </w:rPr>
              <w:t>Categorizing and Protecting Habitat under the Endangered Species Act</w:t>
            </w:r>
            <w:r>
              <w:t>, (Ottawa: King’s Printer for Ontario, 2015)</w:t>
            </w:r>
          </w:p>
        </w:tc>
        <w:tc>
          <w:tcPr>
            <w:tcW w:w="4680" w:type="dxa"/>
          </w:tcPr>
          <w:p w14:paraId="2D7B7102" w14:textId="77777777" w:rsidR="0039739C" w:rsidRDefault="007E62DB" w:rsidP="00C96177">
            <w:pPr>
              <w:widowControl w:val="0"/>
              <w:spacing w:line="240" w:lineRule="auto"/>
            </w:pPr>
            <w:r>
              <w:t>68, 70</w:t>
            </w:r>
          </w:p>
        </w:tc>
      </w:tr>
      <w:tr w:rsidR="0039739C" w14:paraId="1FB26E22" w14:textId="77777777" w:rsidTr="00C96177">
        <w:tc>
          <w:tcPr>
            <w:tcW w:w="4680" w:type="dxa"/>
          </w:tcPr>
          <w:p w14:paraId="05F520BF" w14:textId="77777777" w:rsidR="0039739C" w:rsidRDefault="007E62DB" w:rsidP="00C96177">
            <w:pPr>
              <w:widowControl w:val="0"/>
              <w:spacing w:before="120" w:after="120" w:line="240" w:lineRule="auto"/>
            </w:pPr>
            <w:r>
              <w:t xml:space="preserve">Province of Ontario, Ministry of the Environment, Conservation, and Parks, </w:t>
            </w:r>
            <w:r>
              <w:rPr>
                <w:i/>
                <w:iCs/>
              </w:rPr>
              <w:t>Blanding’s turtle: Ontario Recovery Strategy Series</w:t>
            </w:r>
            <w:r>
              <w:t>, (Queen’s Printer for Ontario 2019)</w:t>
            </w:r>
          </w:p>
        </w:tc>
        <w:tc>
          <w:tcPr>
            <w:tcW w:w="4680" w:type="dxa"/>
          </w:tcPr>
          <w:p w14:paraId="27F5E72D" w14:textId="77777777" w:rsidR="0039739C" w:rsidRDefault="007E62DB" w:rsidP="00C96177">
            <w:pPr>
              <w:widowControl w:val="0"/>
              <w:spacing w:line="240" w:lineRule="auto"/>
            </w:pPr>
            <w:r>
              <w:t>71</w:t>
            </w:r>
          </w:p>
        </w:tc>
      </w:tr>
      <w:tr w:rsidR="0039739C" w14:paraId="2CF34290" w14:textId="77777777" w:rsidTr="00C96177">
        <w:tc>
          <w:tcPr>
            <w:tcW w:w="4680" w:type="dxa"/>
          </w:tcPr>
          <w:p w14:paraId="1B37DE74" w14:textId="77777777" w:rsidR="0039739C" w:rsidRDefault="007E62DB" w:rsidP="00C96177">
            <w:pPr>
              <w:widowControl w:val="0"/>
              <w:spacing w:before="120" w:after="120" w:line="240" w:lineRule="auto"/>
            </w:pPr>
            <w:r>
              <w:rPr>
                <w:i/>
                <w:iCs/>
              </w:rPr>
              <w:t>Quebec (Attorney General) v Moses</w:t>
            </w:r>
            <w:r>
              <w:t>, 2010 SCC 17</w:t>
            </w:r>
          </w:p>
        </w:tc>
        <w:tc>
          <w:tcPr>
            <w:tcW w:w="4680" w:type="dxa"/>
          </w:tcPr>
          <w:p w14:paraId="495DC249" w14:textId="77777777" w:rsidR="0039739C" w:rsidRDefault="007E62DB" w:rsidP="00C96177">
            <w:pPr>
              <w:widowControl w:val="0"/>
              <w:spacing w:line="240" w:lineRule="auto"/>
            </w:pPr>
            <w:r>
              <w:t>47</w:t>
            </w:r>
          </w:p>
        </w:tc>
      </w:tr>
      <w:tr w:rsidR="0039739C" w14:paraId="1D01EC88" w14:textId="77777777" w:rsidTr="00C96177">
        <w:tc>
          <w:tcPr>
            <w:tcW w:w="4680" w:type="dxa"/>
          </w:tcPr>
          <w:p w14:paraId="0B4D5233" w14:textId="77777777" w:rsidR="0039739C" w:rsidRDefault="007E62DB" w:rsidP="00C96177">
            <w:pPr>
              <w:widowControl w:val="0"/>
              <w:spacing w:before="120" w:after="120" w:line="240" w:lineRule="auto"/>
            </w:pPr>
            <w:r>
              <w:rPr>
                <w:i/>
                <w:iCs/>
              </w:rPr>
              <w:t>R v Bowcott,</w:t>
            </w:r>
            <w:r>
              <w:t xml:space="preserve"> 1998 CanLII 999 (BCSC)</w:t>
            </w:r>
          </w:p>
        </w:tc>
        <w:tc>
          <w:tcPr>
            <w:tcW w:w="4680" w:type="dxa"/>
          </w:tcPr>
          <w:p w14:paraId="305737BC" w14:textId="77777777" w:rsidR="0039739C" w:rsidRDefault="007E62DB" w:rsidP="00C96177">
            <w:pPr>
              <w:widowControl w:val="0"/>
              <w:spacing w:line="240" w:lineRule="auto"/>
            </w:pPr>
            <w:r>
              <w:t>80, 81</w:t>
            </w:r>
          </w:p>
        </w:tc>
      </w:tr>
      <w:tr w:rsidR="0039739C" w14:paraId="00F97187" w14:textId="77777777" w:rsidTr="00C96177">
        <w:tc>
          <w:tcPr>
            <w:tcW w:w="4680" w:type="dxa"/>
          </w:tcPr>
          <w:p w14:paraId="6DDBF0F3" w14:textId="77777777" w:rsidR="0039739C" w:rsidRDefault="007E62DB" w:rsidP="00C96177">
            <w:pPr>
              <w:widowControl w:val="0"/>
              <w:spacing w:before="120" w:after="120" w:line="240" w:lineRule="auto"/>
            </w:pPr>
            <w:r>
              <w:rPr>
                <w:i/>
                <w:iCs/>
              </w:rPr>
              <w:t xml:space="preserve">R v Consolidated Homes </w:t>
            </w:r>
            <w:r>
              <w:t>(12 October 2022), North Bay 2560-999-19-0038-00 (ONCJ (GD))</w:t>
            </w:r>
          </w:p>
        </w:tc>
        <w:tc>
          <w:tcPr>
            <w:tcW w:w="4680" w:type="dxa"/>
          </w:tcPr>
          <w:p w14:paraId="29B7886C" w14:textId="77777777" w:rsidR="0039739C" w:rsidRDefault="007E62DB" w:rsidP="00C96177">
            <w:pPr>
              <w:widowControl w:val="0"/>
              <w:spacing w:line="240" w:lineRule="auto"/>
            </w:pPr>
            <w:r>
              <w:t>7, 8, 9, 10, 14, 17, 18, 19, 20, 21, 24, 25, 27, 29, 30, 31, 32, 33, 83, 98, 100</w:t>
            </w:r>
          </w:p>
        </w:tc>
      </w:tr>
      <w:tr w:rsidR="0039739C" w14:paraId="65D635A6" w14:textId="77777777" w:rsidTr="00C96177">
        <w:tc>
          <w:tcPr>
            <w:tcW w:w="4680" w:type="dxa"/>
          </w:tcPr>
          <w:p w14:paraId="7C84F6CB" w14:textId="77777777" w:rsidR="0039739C" w:rsidRDefault="007E62DB" w:rsidP="00C96177">
            <w:pPr>
              <w:widowControl w:val="0"/>
              <w:spacing w:before="120" w:after="120" w:line="240" w:lineRule="auto"/>
            </w:pPr>
            <w:r>
              <w:rPr>
                <w:i/>
                <w:iCs/>
              </w:rPr>
              <w:t xml:space="preserve">R v Consolidated Homes Ltd </w:t>
            </w:r>
            <w:r>
              <w:t>(20 August 2024), North Bay 2560-999-19-0038 (OCNJ (GD))</w:t>
            </w:r>
          </w:p>
        </w:tc>
        <w:tc>
          <w:tcPr>
            <w:tcW w:w="4680" w:type="dxa"/>
          </w:tcPr>
          <w:p w14:paraId="13FCD724" w14:textId="77777777" w:rsidR="0039739C" w:rsidRDefault="007E62DB" w:rsidP="00C96177">
            <w:pPr>
              <w:widowControl w:val="0"/>
              <w:spacing w:line="240" w:lineRule="auto"/>
            </w:pPr>
            <w:r>
              <w:t>8, 15, 16, 34, 35, 36, 37, 67, 70, 82, 85, 86</w:t>
            </w:r>
          </w:p>
        </w:tc>
      </w:tr>
      <w:tr w:rsidR="0039739C" w14:paraId="2E05F30D" w14:textId="77777777" w:rsidTr="00C96177">
        <w:tc>
          <w:tcPr>
            <w:tcW w:w="4680" w:type="dxa"/>
          </w:tcPr>
          <w:p w14:paraId="65D51CA2" w14:textId="77777777" w:rsidR="0039739C" w:rsidRDefault="007E62DB" w:rsidP="00C96177">
            <w:pPr>
              <w:widowControl w:val="0"/>
              <w:spacing w:before="120" w:after="120" w:line="240" w:lineRule="auto"/>
            </w:pPr>
            <w:r>
              <w:rPr>
                <w:i/>
                <w:iCs/>
              </w:rPr>
              <w:t>R v Consolidated Homes Ltd</w:t>
            </w:r>
            <w:r>
              <w:t>, 2025 ONCA 4</w:t>
            </w:r>
          </w:p>
        </w:tc>
        <w:tc>
          <w:tcPr>
            <w:tcW w:w="4680" w:type="dxa"/>
          </w:tcPr>
          <w:p w14:paraId="3BB8724E" w14:textId="77777777" w:rsidR="0039739C" w:rsidRDefault="007E62DB" w:rsidP="00C96177">
            <w:pPr>
              <w:widowControl w:val="0"/>
              <w:spacing w:line="240" w:lineRule="auto"/>
            </w:pPr>
            <w:r>
              <w:t>39</w:t>
            </w:r>
          </w:p>
        </w:tc>
      </w:tr>
      <w:tr w:rsidR="0039739C" w14:paraId="0EAC7571" w14:textId="77777777" w:rsidTr="00C96177">
        <w:tc>
          <w:tcPr>
            <w:tcW w:w="4680" w:type="dxa"/>
          </w:tcPr>
          <w:p w14:paraId="354A15F6" w14:textId="77777777" w:rsidR="0039739C" w:rsidRDefault="007E62DB" w:rsidP="00C96177">
            <w:pPr>
              <w:widowControl w:val="0"/>
              <w:spacing w:before="120" w:after="120" w:line="240" w:lineRule="auto"/>
            </w:pPr>
            <w:r>
              <w:rPr>
                <w:i/>
                <w:iCs/>
              </w:rPr>
              <w:t xml:space="preserve">R v High, </w:t>
            </w:r>
            <w:r>
              <w:t>2003 BCSC 1723</w:t>
            </w:r>
          </w:p>
        </w:tc>
        <w:tc>
          <w:tcPr>
            <w:tcW w:w="4680" w:type="dxa"/>
          </w:tcPr>
          <w:p w14:paraId="763948D8" w14:textId="77777777" w:rsidR="0039739C" w:rsidRDefault="007E62DB" w:rsidP="00C96177">
            <w:pPr>
              <w:widowControl w:val="0"/>
              <w:spacing w:line="240" w:lineRule="auto"/>
            </w:pPr>
            <w:r>
              <w:t>79</w:t>
            </w:r>
          </w:p>
        </w:tc>
      </w:tr>
      <w:tr w:rsidR="0039739C" w14:paraId="703C9836" w14:textId="77777777" w:rsidTr="00C96177">
        <w:tc>
          <w:tcPr>
            <w:tcW w:w="4680" w:type="dxa"/>
          </w:tcPr>
          <w:p w14:paraId="092223FB" w14:textId="77777777" w:rsidR="0039739C" w:rsidRDefault="007E62DB" w:rsidP="00C96177">
            <w:pPr>
              <w:widowControl w:val="0"/>
              <w:spacing w:before="120" w:after="120" w:line="240" w:lineRule="auto"/>
            </w:pPr>
            <w:r>
              <w:rPr>
                <w:i/>
                <w:iCs/>
              </w:rPr>
              <w:t xml:space="preserve">R v Larsen, </w:t>
            </w:r>
            <w:r>
              <w:t>2013 BCPC 92</w:t>
            </w:r>
          </w:p>
        </w:tc>
        <w:tc>
          <w:tcPr>
            <w:tcW w:w="4680" w:type="dxa"/>
          </w:tcPr>
          <w:p w14:paraId="7DCB02EF" w14:textId="77777777" w:rsidR="0039739C" w:rsidRDefault="007E62DB" w:rsidP="00C96177">
            <w:pPr>
              <w:widowControl w:val="0"/>
              <w:spacing w:line="240" w:lineRule="auto"/>
            </w:pPr>
            <w:r>
              <w:t>79</w:t>
            </w:r>
          </w:p>
        </w:tc>
      </w:tr>
      <w:tr w:rsidR="0039739C" w14:paraId="717ED82F" w14:textId="77777777" w:rsidTr="00C96177">
        <w:tc>
          <w:tcPr>
            <w:tcW w:w="4680" w:type="dxa"/>
          </w:tcPr>
          <w:p w14:paraId="5FA84687" w14:textId="77777777" w:rsidR="0039739C" w:rsidRDefault="007E62DB" w:rsidP="00C96177">
            <w:pPr>
              <w:widowControl w:val="0"/>
              <w:spacing w:before="120" w:after="120" w:line="240" w:lineRule="auto"/>
              <w:rPr>
                <w:i/>
                <w:iCs/>
              </w:rPr>
            </w:pPr>
            <w:r>
              <w:rPr>
                <w:i/>
                <w:iCs/>
              </w:rPr>
              <w:t>R v Larsen</w:t>
            </w:r>
            <w:r>
              <w:t>, 2014 BCSC 2084</w:t>
            </w:r>
          </w:p>
        </w:tc>
        <w:tc>
          <w:tcPr>
            <w:tcW w:w="4680" w:type="dxa"/>
          </w:tcPr>
          <w:p w14:paraId="55A68D12" w14:textId="77777777" w:rsidR="0039739C" w:rsidRDefault="007E62DB" w:rsidP="00C96177">
            <w:pPr>
              <w:widowControl w:val="0"/>
              <w:spacing w:line="240" w:lineRule="auto"/>
            </w:pPr>
            <w:r>
              <w:t>79</w:t>
            </w:r>
          </w:p>
        </w:tc>
      </w:tr>
      <w:tr w:rsidR="0039739C" w14:paraId="0EA36143" w14:textId="77777777" w:rsidTr="00C96177">
        <w:tc>
          <w:tcPr>
            <w:tcW w:w="4680" w:type="dxa"/>
          </w:tcPr>
          <w:p w14:paraId="2A386B73" w14:textId="77777777" w:rsidR="0039739C" w:rsidRDefault="007E62DB" w:rsidP="00C96177">
            <w:pPr>
              <w:spacing w:before="120" w:after="120" w:line="360" w:lineRule="auto"/>
            </w:pPr>
            <w:r>
              <w:rPr>
                <w:i/>
                <w:iCs/>
              </w:rPr>
              <w:t>R v Lavallee</w:t>
            </w:r>
            <w:r>
              <w:t>, [1990] 1 SCR 852, [1990] CanLII 95 (SCC)</w:t>
            </w:r>
          </w:p>
        </w:tc>
        <w:tc>
          <w:tcPr>
            <w:tcW w:w="4680" w:type="dxa"/>
          </w:tcPr>
          <w:p w14:paraId="517EF5AA" w14:textId="77777777" w:rsidR="0039739C" w:rsidRDefault="007E62DB" w:rsidP="00C96177">
            <w:pPr>
              <w:widowControl w:val="0"/>
              <w:spacing w:line="240" w:lineRule="auto"/>
            </w:pPr>
            <w:r>
              <w:t>60</w:t>
            </w:r>
          </w:p>
        </w:tc>
      </w:tr>
      <w:tr w:rsidR="0039739C" w14:paraId="4CF15CDB" w14:textId="77777777" w:rsidTr="00C96177">
        <w:tc>
          <w:tcPr>
            <w:tcW w:w="4680" w:type="dxa"/>
          </w:tcPr>
          <w:p w14:paraId="2CD70D66" w14:textId="77777777" w:rsidR="0039739C" w:rsidRDefault="007E62DB" w:rsidP="00C96177">
            <w:pPr>
              <w:spacing w:before="120" w:after="120" w:line="360" w:lineRule="auto"/>
            </w:pPr>
            <w:r>
              <w:rPr>
                <w:i/>
                <w:iCs/>
              </w:rPr>
              <w:t xml:space="preserve">R v Mills, </w:t>
            </w:r>
            <w:r>
              <w:t>2019 ONCA 940</w:t>
            </w:r>
          </w:p>
        </w:tc>
        <w:tc>
          <w:tcPr>
            <w:tcW w:w="4680" w:type="dxa"/>
          </w:tcPr>
          <w:p w14:paraId="5129D586" w14:textId="77777777" w:rsidR="0039739C" w:rsidRDefault="007E62DB" w:rsidP="00C96177">
            <w:pPr>
              <w:widowControl w:val="0"/>
              <w:spacing w:line="240" w:lineRule="auto"/>
            </w:pPr>
            <w:r>
              <w:t>73</w:t>
            </w:r>
          </w:p>
        </w:tc>
      </w:tr>
      <w:tr w:rsidR="0039739C" w14:paraId="6EB2754A" w14:textId="77777777" w:rsidTr="00C96177">
        <w:tc>
          <w:tcPr>
            <w:tcW w:w="4680" w:type="dxa"/>
          </w:tcPr>
          <w:p w14:paraId="62841BF7" w14:textId="77777777" w:rsidR="0039739C" w:rsidRDefault="007E62DB" w:rsidP="00C96177">
            <w:pPr>
              <w:widowControl w:val="0"/>
              <w:spacing w:before="120" w:after="120" w:line="240" w:lineRule="auto"/>
            </w:pPr>
            <w:r>
              <w:rPr>
                <w:i/>
                <w:iCs/>
              </w:rPr>
              <w:lastRenderedPageBreak/>
              <w:t>R v White</w:t>
            </w:r>
            <w:r>
              <w:t>, 2011 SCC 13 (CanLII)</w:t>
            </w:r>
          </w:p>
        </w:tc>
        <w:tc>
          <w:tcPr>
            <w:tcW w:w="4680" w:type="dxa"/>
          </w:tcPr>
          <w:p w14:paraId="0131CDD8" w14:textId="77777777" w:rsidR="0039739C" w:rsidRDefault="007E62DB" w:rsidP="00C96177">
            <w:pPr>
              <w:widowControl w:val="0"/>
              <w:spacing w:line="240" w:lineRule="auto"/>
            </w:pPr>
            <w:r>
              <w:t>65</w:t>
            </w:r>
          </w:p>
        </w:tc>
      </w:tr>
      <w:tr w:rsidR="0039739C" w14:paraId="223E43F1" w14:textId="77777777" w:rsidTr="00C96177">
        <w:tc>
          <w:tcPr>
            <w:tcW w:w="4680" w:type="dxa"/>
          </w:tcPr>
          <w:p w14:paraId="4F4A7CF6" w14:textId="77777777" w:rsidR="0039739C" w:rsidRDefault="007E62DB" w:rsidP="00C96177">
            <w:pPr>
              <w:widowControl w:val="0"/>
              <w:spacing w:before="120" w:after="120" w:line="240" w:lineRule="auto"/>
            </w:pPr>
            <w:r>
              <w:rPr>
                <w:i/>
                <w:iCs/>
              </w:rPr>
              <w:t>Rizzo &amp; Rizzo Shoes Ltd (Re)</w:t>
            </w:r>
            <w:r>
              <w:t>, 1998 CanLII 837 (SCC)</w:t>
            </w:r>
          </w:p>
        </w:tc>
        <w:tc>
          <w:tcPr>
            <w:tcW w:w="4680" w:type="dxa"/>
          </w:tcPr>
          <w:p w14:paraId="77A8CFF1" w14:textId="77777777" w:rsidR="0039739C" w:rsidRDefault="007E62DB" w:rsidP="00C96177">
            <w:pPr>
              <w:widowControl w:val="0"/>
              <w:spacing w:line="240" w:lineRule="auto"/>
            </w:pPr>
            <w:r>
              <w:t>44, 88, 95, 99</w:t>
            </w:r>
          </w:p>
        </w:tc>
      </w:tr>
      <w:tr w:rsidR="0039739C" w14:paraId="179504B3" w14:textId="77777777" w:rsidTr="00C96177">
        <w:tc>
          <w:tcPr>
            <w:tcW w:w="4680" w:type="dxa"/>
          </w:tcPr>
          <w:p w14:paraId="49C143E6" w14:textId="77777777" w:rsidR="0039739C" w:rsidRDefault="007E62DB" w:rsidP="00C96177">
            <w:pPr>
              <w:widowControl w:val="0"/>
              <w:spacing w:before="120" w:after="120" w:line="240" w:lineRule="auto"/>
            </w:pPr>
            <w:r>
              <w:rPr>
                <w:i/>
                <w:iCs/>
              </w:rPr>
              <w:t>Species at Risk in Ontario List</w:t>
            </w:r>
            <w:r>
              <w:t>, Ontario Regulation 230/08, Sched 2</w:t>
            </w:r>
          </w:p>
        </w:tc>
        <w:tc>
          <w:tcPr>
            <w:tcW w:w="4680" w:type="dxa"/>
          </w:tcPr>
          <w:p w14:paraId="1656B61C" w14:textId="77777777" w:rsidR="0039739C" w:rsidRDefault="007E62DB" w:rsidP="00C96177">
            <w:pPr>
              <w:widowControl w:val="0"/>
              <w:spacing w:line="240" w:lineRule="auto"/>
            </w:pPr>
            <w:r>
              <w:t>6, 20</w:t>
            </w:r>
          </w:p>
        </w:tc>
      </w:tr>
      <w:tr w:rsidR="0039739C" w14:paraId="2EEE60AF" w14:textId="77777777" w:rsidTr="00C96177">
        <w:tc>
          <w:tcPr>
            <w:tcW w:w="4680" w:type="dxa"/>
          </w:tcPr>
          <w:p w14:paraId="4AE2072A" w14:textId="77777777" w:rsidR="0039739C" w:rsidRDefault="007E62DB" w:rsidP="00C96177">
            <w:pPr>
              <w:widowControl w:val="0"/>
              <w:spacing w:before="120" w:after="120" w:line="240" w:lineRule="auto"/>
              <w:rPr>
                <w:b/>
                <w:bCs/>
              </w:rPr>
            </w:pPr>
            <w:r>
              <w:rPr>
                <w:i/>
                <w:iCs/>
              </w:rPr>
              <w:t xml:space="preserve">The Corporation of the Municipality of </w:t>
            </w:r>
            <w:r>
              <w:rPr>
                <w:i/>
                <w:iCs/>
              </w:rPr>
              <w:t>Marmora and Lake v His Majesty the King in Right of Ontario</w:t>
            </w:r>
            <w:r>
              <w:t>, 2024 ONSC 2254</w:t>
            </w:r>
          </w:p>
        </w:tc>
        <w:tc>
          <w:tcPr>
            <w:tcW w:w="4680" w:type="dxa"/>
          </w:tcPr>
          <w:p w14:paraId="5C39C2AD" w14:textId="77777777" w:rsidR="0039739C" w:rsidRDefault="007E62DB" w:rsidP="00C96177">
            <w:pPr>
              <w:widowControl w:val="0"/>
              <w:spacing w:line="240" w:lineRule="auto"/>
            </w:pPr>
            <w:r>
              <w:t>68</w:t>
            </w:r>
          </w:p>
        </w:tc>
      </w:tr>
    </w:tbl>
    <w:p w14:paraId="09FFDA64" w14:textId="77777777" w:rsidR="0039739C" w:rsidRDefault="0039739C">
      <w:pPr>
        <w:rPr>
          <w:b/>
          <w:bCs/>
        </w:rPr>
      </w:pPr>
    </w:p>
    <w:p w14:paraId="2B5CB0CE" w14:textId="77777777" w:rsidR="00C96177" w:rsidRDefault="00C96177">
      <w:pPr>
        <w:rPr>
          <w:b/>
          <w:bCs/>
        </w:rPr>
      </w:pPr>
    </w:p>
    <w:p w14:paraId="3CB65892" w14:textId="77777777" w:rsidR="00C96177" w:rsidRDefault="00C96177">
      <w:pPr>
        <w:rPr>
          <w:b/>
          <w:bCs/>
        </w:rPr>
      </w:pPr>
    </w:p>
    <w:p w14:paraId="0E047083" w14:textId="77777777" w:rsidR="00C96177" w:rsidRDefault="00C96177">
      <w:pPr>
        <w:rPr>
          <w:b/>
          <w:bCs/>
        </w:rPr>
      </w:pPr>
    </w:p>
    <w:p w14:paraId="1B810460" w14:textId="77777777" w:rsidR="00C96177" w:rsidRDefault="00C96177">
      <w:pPr>
        <w:rPr>
          <w:b/>
          <w:bCs/>
        </w:rPr>
      </w:pPr>
    </w:p>
    <w:p w14:paraId="4F1BFD5B" w14:textId="77777777" w:rsidR="00C96177" w:rsidRDefault="00C96177">
      <w:pPr>
        <w:rPr>
          <w:b/>
          <w:bCs/>
        </w:rPr>
      </w:pPr>
    </w:p>
    <w:p w14:paraId="6D1B4D2A" w14:textId="77777777" w:rsidR="00C96177" w:rsidRDefault="00C96177">
      <w:pPr>
        <w:rPr>
          <w:b/>
          <w:bCs/>
        </w:rPr>
      </w:pPr>
    </w:p>
    <w:p w14:paraId="0E9A6D85" w14:textId="77777777" w:rsidR="00C96177" w:rsidRDefault="00C96177">
      <w:pPr>
        <w:rPr>
          <w:b/>
          <w:bCs/>
        </w:rPr>
      </w:pPr>
    </w:p>
    <w:p w14:paraId="1D255295" w14:textId="77777777" w:rsidR="00C96177" w:rsidRDefault="00C96177">
      <w:pPr>
        <w:rPr>
          <w:b/>
          <w:bCs/>
        </w:rPr>
      </w:pPr>
    </w:p>
    <w:p w14:paraId="47EFD6C8" w14:textId="77777777" w:rsidR="00C96177" w:rsidRDefault="00C96177">
      <w:pPr>
        <w:rPr>
          <w:b/>
          <w:bCs/>
        </w:rPr>
      </w:pPr>
    </w:p>
    <w:p w14:paraId="0C15BF14" w14:textId="77777777" w:rsidR="00C96177" w:rsidRDefault="00C96177">
      <w:pPr>
        <w:rPr>
          <w:b/>
          <w:bCs/>
        </w:rPr>
      </w:pPr>
    </w:p>
    <w:p w14:paraId="50C946E9" w14:textId="77777777" w:rsidR="00C96177" w:rsidRDefault="00C96177">
      <w:pPr>
        <w:rPr>
          <w:b/>
          <w:bCs/>
        </w:rPr>
      </w:pPr>
    </w:p>
    <w:p w14:paraId="535BAFD0" w14:textId="77777777" w:rsidR="00C96177" w:rsidRDefault="00C96177">
      <w:pPr>
        <w:rPr>
          <w:b/>
          <w:bCs/>
        </w:rPr>
      </w:pPr>
    </w:p>
    <w:p w14:paraId="38634971" w14:textId="77777777" w:rsidR="00C96177" w:rsidRDefault="00C96177">
      <w:pPr>
        <w:rPr>
          <w:b/>
          <w:bCs/>
        </w:rPr>
      </w:pPr>
    </w:p>
    <w:p w14:paraId="6A7E7604" w14:textId="77777777" w:rsidR="00C96177" w:rsidRDefault="00C96177">
      <w:pPr>
        <w:rPr>
          <w:b/>
          <w:bCs/>
        </w:rPr>
      </w:pPr>
    </w:p>
    <w:p w14:paraId="74DCA03D" w14:textId="77777777" w:rsidR="00C96177" w:rsidRDefault="00C96177">
      <w:pPr>
        <w:rPr>
          <w:b/>
          <w:bCs/>
        </w:rPr>
      </w:pPr>
    </w:p>
    <w:p w14:paraId="3ED77588" w14:textId="77777777" w:rsidR="00C96177" w:rsidRDefault="00C96177">
      <w:pPr>
        <w:rPr>
          <w:b/>
          <w:bCs/>
        </w:rPr>
      </w:pPr>
    </w:p>
    <w:p w14:paraId="1970A34F" w14:textId="77777777" w:rsidR="00C96177" w:rsidRDefault="00C96177">
      <w:pPr>
        <w:rPr>
          <w:b/>
          <w:bCs/>
        </w:rPr>
      </w:pPr>
    </w:p>
    <w:p w14:paraId="59F54257" w14:textId="77777777" w:rsidR="00C96177" w:rsidRDefault="00C96177">
      <w:pPr>
        <w:rPr>
          <w:b/>
          <w:bCs/>
        </w:rPr>
      </w:pPr>
    </w:p>
    <w:p w14:paraId="3F9B8C64" w14:textId="77777777" w:rsidR="00C96177" w:rsidRDefault="00C96177">
      <w:pPr>
        <w:rPr>
          <w:b/>
          <w:bCs/>
        </w:rPr>
      </w:pPr>
    </w:p>
    <w:p w14:paraId="536516CA" w14:textId="77777777" w:rsidR="00C96177" w:rsidRDefault="00C96177">
      <w:pPr>
        <w:rPr>
          <w:b/>
          <w:bCs/>
        </w:rPr>
      </w:pPr>
    </w:p>
    <w:p w14:paraId="67AAD1B8" w14:textId="77777777" w:rsidR="00C96177" w:rsidRDefault="00C96177">
      <w:pPr>
        <w:rPr>
          <w:b/>
          <w:bCs/>
        </w:rPr>
      </w:pPr>
    </w:p>
    <w:p w14:paraId="6D14F488" w14:textId="77777777" w:rsidR="00C96177" w:rsidRDefault="00C96177">
      <w:pPr>
        <w:rPr>
          <w:b/>
          <w:bCs/>
        </w:rPr>
      </w:pPr>
    </w:p>
    <w:p w14:paraId="126A98A2" w14:textId="77777777" w:rsidR="00C96177" w:rsidRDefault="00C96177">
      <w:pPr>
        <w:rPr>
          <w:b/>
          <w:bCs/>
        </w:rPr>
      </w:pPr>
    </w:p>
    <w:p w14:paraId="0354404A" w14:textId="77777777" w:rsidR="00C96177" w:rsidRDefault="00C96177">
      <w:pPr>
        <w:rPr>
          <w:b/>
          <w:bCs/>
        </w:rPr>
      </w:pPr>
    </w:p>
    <w:p w14:paraId="0963B125" w14:textId="77777777" w:rsidR="00C96177" w:rsidRDefault="00C96177">
      <w:pPr>
        <w:rPr>
          <w:b/>
          <w:bCs/>
        </w:rPr>
      </w:pPr>
    </w:p>
    <w:p w14:paraId="2F563844" w14:textId="77777777" w:rsidR="00C96177" w:rsidRDefault="00C96177">
      <w:pPr>
        <w:rPr>
          <w:b/>
          <w:bCs/>
        </w:rPr>
      </w:pPr>
    </w:p>
    <w:p w14:paraId="7759C7ED" w14:textId="77777777" w:rsidR="00C96177" w:rsidRDefault="00C96177">
      <w:pPr>
        <w:rPr>
          <w:b/>
          <w:bCs/>
        </w:rPr>
      </w:pPr>
    </w:p>
    <w:p w14:paraId="2276F43A" w14:textId="77777777" w:rsidR="00C96177" w:rsidRDefault="00C96177">
      <w:pPr>
        <w:rPr>
          <w:b/>
          <w:bCs/>
        </w:rPr>
      </w:pPr>
    </w:p>
    <w:p w14:paraId="4625D9EE" w14:textId="77777777" w:rsidR="00C96177" w:rsidRDefault="00C96177">
      <w:pPr>
        <w:rPr>
          <w:b/>
          <w:bCs/>
        </w:rPr>
      </w:pPr>
    </w:p>
    <w:p w14:paraId="3769E660" w14:textId="2D08D025" w:rsidR="0039739C" w:rsidRDefault="007E62DB">
      <w:pPr>
        <w:rPr>
          <w:b/>
          <w:bCs/>
        </w:rPr>
      </w:pPr>
      <w:r>
        <w:rPr>
          <w:b/>
          <w:bCs/>
        </w:rPr>
        <w:lastRenderedPageBreak/>
        <w:t xml:space="preserve">PART VII -- LEGISLATION AT ISSUE </w:t>
      </w:r>
    </w:p>
    <w:p w14:paraId="74B7C59E" w14:textId="77777777" w:rsidR="0039739C" w:rsidRDefault="007E62DB">
      <w:pPr>
        <w:spacing w:before="240" w:line="240" w:lineRule="auto"/>
        <w:jc w:val="both"/>
        <w:rPr>
          <w:b/>
          <w:bCs/>
        </w:rPr>
      </w:pPr>
      <w:r>
        <w:rPr>
          <w:b/>
          <w:bCs/>
          <w:i/>
          <w:iCs/>
        </w:rPr>
        <w:t>Endangered Species Act</w:t>
      </w:r>
      <w:r>
        <w:rPr>
          <w:b/>
          <w:bCs/>
        </w:rPr>
        <w:t>, 2007, SO 2007 c 6. (Bill 184, 2nd Sess, 38th Leg)</w:t>
      </w:r>
    </w:p>
    <w:p w14:paraId="492528F2" w14:textId="77777777" w:rsidR="0039739C" w:rsidRDefault="007E62DB">
      <w:pPr>
        <w:spacing w:before="120" w:line="240" w:lineRule="auto"/>
        <w:jc w:val="both"/>
        <w:rPr>
          <w:b/>
          <w:bCs/>
        </w:rPr>
      </w:pPr>
      <w:r>
        <w:rPr>
          <w:b/>
          <w:bCs/>
        </w:rPr>
        <w:t>Purposes:</w:t>
      </w:r>
    </w:p>
    <w:p w14:paraId="31A0B0FE" w14:textId="77777777" w:rsidR="0039739C" w:rsidRDefault="007E62DB">
      <w:pPr>
        <w:spacing w:before="120" w:line="240" w:lineRule="auto"/>
        <w:jc w:val="both"/>
      </w:pPr>
      <w:r>
        <w:t xml:space="preserve">The purposes of this Act </w:t>
      </w:r>
      <w:r>
        <w:t>are:</w:t>
      </w:r>
    </w:p>
    <w:p w14:paraId="7CB2DB62" w14:textId="77777777" w:rsidR="0039739C" w:rsidRDefault="007E62DB">
      <w:pPr>
        <w:numPr>
          <w:ilvl w:val="0"/>
          <w:numId w:val="1"/>
        </w:numPr>
        <w:spacing w:before="120" w:line="240" w:lineRule="auto"/>
        <w:jc w:val="both"/>
      </w:pPr>
      <w:r>
        <w:t>To identify species at risk based on the best available scientific information, including information obtained from community knowledge and aboriginal traditional knowledge.</w:t>
      </w:r>
    </w:p>
    <w:p w14:paraId="74973A01" w14:textId="77777777" w:rsidR="0039739C" w:rsidRDefault="007E62DB">
      <w:pPr>
        <w:numPr>
          <w:ilvl w:val="0"/>
          <w:numId w:val="1"/>
        </w:numPr>
        <w:spacing w:line="240" w:lineRule="auto"/>
        <w:jc w:val="both"/>
      </w:pPr>
      <w:r>
        <w:t>To protect species that are at risk and their habitats, and to promote the recovery of species that are at risk.</w:t>
      </w:r>
    </w:p>
    <w:p w14:paraId="68993EDB" w14:textId="77777777" w:rsidR="0039739C" w:rsidRDefault="007E62DB">
      <w:pPr>
        <w:numPr>
          <w:ilvl w:val="0"/>
          <w:numId w:val="1"/>
        </w:numPr>
        <w:spacing w:after="40" w:line="240" w:lineRule="auto"/>
        <w:jc w:val="both"/>
      </w:pPr>
      <w:r>
        <w:t>To promote stewardship activities to assist in the protection and recovery of species that are at risk.</w:t>
      </w:r>
    </w:p>
    <w:p w14:paraId="5A0D598F" w14:textId="77777777" w:rsidR="0039739C" w:rsidRDefault="007E62DB">
      <w:pPr>
        <w:spacing w:before="240" w:after="120" w:line="240" w:lineRule="auto"/>
        <w:jc w:val="both"/>
        <w:rPr>
          <w:b/>
          <w:bCs/>
        </w:rPr>
      </w:pPr>
      <w:r>
        <w:rPr>
          <w:b/>
          <w:bCs/>
        </w:rPr>
        <w:t>Definitions</w:t>
      </w:r>
    </w:p>
    <w:p w14:paraId="4D31A268" w14:textId="77777777" w:rsidR="0039739C" w:rsidRDefault="007E62DB">
      <w:pPr>
        <w:spacing w:before="120" w:line="240" w:lineRule="auto"/>
        <w:ind w:left="380" w:hanging="180"/>
        <w:jc w:val="both"/>
      </w:pPr>
      <w:r>
        <w:t>“</w:t>
      </w:r>
      <w:r>
        <w:rPr>
          <w:b/>
          <w:bCs/>
        </w:rPr>
        <w:t>habitat</w:t>
      </w:r>
      <w:r>
        <w:t>” means,</w:t>
      </w:r>
    </w:p>
    <w:p w14:paraId="0430595C" w14:textId="77777777" w:rsidR="0039739C" w:rsidRDefault="007E62DB">
      <w:pPr>
        <w:spacing w:before="120" w:after="40" w:line="240" w:lineRule="auto"/>
        <w:ind w:left="1080" w:hanging="540"/>
        <w:jc w:val="both"/>
      </w:pPr>
      <w:r>
        <w:tab/>
        <w:t>(a)  with respect to a species of animal, plant or other organism for which a regulation made under clause 55 (1) (a) is in force, the area prescribed by that regulation as the habitat of the species, or</w:t>
      </w:r>
    </w:p>
    <w:p w14:paraId="4DE0CF46" w14:textId="77777777" w:rsidR="0039739C" w:rsidRDefault="007E62DB">
      <w:pPr>
        <w:spacing w:before="120" w:after="40" w:line="240" w:lineRule="auto"/>
        <w:ind w:left="1080" w:hanging="540"/>
        <w:jc w:val="both"/>
      </w:pPr>
      <w:r>
        <w:tab/>
        <w:t>(b)  with respect to any other species of animal, plant or other organism, an area on which the species depends, directly or indirectly, to carry on its life processes, including life processes such as reproduction, rearing, hibernation, migration or feeding,</w:t>
      </w:r>
    </w:p>
    <w:p w14:paraId="447C9AC1" w14:textId="77777777" w:rsidR="0039739C" w:rsidRDefault="007E62DB">
      <w:pPr>
        <w:spacing w:before="120" w:after="40" w:line="240" w:lineRule="auto"/>
        <w:ind w:left="1080"/>
        <w:jc w:val="both"/>
      </w:pPr>
      <w:r>
        <w:t>and includes places in the area described in clause (a) or (b), whichever is applicable, that are used by members of the species as dens, nests, hibernacula or other residences; (“habitat”)</w:t>
      </w:r>
    </w:p>
    <w:p w14:paraId="7B49AE49" w14:textId="77777777" w:rsidR="0039739C" w:rsidRDefault="007E62DB">
      <w:pPr>
        <w:spacing w:before="240" w:line="240" w:lineRule="auto"/>
        <w:jc w:val="both"/>
        <w:rPr>
          <w:b/>
          <w:bCs/>
        </w:rPr>
      </w:pPr>
      <w:r>
        <w:rPr>
          <w:b/>
          <w:bCs/>
        </w:rPr>
        <w:t>10  (1)  No person shall damage or destroy the habitat of,</w:t>
      </w:r>
    </w:p>
    <w:p w14:paraId="54B00DFF" w14:textId="77777777" w:rsidR="0039739C" w:rsidRDefault="007E62DB">
      <w:pPr>
        <w:spacing w:before="120" w:line="240" w:lineRule="auto"/>
        <w:ind w:left="1080" w:hanging="540"/>
        <w:jc w:val="both"/>
      </w:pPr>
      <w:r>
        <w:tab/>
        <w:t xml:space="preserve">(a)   a species that is listed on the </w:t>
      </w:r>
      <w:hyperlink r:id="rId15">
        <w:r w:rsidR="0039739C">
          <w:t>Species at Risk in Ontario List</w:t>
        </w:r>
      </w:hyperlink>
      <w:r>
        <w:t xml:space="preserve"> as an endangered or threatened species; or</w:t>
      </w:r>
    </w:p>
    <w:p w14:paraId="0115C3A3" w14:textId="77777777" w:rsidR="0039739C" w:rsidRDefault="007E62DB">
      <w:pPr>
        <w:spacing w:before="120" w:after="120" w:line="240" w:lineRule="auto"/>
        <w:ind w:left="1080" w:hanging="540"/>
        <w:jc w:val="both"/>
      </w:pPr>
      <w:r>
        <w:tab/>
        <w:t xml:space="preserve">(b)   a species that is listed on the </w:t>
      </w:r>
      <w:hyperlink r:id="rId16">
        <w:r w:rsidR="0039739C">
          <w:t>Species at Risk in Ontario List</w:t>
        </w:r>
      </w:hyperlink>
      <w:r>
        <w:t xml:space="preserve"> as an extirpated species, if the species is prescribed by the regulations for the purpose of this clause.</w:t>
      </w:r>
    </w:p>
    <w:p w14:paraId="3AFEE915" w14:textId="77777777" w:rsidR="0039739C" w:rsidRDefault="007E62DB">
      <w:pPr>
        <w:spacing w:before="120" w:after="120" w:line="240" w:lineRule="auto"/>
        <w:jc w:val="both"/>
        <w:rPr>
          <w:b/>
          <w:bCs/>
        </w:rPr>
      </w:pPr>
      <w:r>
        <w:rPr>
          <w:b/>
          <w:bCs/>
        </w:rPr>
        <w:t>Specified geographic area</w:t>
      </w:r>
    </w:p>
    <w:p w14:paraId="60408C31" w14:textId="77777777" w:rsidR="0039739C" w:rsidRDefault="007E62DB">
      <w:pPr>
        <w:spacing w:before="120" w:line="240" w:lineRule="auto"/>
        <w:ind w:left="1080"/>
        <w:jc w:val="both"/>
      </w:pPr>
      <w:r>
        <w:t xml:space="preserve">(2) </w:t>
      </w:r>
      <w:r>
        <w:tab/>
        <w:t xml:space="preserve"> If the </w:t>
      </w:r>
      <w:hyperlink r:id="rId17">
        <w:r w:rsidR="0039739C">
          <w:t>Species at Risk in Ontario List</w:t>
        </w:r>
      </w:hyperlink>
      <w:r>
        <w:t xml:space="preserve"> specifies a geographic area that a classification of a species applies to, subsection (1) only applies to that species in that area.</w:t>
      </w:r>
    </w:p>
    <w:p w14:paraId="274F16A2" w14:textId="77777777" w:rsidR="0039739C" w:rsidRDefault="007E62DB">
      <w:pPr>
        <w:spacing w:before="120" w:line="240" w:lineRule="auto"/>
        <w:jc w:val="both"/>
        <w:rPr>
          <w:b/>
          <w:bCs/>
        </w:rPr>
      </w:pPr>
      <w:r>
        <w:rPr>
          <w:b/>
          <w:bCs/>
          <w:i/>
          <w:iCs/>
        </w:rPr>
        <w:t>Protect Ontario by Unleashing Our Economy Act</w:t>
      </w:r>
      <w:r>
        <w:rPr>
          <w:b/>
          <w:bCs/>
        </w:rPr>
        <w:t>, 2025 Bill C-5 (1st Sess, 44th Leg)</w:t>
      </w:r>
    </w:p>
    <w:p w14:paraId="20240EBC" w14:textId="77777777" w:rsidR="0039739C" w:rsidRDefault="007E62DB">
      <w:pPr>
        <w:spacing w:before="120" w:line="240" w:lineRule="auto"/>
        <w:jc w:val="both"/>
        <w:rPr>
          <w:b/>
          <w:bCs/>
          <w:color w:val="222222"/>
        </w:rPr>
      </w:pPr>
      <w:r>
        <w:rPr>
          <w:b/>
          <w:bCs/>
          <w:color w:val="222222"/>
        </w:rPr>
        <w:t>Purposes:</w:t>
      </w:r>
    </w:p>
    <w:p w14:paraId="2255F985" w14:textId="77777777" w:rsidR="0039739C" w:rsidRDefault="007E62DB">
      <w:pPr>
        <w:spacing w:before="120" w:line="240" w:lineRule="auto"/>
        <w:jc w:val="both"/>
        <w:rPr>
          <w:color w:val="1A1A1A"/>
        </w:rPr>
      </w:pPr>
      <w:r>
        <w:rPr>
          <w:color w:val="1A1A1A"/>
        </w:rPr>
        <w:t>The purposes of this Act are:</w:t>
      </w:r>
    </w:p>
    <w:p w14:paraId="57523822" w14:textId="77777777" w:rsidR="0039739C" w:rsidRDefault="007E62DB">
      <w:pPr>
        <w:shd w:val="clear" w:color="auto" w:fill="FFFFFF"/>
        <w:spacing w:before="120" w:line="240" w:lineRule="auto"/>
        <w:ind w:left="720"/>
        <w:jc w:val="both"/>
        <w:rPr>
          <w:color w:val="1A1A1A"/>
        </w:rPr>
      </w:pPr>
      <w:r>
        <w:rPr>
          <w:color w:val="1A1A1A"/>
        </w:rPr>
        <w:t>1. To identify species at risk based on the best available scientific information,including information obtained from community knowledge and Indigenous traditional knowledge.</w:t>
      </w:r>
    </w:p>
    <w:p w14:paraId="084061DF" w14:textId="77777777" w:rsidR="0039739C" w:rsidRDefault="007E62DB">
      <w:pPr>
        <w:shd w:val="clear" w:color="auto" w:fill="FFFFFF"/>
        <w:spacing w:before="120" w:line="240" w:lineRule="auto"/>
        <w:ind w:left="720"/>
        <w:jc w:val="both"/>
        <w:rPr>
          <w:color w:val="1A1A1A"/>
        </w:rPr>
      </w:pPr>
      <w:r>
        <w:rPr>
          <w:color w:val="1A1A1A"/>
        </w:rPr>
        <w:lastRenderedPageBreak/>
        <w:t>2.  To provide for the protection and conservation of species at risk while taking into account social and economic considerations including the need for sustainable economic growth in Ontario.</w:t>
      </w:r>
    </w:p>
    <w:p w14:paraId="28F7629B" w14:textId="77777777" w:rsidR="0039739C" w:rsidRDefault="007E62DB">
      <w:pPr>
        <w:shd w:val="clear" w:color="auto" w:fill="FFFFFF"/>
        <w:spacing w:before="120" w:line="240" w:lineRule="auto"/>
        <w:ind w:firstLine="720"/>
        <w:jc w:val="both"/>
        <w:rPr>
          <w:b/>
          <w:bCs/>
          <w:color w:val="1A1A1A"/>
        </w:rPr>
      </w:pPr>
      <w:r>
        <w:rPr>
          <w:color w:val="1A1A1A"/>
        </w:rPr>
        <w:t>3</w:t>
      </w:r>
      <w:r>
        <w:t>.   Repealed: 2025, c. 4, Sched. 2, s. 1 (2).</w:t>
      </w:r>
    </w:p>
    <w:p w14:paraId="358EAFCC" w14:textId="77777777" w:rsidR="0039739C" w:rsidRDefault="007E62DB">
      <w:pPr>
        <w:shd w:val="clear" w:color="auto" w:fill="FFFFFF"/>
        <w:spacing w:before="360" w:line="240" w:lineRule="auto"/>
        <w:jc w:val="both"/>
        <w:rPr>
          <w:b/>
          <w:bCs/>
          <w:color w:val="1A1A1A"/>
        </w:rPr>
      </w:pPr>
      <w:r>
        <w:rPr>
          <w:b/>
          <w:bCs/>
          <w:color w:val="1A1A1A"/>
        </w:rPr>
        <w:t>2 (1) (a)  in respect of an animal species,</w:t>
      </w:r>
    </w:p>
    <w:p w14:paraId="3DFAF6A2" w14:textId="77777777" w:rsidR="0039739C" w:rsidRDefault="007E62DB">
      <w:pPr>
        <w:shd w:val="clear" w:color="auto" w:fill="FFFFFF"/>
        <w:spacing w:before="120" w:line="240" w:lineRule="auto"/>
        <w:jc w:val="both"/>
        <w:rPr>
          <w:b/>
          <w:bCs/>
          <w:color w:val="1A1A1A"/>
        </w:rPr>
      </w:pPr>
      <w:r>
        <w:rPr>
          <w:b/>
          <w:bCs/>
          <w:color w:val="1A1A1A"/>
        </w:rPr>
        <w:t xml:space="preserve">“habitat” means, </w:t>
      </w:r>
    </w:p>
    <w:p w14:paraId="5FD4704E" w14:textId="77777777" w:rsidR="0039739C" w:rsidRDefault="007E62DB">
      <w:pPr>
        <w:shd w:val="clear" w:color="auto" w:fill="FFFFFF"/>
        <w:spacing w:before="120" w:line="240" w:lineRule="auto"/>
        <w:ind w:left="960"/>
        <w:jc w:val="both"/>
        <w:rPr>
          <w:color w:val="1A1A1A"/>
        </w:rPr>
      </w:pPr>
      <w:r>
        <w:rPr>
          <w:color w:val="1A1A1A"/>
        </w:rPr>
        <w:t xml:space="preserve">(i)  a dwelling-place, such as a den, nest or other similar place, that is </w:t>
      </w:r>
      <w:r>
        <w:rPr>
          <w:color w:val="1A1A1A"/>
        </w:rPr>
        <w:t>occupied or habitually occupied by one or more members of a species for the purposes of breeding, rearing, staging, wintering or hibernating, and</w:t>
      </w:r>
    </w:p>
    <w:p w14:paraId="73E536CD" w14:textId="77777777" w:rsidR="0039739C" w:rsidRDefault="007E62DB">
      <w:pPr>
        <w:shd w:val="clear" w:color="auto" w:fill="FFFFFF"/>
        <w:spacing w:before="120" w:line="240" w:lineRule="auto"/>
        <w:ind w:left="960"/>
        <w:jc w:val="both"/>
        <w:rPr>
          <w:color w:val="1A1A1A"/>
        </w:rPr>
      </w:pPr>
      <w:r>
        <w:rPr>
          <w:color w:val="1A1A1A"/>
        </w:rPr>
        <w:t>(ii)  the area immediately around a dwelling place described in subclause (i) that is essential for the purposes set out in that subclause.</w:t>
      </w:r>
    </w:p>
    <w:p w14:paraId="3B7447D7" w14:textId="77777777" w:rsidR="0039739C" w:rsidRDefault="007E62DB">
      <w:pPr>
        <w:shd w:val="clear" w:color="auto" w:fill="FFFFFF"/>
        <w:spacing w:before="120" w:line="240" w:lineRule="auto"/>
        <w:ind w:left="990"/>
        <w:jc w:val="both"/>
        <w:rPr>
          <w:color w:val="1A1A1A"/>
        </w:rPr>
      </w:pPr>
      <w:r>
        <w:rPr>
          <w:color w:val="1A1A1A"/>
        </w:rPr>
        <w:t>(b)  in respect of a vascular plant species, the critical root zone surrounding a member of the species, and</w:t>
      </w:r>
    </w:p>
    <w:p w14:paraId="76F4D633" w14:textId="77777777" w:rsidR="0039739C" w:rsidRDefault="007E62DB">
      <w:pPr>
        <w:shd w:val="clear" w:color="auto" w:fill="FFFFFF"/>
        <w:spacing w:before="120" w:line="240" w:lineRule="auto"/>
        <w:ind w:left="990"/>
        <w:jc w:val="both"/>
        <w:rPr>
          <w:color w:val="1A1A1A"/>
        </w:rPr>
      </w:pPr>
      <w:r>
        <w:rPr>
          <w:color w:val="1A1A1A"/>
        </w:rPr>
        <w:t>(c)  in respect of all other species, an area on which any member of a species directly depends in order to carry on its life processes; (“habitat”).</w:t>
      </w:r>
    </w:p>
    <w:p w14:paraId="29CA4D3A" w14:textId="77777777" w:rsidR="0039739C" w:rsidRDefault="007E62DB">
      <w:pPr>
        <w:shd w:val="clear" w:color="auto" w:fill="FFFFFF"/>
        <w:spacing w:before="240" w:line="240" w:lineRule="auto"/>
        <w:jc w:val="both"/>
        <w:rPr>
          <w:b/>
          <w:bCs/>
          <w:color w:val="222222"/>
        </w:rPr>
      </w:pPr>
      <w:r>
        <w:rPr>
          <w:b/>
          <w:bCs/>
          <w:color w:val="222222"/>
        </w:rPr>
        <w:t>Prohibition on damage to habitat, etc.</w:t>
      </w:r>
    </w:p>
    <w:p w14:paraId="510176B9" w14:textId="77777777" w:rsidR="0039739C" w:rsidRDefault="007E62DB">
      <w:pPr>
        <w:shd w:val="clear" w:color="auto" w:fill="FFFFFF"/>
        <w:spacing w:before="100" w:line="240" w:lineRule="auto"/>
        <w:ind w:firstLine="720"/>
        <w:jc w:val="both"/>
        <w:rPr>
          <w:color w:val="1A1A1A"/>
        </w:rPr>
      </w:pPr>
      <w:r>
        <w:rPr>
          <w:b/>
          <w:bCs/>
          <w:color w:val="1A1A1A"/>
        </w:rPr>
        <w:t xml:space="preserve">10 (1) </w:t>
      </w:r>
      <w:r>
        <w:rPr>
          <w:color w:val="1A1A1A"/>
        </w:rPr>
        <w:t>No person shall damage or destroy the habitat of,</w:t>
      </w:r>
    </w:p>
    <w:p w14:paraId="40346A14" w14:textId="77777777" w:rsidR="0039739C" w:rsidRDefault="007E62DB">
      <w:pPr>
        <w:shd w:val="clear" w:color="auto" w:fill="FFFFFF"/>
        <w:spacing w:before="120" w:line="240" w:lineRule="auto"/>
        <w:ind w:left="990"/>
        <w:jc w:val="both"/>
        <w:rPr>
          <w:color w:val="1A1A1A"/>
        </w:rPr>
      </w:pPr>
      <w:r>
        <w:rPr>
          <w:color w:val="1A1A1A"/>
        </w:rPr>
        <w:t>(a)  a species that is listed on the Species at Risk in Ontario List as an endangered or          threatened species; or</w:t>
      </w:r>
    </w:p>
    <w:p w14:paraId="35D6570F" w14:textId="77777777" w:rsidR="0039739C" w:rsidRDefault="007E62DB">
      <w:pPr>
        <w:shd w:val="clear" w:color="auto" w:fill="FFFFFF"/>
        <w:spacing w:before="120" w:line="240" w:lineRule="auto"/>
        <w:ind w:left="990"/>
        <w:jc w:val="both"/>
      </w:pPr>
      <w:r>
        <w:rPr>
          <w:color w:val="1A1A1A"/>
        </w:rPr>
        <w:t xml:space="preserve">(b)  a species that is listed on the Species at Risk in Ontario List as an extirpated    species, if the species is prescribed by the regulations for the purpose of this clause. </w:t>
      </w:r>
      <w:r>
        <w:t xml:space="preserve"> 2007, c. 6, s. 10 (1).</w:t>
      </w:r>
    </w:p>
    <w:p w14:paraId="7AD6B376" w14:textId="77777777" w:rsidR="0039739C" w:rsidRDefault="007E62DB">
      <w:pPr>
        <w:shd w:val="clear" w:color="auto" w:fill="FFFFFF"/>
        <w:spacing w:before="240" w:line="240" w:lineRule="auto"/>
        <w:jc w:val="both"/>
        <w:rPr>
          <w:b/>
          <w:bCs/>
          <w:color w:val="222222"/>
        </w:rPr>
      </w:pPr>
      <w:r>
        <w:rPr>
          <w:b/>
          <w:bCs/>
          <w:color w:val="222222"/>
        </w:rPr>
        <w:t>Specified geographic area</w:t>
      </w:r>
    </w:p>
    <w:p w14:paraId="19AFADFB" w14:textId="77777777" w:rsidR="0039739C" w:rsidRDefault="007E62DB">
      <w:pPr>
        <w:shd w:val="clear" w:color="auto" w:fill="FFFFFF"/>
        <w:spacing w:before="100" w:line="240" w:lineRule="auto"/>
        <w:ind w:left="990"/>
        <w:jc w:val="both"/>
      </w:pPr>
      <w:r>
        <w:rPr>
          <w:color w:val="1A1A1A"/>
        </w:rPr>
        <w:t xml:space="preserve">(2) If the Species at Risk in Ontario List specifies a geographic area that a classification of a species applies to, subsection (1) only applies to that species in that area.  </w:t>
      </w:r>
      <w:r>
        <w:t>2007, c. 6, s. 10 (2).</w:t>
      </w:r>
    </w:p>
    <w:p w14:paraId="03B23042" w14:textId="77777777" w:rsidR="0039739C" w:rsidRDefault="007E62DB">
      <w:pPr>
        <w:shd w:val="clear" w:color="auto" w:fill="FFFFFF"/>
        <w:spacing w:before="100" w:line="240" w:lineRule="auto"/>
        <w:ind w:left="990"/>
        <w:jc w:val="both"/>
      </w:pPr>
      <w:r>
        <w:rPr>
          <w:color w:val="1A1A1A"/>
        </w:rPr>
        <w:t>(3) Repealed</w:t>
      </w:r>
      <w:r>
        <w:t>: 2025, c. 4, Sched. 2, s. 13.</w:t>
      </w:r>
    </w:p>
    <w:p w14:paraId="65F1FEAF" w14:textId="77777777" w:rsidR="0039739C" w:rsidRDefault="0039739C">
      <w:pPr>
        <w:shd w:val="clear" w:color="auto" w:fill="FFFFFF"/>
        <w:spacing w:before="120" w:line="240" w:lineRule="auto"/>
        <w:ind w:left="540"/>
        <w:jc w:val="both"/>
        <w:rPr>
          <w:color w:val="1A1A1A"/>
        </w:rPr>
        <w:sectPr w:rsidR="0039739C">
          <w:headerReference w:type="default" r:id="rId18"/>
          <w:headerReference w:type="first" r:id="rId19"/>
          <w:pgSz w:w="12240" w:h="15840"/>
          <w:pgMar w:top="1440" w:right="1440" w:bottom="1440" w:left="1440" w:header="720" w:footer="720" w:gutter="0"/>
          <w:pgNumType w:start="1"/>
          <w:cols w:space="720"/>
        </w:sectPr>
      </w:pPr>
    </w:p>
    <w:p w14:paraId="0FC46DF2" w14:textId="77777777" w:rsidR="0039739C" w:rsidRDefault="0039739C">
      <w:pPr>
        <w:widowControl w:val="0"/>
        <w:pBdr>
          <w:top w:val="nil"/>
          <w:left w:val="nil"/>
          <w:bottom w:val="nil"/>
          <w:right w:val="nil"/>
          <w:between w:val="nil"/>
        </w:pBdr>
        <w:jc w:val="both"/>
      </w:pPr>
    </w:p>
    <w:tbl>
      <w:tblPr>
        <w:tblStyle w:val="ac"/>
        <w:tblW w:w="12960" w:type="dxa"/>
        <w:tblLayout w:type="fixed"/>
        <w:tblLook w:val="0000" w:firstRow="0" w:lastRow="0" w:firstColumn="0" w:lastColumn="0" w:noHBand="0" w:noVBand="0"/>
      </w:tblPr>
      <w:tblGrid>
        <w:gridCol w:w="5941"/>
        <w:gridCol w:w="1105"/>
        <w:gridCol w:w="5914"/>
      </w:tblGrid>
      <w:tr w:rsidR="0039739C" w14:paraId="6A045749" w14:textId="77777777">
        <w:tc>
          <w:tcPr>
            <w:tcW w:w="5941" w:type="dxa"/>
            <w:tcBorders>
              <w:top w:val="nil"/>
              <w:left w:val="nil"/>
              <w:bottom w:val="nil"/>
              <w:right w:val="nil"/>
            </w:tcBorders>
          </w:tcPr>
          <w:p w14:paraId="7DBAA5BE" w14:textId="77777777" w:rsidR="0039739C" w:rsidRDefault="007E62DB">
            <w:pPr>
              <w:jc w:val="both"/>
              <w:rPr>
                <w:b/>
                <w:bCs/>
              </w:rPr>
            </w:pPr>
            <w:r>
              <w:rPr>
                <w:b/>
                <w:bCs/>
              </w:rPr>
              <w:t xml:space="preserve">HIS MAJESTY THE </w:t>
            </w:r>
            <w:r>
              <w:rPr>
                <w:b/>
                <w:bCs/>
              </w:rPr>
              <w:t>KING</w:t>
            </w:r>
          </w:p>
        </w:tc>
        <w:tc>
          <w:tcPr>
            <w:tcW w:w="1105" w:type="dxa"/>
            <w:tcBorders>
              <w:top w:val="nil"/>
              <w:left w:val="nil"/>
              <w:bottom w:val="nil"/>
              <w:right w:val="nil"/>
            </w:tcBorders>
          </w:tcPr>
          <w:p w14:paraId="7C755924" w14:textId="77777777" w:rsidR="0039739C" w:rsidRDefault="007E62DB">
            <w:pPr>
              <w:ind w:left="-479"/>
              <w:jc w:val="both"/>
              <w:rPr>
                <w:b/>
                <w:bCs/>
                <w:color w:val="000000"/>
              </w:rPr>
            </w:pPr>
            <w:r>
              <w:rPr>
                <w:b/>
                <w:bCs/>
                <w:color w:val="000000"/>
              </w:rPr>
              <w:t>-and</w:t>
            </w:r>
            <w:r>
              <w:rPr>
                <w:b/>
                <w:bCs/>
              </w:rPr>
              <w:t>-and-</w:t>
            </w:r>
          </w:p>
        </w:tc>
        <w:tc>
          <w:tcPr>
            <w:tcW w:w="5914" w:type="dxa"/>
            <w:tcBorders>
              <w:top w:val="nil"/>
              <w:left w:val="nil"/>
              <w:bottom w:val="nil"/>
              <w:right w:val="nil"/>
            </w:tcBorders>
          </w:tcPr>
          <w:p w14:paraId="3CE9A24E" w14:textId="77777777" w:rsidR="0039739C" w:rsidRDefault="007E62DB">
            <w:pPr>
              <w:jc w:val="right"/>
              <w:rPr>
                <w:b/>
                <w:bCs/>
                <w:color w:val="000000"/>
              </w:rPr>
            </w:pPr>
            <w:r>
              <w:rPr>
                <w:b/>
                <w:bCs/>
                <w:color w:val="000000"/>
              </w:rPr>
              <w:t>CONSOLIDATED HOMES LTD.</w:t>
            </w:r>
          </w:p>
        </w:tc>
      </w:tr>
      <w:tr w:rsidR="0039739C" w14:paraId="52477EF8" w14:textId="77777777">
        <w:tc>
          <w:tcPr>
            <w:tcW w:w="5941" w:type="dxa"/>
            <w:tcBorders>
              <w:top w:val="nil"/>
              <w:left w:val="nil"/>
              <w:bottom w:val="nil"/>
              <w:right w:val="nil"/>
            </w:tcBorders>
          </w:tcPr>
          <w:p w14:paraId="43957A43" w14:textId="77777777" w:rsidR="0039739C" w:rsidRDefault="007E62DB">
            <w:pPr>
              <w:jc w:val="both"/>
              <w:rPr>
                <w:color w:val="000000"/>
              </w:rPr>
            </w:pPr>
            <w:r>
              <w:rPr>
                <w:color w:val="000000"/>
              </w:rPr>
              <w:t>APPELLANT</w:t>
            </w:r>
            <w:r>
              <w:rPr>
                <w:color w:val="000000"/>
              </w:rPr>
              <w:br/>
            </w:r>
          </w:p>
        </w:tc>
        <w:tc>
          <w:tcPr>
            <w:tcW w:w="1105" w:type="dxa"/>
            <w:tcBorders>
              <w:top w:val="nil"/>
              <w:left w:val="nil"/>
              <w:bottom w:val="nil"/>
              <w:right w:val="nil"/>
            </w:tcBorders>
          </w:tcPr>
          <w:p w14:paraId="58804803" w14:textId="77777777" w:rsidR="0039739C" w:rsidRDefault="0039739C">
            <w:pPr>
              <w:jc w:val="both"/>
              <w:rPr>
                <w:color w:val="000000"/>
              </w:rPr>
            </w:pPr>
          </w:p>
        </w:tc>
        <w:tc>
          <w:tcPr>
            <w:tcW w:w="5914" w:type="dxa"/>
            <w:tcBorders>
              <w:top w:val="nil"/>
              <w:left w:val="nil"/>
              <w:bottom w:val="nil"/>
              <w:right w:val="nil"/>
            </w:tcBorders>
          </w:tcPr>
          <w:p w14:paraId="4C57759A" w14:textId="77777777" w:rsidR="0039739C" w:rsidRDefault="007E62DB">
            <w:pPr>
              <w:jc w:val="right"/>
              <w:rPr>
                <w:color w:val="000000"/>
              </w:rPr>
            </w:pPr>
            <w:r>
              <w:rPr>
                <w:color w:val="000000"/>
              </w:rPr>
              <w:t xml:space="preserve">RESPONDENT </w:t>
            </w:r>
          </w:p>
        </w:tc>
      </w:tr>
    </w:tbl>
    <w:p w14:paraId="1BDECAC2" w14:textId="77777777" w:rsidR="0039739C" w:rsidRDefault="007E62DB">
      <w:pPr>
        <w:spacing w:before="240"/>
        <w:jc w:val="right"/>
      </w:pPr>
      <w:r>
        <w:t>S.E.M.C.C. File Number: 02-14-2026</w:t>
      </w:r>
    </w:p>
    <w:tbl>
      <w:tblPr>
        <w:tblStyle w:val="ad"/>
        <w:tblW w:w="13396" w:type="dxa"/>
        <w:tblInd w:w="-72" w:type="dxa"/>
        <w:tblLayout w:type="fixed"/>
        <w:tblLook w:val="0000" w:firstRow="0" w:lastRow="0" w:firstColumn="0" w:lastColumn="0" w:noHBand="0" w:noVBand="0"/>
      </w:tblPr>
      <w:tblGrid>
        <w:gridCol w:w="8838"/>
        <w:gridCol w:w="4558"/>
      </w:tblGrid>
      <w:tr w:rsidR="0039739C" w14:paraId="69FAA95C" w14:textId="77777777">
        <w:trPr>
          <w:cantSplit/>
          <w:trHeight w:val="1074"/>
        </w:trPr>
        <w:tc>
          <w:tcPr>
            <w:tcW w:w="8838" w:type="dxa"/>
            <w:vMerge w:val="restart"/>
            <w:tcBorders>
              <w:top w:val="single" w:sz="6" w:space="0" w:color="000000"/>
              <w:left w:val="nil"/>
              <w:bottom w:val="nil"/>
              <w:right w:val="nil"/>
            </w:tcBorders>
          </w:tcPr>
          <w:p w14:paraId="4D154613" w14:textId="77777777" w:rsidR="0039739C" w:rsidRDefault="0039739C">
            <w:pPr>
              <w:jc w:val="both"/>
            </w:pPr>
          </w:p>
          <w:p w14:paraId="442E1953" w14:textId="77777777" w:rsidR="0039739C" w:rsidRDefault="0039739C">
            <w:pPr>
              <w:spacing w:before="20"/>
              <w:jc w:val="both"/>
            </w:pPr>
          </w:p>
          <w:p w14:paraId="378E5780" w14:textId="77777777" w:rsidR="0039739C" w:rsidRDefault="0039739C">
            <w:pPr>
              <w:spacing w:before="20"/>
              <w:jc w:val="both"/>
            </w:pPr>
          </w:p>
          <w:p w14:paraId="6ABF94E0" w14:textId="77777777" w:rsidR="0039739C" w:rsidRDefault="0039739C">
            <w:pPr>
              <w:spacing w:before="20"/>
              <w:jc w:val="both"/>
            </w:pPr>
          </w:p>
          <w:p w14:paraId="52BF4B3D" w14:textId="77777777" w:rsidR="0039739C" w:rsidRDefault="0039739C">
            <w:pPr>
              <w:spacing w:before="20"/>
              <w:jc w:val="both"/>
            </w:pPr>
          </w:p>
          <w:p w14:paraId="0FB6324A" w14:textId="77777777" w:rsidR="0039739C" w:rsidRDefault="0039739C">
            <w:pPr>
              <w:spacing w:before="20"/>
              <w:jc w:val="both"/>
            </w:pPr>
          </w:p>
          <w:p w14:paraId="5BB3ED2A" w14:textId="77777777" w:rsidR="0039739C" w:rsidRDefault="0039739C">
            <w:pPr>
              <w:spacing w:before="20"/>
              <w:jc w:val="both"/>
            </w:pPr>
          </w:p>
          <w:p w14:paraId="209E4B83" w14:textId="77777777" w:rsidR="0039739C" w:rsidRDefault="0039739C">
            <w:pPr>
              <w:spacing w:before="20"/>
              <w:jc w:val="both"/>
            </w:pPr>
          </w:p>
          <w:p w14:paraId="73C39F9A" w14:textId="77777777" w:rsidR="0039739C" w:rsidRDefault="0039739C">
            <w:pPr>
              <w:spacing w:before="20"/>
              <w:jc w:val="both"/>
            </w:pPr>
          </w:p>
          <w:p w14:paraId="32CECDEF" w14:textId="77777777" w:rsidR="0039739C" w:rsidRDefault="0039739C">
            <w:pPr>
              <w:spacing w:before="20"/>
              <w:jc w:val="both"/>
            </w:pPr>
          </w:p>
          <w:p w14:paraId="42BF0E62" w14:textId="77777777" w:rsidR="0039739C" w:rsidRDefault="0039739C">
            <w:pPr>
              <w:spacing w:before="20"/>
              <w:jc w:val="both"/>
            </w:pPr>
          </w:p>
          <w:p w14:paraId="3697A729" w14:textId="77777777" w:rsidR="0039739C" w:rsidRDefault="0039739C">
            <w:pPr>
              <w:spacing w:before="20"/>
              <w:jc w:val="both"/>
            </w:pPr>
          </w:p>
          <w:p w14:paraId="72F49666" w14:textId="77777777" w:rsidR="0039739C" w:rsidRDefault="0039739C">
            <w:pPr>
              <w:spacing w:before="20"/>
              <w:jc w:val="both"/>
            </w:pPr>
          </w:p>
          <w:p w14:paraId="2C3AC456" w14:textId="77777777" w:rsidR="0039739C" w:rsidRDefault="0039739C">
            <w:pPr>
              <w:spacing w:before="20"/>
              <w:jc w:val="both"/>
            </w:pPr>
          </w:p>
          <w:p w14:paraId="658AE5B1" w14:textId="77777777" w:rsidR="0039739C" w:rsidRDefault="0039739C">
            <w:pPr>
              <w:spacing w:before="20"/>
              <w:jc w:val="both"/>
            </w:pPr>
          </w:p>
          <w:p w14:paraId="1C9A97F6" w14:textId="77777777" w:rsidR="0039739C" w:rsidRDefault="0039739C">
            <w:pPr>
              <w:spacing w:before="20"/>
              <w:jc w:val="both"/>
            </w:pPr>
          </w:p>
          <w:p w14:paraId="71C477FB" w14:textId="77777777" w:rsidR="0039739C" w:rsidRDefault="0039739C">
            <w:pPr>
              <w:spacing w:before="20"/>
              <w:jc w:val="both"/>
            </w:pPr>
          </w:p>
          <w:p w14:paraId="193BBA31" w14:textId="77777777" w:rsidR="0039739C" w:rsidRDefault="0039739C">
            <w:pPr>
              <w:spacing w:before="20"/>
              <w:jc w:val="both"/>
            </w:pPr>
          </w:p>
          <w:p w14:paraId="2362B3C2" w14:textId="77777777" w:rsidR="0039739C" w:rsidRDefault="0039739C">
            <w:pPr>
              <w:spacing w:before="20"/>
              <w:jc w:val="both"/>
            </w:pPr>
          </w:p>
          <w:p w14:paraId="1C96D7AB" w14:textId="7F76C893" w:rsidR="0039739C" w:rsidRDefault="007E62DB">
            <w:pPr>
              <w:spacing w:before="20"/>
              <w:jc w:val="both"/>
            </w:pPr>
            <w:bookmarkStart w:id="38" w:name="bookmark=kix.5qzva1kdhxqw" w:colFirst="0" w:colLast="0"/>
            <w:bookmarkEnd w:id="38"/>
            <w:r>
              <w:t>Document #:</w:t>
            </w:r>
          </w:p>
        </w:tc>
        <w:tc>
          <w:tcPr>
            <w:tcW w:w="4558" w:type="dxa"/>
            <w:tcBorders>
              <w:top w:val="single" w:sz="6" w:space="0" w:color="000000"/>
              <w:left w:val="single" w:sz="6" w:space="0" w:color="000000"/>
              <w:bottom w:val="single" w:sz="4" w:space="0" w:color="000000"/>
              <w:right w:val="nil"/>
            </w:tcBorders>
          </w:tcPr>
          <w:p w14:paraId="61DC8BD1" w14:textId="77777777" w:rsidR="0039739C" w:rsidRDefault="0039739C">
            <w:pPr>
              <w:jc w:val="both"/>
            </w:pPr>
          </w:p>
          <w:p w14:paraId="64ECC2D1" w14:textId="77777777" w:rsidR="0039739C" w:rsidRDefault="007E62DB">
            <w:pPr>
              <w:pBdr>
                <w:top w:val="nil"/>
                <w:left w:val="nil"/>
                <w:bottom w:val="nil"/>
                <w:right w:val="nil"/>
                <w:between w:val="nil"/>
              </w:pBdr>
              <w:jc w:val="center"/>
              <w:rPr>
                <w:color w:val="000000"/>
              </w:rPr>
            </w:pPr>
            <w:r>
              <w:rPr>
                <w:color w:val="000000"/>
              </w:rPr>
              <w:t>SUPREME ENVIRONMENTAL MOOT COURT OF CANADA</w:t>
            </w:r>
          </w:p>
        </w:tc>
      </w:tr>
      <w:tr w:rsidR="0039739C" w14:paraId="0E87E6F8" w14:textId="77777777">
        <w:trPr>
          <w:cantSplit/>
          <w:trHeight w:val="1260"/>
        </w:trPr>
        <w:tc>
          <w:tcPr>
            <w:tcW w:w="8838" w:type="dxa"/>
            <w:vMerge/>
            <w:tcBorders>
              <w:top w:val="single" w:sz="6" w:space="0" w:color="000000"/>
              <w:left w:val="nil"/>
              <w:bottom w:val="nil"/>
              <w:right w:val="nil"/>
            </w:tcBorders>
          </w:tcPr>
          <w:p w14:paraId="50401BAB" w14:textId="77777777" w:rsidR="0039739C" w:rsidRDefault="0039739C">
            <w:pPr>
              <w:widowControl w:val="0"/>
              <w:pBdr>
                <w:top w:val="nil"/>
                <w:left w:val="nil"/>
                <w:bottom w:val="nil"/>
                <w:right w:val="nil"/>
                <w:between w:val="nil"/>
              </w:pBdr>
              <w:rPr>
                <w:color w:val="000000"/>
              </w:rPr>
            </w:pPr>
          </w:p>
        </w:tc>
        <w:tc>
          <w:tcPr>
            <w:tcW w:w="4558" w:type="dxa"/>
            <w:tcBorders>
              <w:top w:val="single" w:sz="4" w:space="0" w:color="000000"/>
              <w:left w:val="single" w:sz="6" w:space="0" w:color="000000"/>
              <w:bottom w:val="single" w:sz="4" w:space="0" w:color="000000"/>
              <w:right w:val="nil"/>
            </w:tcBorders>
          </w:tcPr>
          <w:p w14:paraId="46724284" w14:textId="77777777" w:rsidR="0039739C" w:rsidRDefault="0039739C">
            <w:pPr>
              <w:jc w:val="both"/>
              <w:rPr>
                <w:b/>
                <w:bCs/>
              </w:rPr>
            </w:pPr>
          </w:p>
          <w:p w14:paraId="286EA22A" w14:textId="77777777" w:rsidR="0039739C" w:rsidRDefault="007E62DB">
            <w:pPr>
              <w:jc w:val="center"/>
              <w:rPr>
                <w:b/>
                <w:bCs/>
              </w:rPr>
            </w:pPr>
            <w:r>
              <w:rPr>
                <w:b/>
                <w:bCs/>
              </w:rPr>
              <w:t>FACTUM OF THE APPELLANT</w:t>
            </w:r>
          </w:p>
          <w:p w14:paraId="374FE16D" w14:textId="77777777" w:rsidR="0039739C" w:rsidRDefault="007E62DB">
            <w:pPr>
              <w:jc w:val="center"/>
            </w:pPr>
            <w:r>
              <w:rPr>
                <w:b/>
                <w:bCs/>
              </w:rPr>
              <w:t>HIS MAJESTY THE KING</w:t>
            </w:r>
          </w:p>
        </w:tc>
      </w:tr>
      <w:tr w:rsidR="0039739C" w14:paraId="2604591E" w14:textId="77777777">
        <w:trPr>
          <w:trHeight w:val="4173"/>
        </w:trPr>
        <w:tc>
          <w:tcPr>
            <w:tcW w:w="8838" w:type="dxa"/>
            <w:vMerge/>
            <w:tcBorders>
              <w:top w:val="single" w:sz="6" w:space="0" w:color="000000"/>
              <w:left w:val="nil"/>
              <w:bottom w:val="single" w:sz="6" w:space="0" w:color="FFFFFF"/>
              <w:right w:val="nil"/>
            </w:tcBorders>
          </w:tcPr>
          <w:p w14:paraId="0EB47FCE" w14:textId="77777777" w:rsidR="0039739C" w:rsidRDefault="0039739C">
            <w:pPr>
              <w:widowControl w:val="0"/>
              <w:pBdr>
                <w:top w:val="nil"/>
                <w:left w:val="nil"/>
                <w:bottom w:val="nil"/>
                <w:right w:val="nil"/>
                <w:between w:val="nil"/>
              </w:pBdr>
            </w:pPr>
          </w:p>
        </w:tc>
        <w:tc>
          <w:tcPr>
            <w:tcW w:w="4558" w:type="dxa"/>
            <w:tcBorders>
              <w:top w:val="single" w:sz="4" w:space="0" w:color="000000"/>
              <w:left w:val="single" w:sz="6" w:space="0" w:color="000000"/>
              <w:bottom w:val="single" w:sz="4" w:space="0" w:color="FFFFFF"/>
              <w:right w:val="nil"/>
            </w:tcBorders>
          </w:tcPr>
          <w:p w14:paraId="3D97AECB" w14:textId="77777777" w:rsidR="0039739C" w:rsidRDefault="0039739C">
            <w:pPr>
              <w:pBdr>
                <w:top w:val="nil"/>
                <w:left w:val="nil"/>
                <w:bottom w:val="nil"/>
                <w:right w:val="nil"/>
                <w:between w:val="nil"/>
              </w:pBdr>
              <w:spacing w:before="120" w:after="120" w:line="360" w:lineRule="auto"/>
              <w:jc w:val="both"/>
              <w:rPr>
                <w:color w:val="000000"/>
              </w:rPr>
            </w:pPr>
          </w:p>
          <w:p w14:paraId="7F197AFB" w14:textId="77777777" w:rsidR="0039739C" w:rsidRDefault="007E62DB">
            <w:pPr>
              <w:widowControl w:val="0"/>
              <w:ind w:left="96"/>
              <w:jc w:val="center"/>
              <w:rPr>
                <w:b/>
                <w:bCs/>
              </w:rPr>
            </w:pPr>
            <w:r>
              <w:rPr>
                <w:b/>
                <w:bCs/>
              </w:rPr>
              <w:t xml:space="preserve">TEAM </w:t>
            </w:r>
            <w:bookmarkStart w:id="39" w:name="bookmark=id.algum97r24t9" w:colFirst="0" w:colLast="0"/>
            <w:bookmarkEnd w:id="39"/>
            <w:r>
              <w:rPr>
                <w:b/>
                <w:bCs/>
              </w:rPr>
              <w:t>#2026-11  </w:t>
            </w:r>
          </w:p>
          <w:p w14:paraId="0F8FFC34" w14:textId="77777777" w:rsidR="0039739C" w:rsidRDefault="0039739C">
            <w:pPr>
              <w:widowControl w:val="0"/>
              <w:ind w:left="96"/>
              <w:jc w:val="both"/>
              <w:rPr>
                <w:b/>
                <w:bCs/>
              </w:rPr>
            </w:pPr>
          </w:p>
          <w:p w14:paraId="21CB0486" w14:textId="77777777" w:rsidR="0039739C" w:rsidRDefault="007E62DB">
            <w:pPr>
              <w:widowControl w:val="0"/>
              <w:jc w:val="center"/>
            </w:pPr>
            <w:bookmarkStart w:id="40" w:name="bookmark=id.s4dcv2umlcwn" w:colFirst="0" w:colLast="0"/>
            <w:bookmarkEnd w:id="40"/>
            <w:r>
              <w:t>Ariane Lecompte</w:t>
            </w:r>
          </w:p>
          <w:p w14:paraId="047953E9" w14:textId="77777777" w:rsidR="0039739C" w:rsidRDefault="007E62DB">
            <w:pPr>
              <w:widowControl w:val="0"/>
              <w:jc w:val="center"/>
            </w:pPr>
            <w:r>
              <w:t>Craig Nix</w:t>
            </w:r>
          </w:p>
          <w:p w14:paraId="3D94D335" w14:textId="77777777" w:rsidR="0039739C" w:rsidRDefault="007E62DB">
            <w:pPr>
              <w:widowControl w:val="0"/>
              <w:jc w:val="center"/>
            </w:pPr>
            <w:r>
              <w:t>Will Oxtoby</w:t>
            </w:r>
          </w:p>
          <w:p w14:paraId="11776FA0" w14:textId="77777777" w:rsidR="0039739C" w:rsidRDefault="007E62DB">
            <w:pPr>
              <w:widowControl w:val="0"/>
              <w:ind w:left="96"/>
              <w:jc w:val="both"/>
              <w:rPr>
                <w:b/>
                <w:bCs/>
              </w:rPr>
            </w:pPr>
            <w:r>
              <w:rPr>
                <w:b/>
                <w:bCs/>
              </w:rPr>
              <w:t>     </w:t>
            </w:r>
          </w:p>
          <w:p w14:paraId="2E01F8A9" w14:textId="77777777" w:rsidR="0039739C" w:rsidRDefault="007E62DB">
            <w:pPr>
              <w:widowControl w:val="0"/>
              <w:ind w:left="96"/>
              <w:jc w:val="both"/>
            </w:pPr>
            <w:r>
              <w:rPr>
                <w:b/>
                <w:bCs/>
              </w:rPr>
              <w:t>     </w:t>
            </w:r>
          </w:p>
          <w:p w14:paraId="1CAD3354" w14:textId="77777777" w:rsidR="0039739C" w:rsidRDefault="007E62DB">
            <w:pPr>
              <w:widowControl w:val="0"/>
              <w:jc w:val="center"/>
            </w:pPr>
            <w:r>
              <w:t xml:space="preserve">Counsel for the Appellant, </w:t>
            </w:r>
            <w:r>
              <w:br/>
              <w:t>His Majesty The King</w:t>
            </w:r>
          </w:p>
          <w:p w14:paraId="3B96DF61" w14:textId="77777777" w:rsidR="0039739C" w:rsidRDefault="0039739C">
            <w:pPr>
              <w:widowControl w:val="0"/>
              <w:ind w:left="96"/>
              <w:jc w:val="both"/>
              <w:rPr>
                <w:color w:val="000000"/>
              </w:rPr>
            </w:pPr>
          </w:p>
        </w:tc>
      </w:tr>
    </w:tbl>
    <w:p w14:paraId="0FDB9550" w14:textId="77777777" w:rsidR="0039739C" w:rsidRDefault="0039739C">
      <w:pPr>
        <w:pBdr>
          <w:top w:val="nil"/>
          <w:left w:val="nil"/>
          <w:bottom w:val="nil"/>
          <w:right w:val="nil"/>
          <w:between w:val="nil"/>
        </w:pBdr>
        <w:spacing w:before="20"/>
        <w:jc w:val="both"/>
      </w:pPr>
    </w:p>
    <w:p w14:paraId="75FBE77D" w14:textId="77777777" w:rsidR="0039739C" w:rsidRDefault="0039739C">
      <w:pPr>
        <w:pBdr>
          <w:top w:val="nil"/>
          <w:left w:val="nil"/>
          <w:bottom w:val="nil"/>
          <w:right w:val="nil"/>
          <w:between w:val="nil"/>
        </w:pBdr>
        <w:spacing w:before="20"/>
        <w:jc w:val="both"/>
      </w:pPr>
    </w:p>
    <w:p w14:paraId="2FE42B9D" w14:textId="302F8667" w:rsidR="007E62DB" w:rsidRDefault="007E62DB" w:rsidP="007E62DB">
      <w:pPr>
        <w:pBdr>
          <w:top w:val="nil"/>
          <w:left w:val="nil"/>
          <w:bottom w:val="nil"/>
          <w:right w:val="nil"/>
          <w:between w:val="nil"/>
        </w:pBdr>
        <w:spacing w:line="180" w:lineRule="exact"/>
      </w:pPr>
      <w:r>
        <w:rPr>
          <w:rFonts w:ascii="Arial" w:hAnsi="Arial" w:cs="Arial"/>
          <w:sz w:val="16"/>
        </w:rPr>
        <w:fldChar w:fldCharType="begin"/>
      </w:r>
      <w:r>
        <w:rPr>
          <w:rFonts w:ascii="Arial" w:hAnsi="Arial" w:cs="Arial"/>
          <w:sz w:val="16"/>
        </w:rPr>
        <w:instrText xml:space="preserve"> DOCVARIABLE ndGeneratedStamp \* MERGEFORMAT </w:instrText>
      </w:r>
      <w:r>
        <w:rPr>
          <w:rFonts w:ascii="Arial" w:hAnsi="Arial" w:cs="Arial"/>
          <w:sz w:val="16"/>
        </w:rPr>
        <w:fldChar w:fldCharType="separate"/>
      </w:r>
      <w:r>
        <w:rPr>
          <w:rFonts w:ascii="Arial" w:hAnsi="Arial" w:cs="Arial"/>
          <w:sz w:val="16"/>
        </w:rPr>
        <w:t>1415-9380-8923, v. 1</w:t>
      </w:r>
      <w:r>
        <w:rPr>
          <w:rFonts w:ascii="Arial" w:hAnsi="Arial" w:cs="Arial"/>
          <w:sz w:val="16"/>
        </w:rPr>
        <w:fldChar w:fldCharType="end"/>
      </w:r>
    </w:p>
    <w:sectPr w:rsidR="007E62DB">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1D7B1" w14:textId="77777777" w:rsidR="007600A9" w:rsidRDefault="007600A9">
      <w:pPr>
        <w:spacing w:line="240" w:lineRule="auto"/>
      </w:pPr>
      <w:r>
        <w:separator/>
      </w:r>
    </w:p>
  </w:endnote>
  <w:endnote w:type="continuationSeparator" w:id="0">
    <w:p w14:paraId="27C622DA" w14:textId="77777777" w:rsidR="007600A9" w:rsidRDefault="007600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DC9CE94-3AE1-429E-BD3D-48A9A25518A3}"/>
    <w:embedBold r:id="rId2" w:fontKey="{795F59AB-DF9D-4417-B487-F0BA2AB37463}"/>
    <w:embedBoldItalic r:id="rId3" w:fontKey="{7BF9DB53-3F66-462E-8497-5E62451A88BF}"/>
  </w:font>
  <w:font w:name="Georgia">
    <w:panose1 w:val="02040502050405020303"/>
    <w:charset w:val="00"/>
    <w:family w:val="roman"/>
    <w:pitch w:val="variable"/>
    <w:sig w:usb0="00000287" w:usb1="00000000" w:usb2="00000000" w:usb3="00000000" w:csb0="0000009F" w:csb1="00000000"/>
    <w:embedItalic r:id="rId4" w:fontKey="{9E779027-C5D3-4F0B-A782-58573084C06F}"/>
  </w:font>
  <w:font w:name="Cambria">
    <w:panose1 w:val="02040503050406030204"/>
    <w:charset w:val="00"/>
    <w:family w:val="roman"/>
    <w:pitch w:val="variable"/>
    <w:sig w:usb0="E00006FF" w:usb1="420024FF" w:usb2="02000000" w:usb3="00000000" w:csb0="0000019F" w:csb1="00000000"/>
    <w:embedRegular r:id="rId5" w:fontKey="{7EB31D2D-A3AB-4834-B364-D34F761E35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B8FF1" w14:textId="77777777" w:rsidR="007E62DB" w:rsidRDefault="007E62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0A798" w14:textId="77777777" w:rsidR="007E62DB" w:rsidRDefault="007E62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D4CBD" w14:textId="77777777" w:rsidR="007E62DB" w:rsidRDefault="007E62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45571" w14:textId="77777777" w:rsidR="007600A9" w:rsidRDefault="007600A9">
      <w:pPr>
        <w:spacing w:line="240" w:lineRule="auto"/>
      </w:pPr>
      <w:r>
        <w:separator/>
      </w:r>
    </w:p>
  </w:footnote>
  <w:footnote w:type="continuationSeparator" w:id="0">
    <w:p w14:paraId="50E25A74" w14:textId="77777777" w:rsidR="007600A9" w:rsidRDefault="007600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BB0A5" w14:textId="77777777" w:rsidR="007E62DB" w:rsidRDefault="007E62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3FF09" w14:textId="77777777" w:rsidR="0039739C" w:rsidRDefault="0039739C">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1413E" w14:textId="77777777" w:rsidR="0039739C" w:rsidRDefault="0039739C">
    <w:pP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0E2A8" w14:textId="77777777" w:rsidR="0039739C" w:rsidRDefault="0039739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00602" w14:textId="10127DE2" w:rsidR="0039739C" w:rsidRDefault="007E62DB">
    <w:pPr>
      <w:jc w:val="center"/>
    </w:pPr>
    <w:r>
      <w:fldChar w:fldCharType="begin"/>
    </w:r>
    <w:r>
      <w:instrText>PAGE</w:instrText>
    </w:r>
    <w:r>
      <w:fldChar w:fldCharType="separate"/>
    </w:r>
    <w:r w:rsidR="00C96177">
      <w:rPr>
        <w:noProof/>
      </w:rPr>
      <w:t>1</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774FD" w14:textId="77777777" w:rsidR="0039739C" w:rsidRDefault="007E62DB">
    <w:r>
      <w:fldChar w:fldCharType="begin"/>
    </w:r>
    <w:r>
      <w:instrText>PAGE</w:instrText>
    </w:r>
    <w:r>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246E2"/>
    <w:multiLevelType w:val="multilevel"/>
    <w:tmpl w:val="0AF6E99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73526D68"/>
    <w:multiLevelType w:val="multilevel"/>
    <w:tmpl w:val="2144B7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D6F5174"/>
    <w:multiLevelType w:val="multilevel"/>
    <w:tmpl w:val="2A58DA2A"/>
    <w:lvl w:ilvl="0">
      <w:start w:val="1"/>
      <w:numFmt w:val="decimal"/>
      <w:lvlText w:val="%1"/>
      <w:lvlJc w:val="left"/>
      <w:pPr>
        <w:ind w:left="0" w:firstLine="0"/>
      </w:pPr>
      <w:rPr>
        <w:rFonts w:ascii="Times New Roman" w:eastAsia="Times New Roman" w:hAnsi="Times New Roman" w:cs="Times New Roman"/>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69811255">
    <w:abstractNumId w:val="1"/>
  </w:num>
  <w:num w:numId="2" w16cid:durableId="1658729142">
    <w:abstractNumId w:val="0"/>
  </w:num>
  <w:num w:numId="3" w16cid:durableId="12257214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dGeneratedStamp" w:val="1415-9380-8923, v. 1"/>
    <w:docVar w:name="ndGeneratedStampLocation" w:val="LastPage"/>
  </w:docVars>
  <w:rsids>
    <w:rsidRoot w:val="0039739C"/>
    <w:rsid w:val="002A7E4E"/>
    <w:rsid w:val="0039739C"/>
    <w:rsid w:val="007600A9"/>
    <w:rsid w:val="007E62DB"/>
    <w:rsid w:val="00AE0B38"/>
    <w:rsid w:val="00C9617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3B14C"/>
  <w15:docId w15:val="{C5A55909-7912-0246-AAC1-F79BF7AEB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360" w:lineRule="auto"/>
      <w:outlineLvl w:val="0"/>
    </w:pPr>
    <w:rPr>
      <w:rFonts w:ascii="Arial" w:eastAsia="Arial" w:hAnsi="Arial" w:cs="Arial"/>
      <w:b/>
      <w:bCs/>
    </w:rPr>
  </w:style>
  <w:style w:type="paragraph" w:styleId="Heading2">
    <w:name w:val="heading 2"/>
    <w:basedOn w:val="Normal"/>
    <w:next w:val="Normal"/>
    <w:uiPriority w:val="9"/>
    <w:unhideWhenUsed/>
    <w:qFormat/>
    <w:pPr>
      <w:keepNext/>
      <w:outlineLvl w:val="1"/>
    </w:pPr>
    <w:rPr>
      <w:b/>
      <w:bCs/>
    </w:rPr>
  </w:style>
  <w:style w:type="paragraph" w:styleId="Heading3">
    <w:name w:val="heading 3"/>
    <w:basedOn w:val="Normal"/>
    <w:next w:val="Normal"/>
    <w:uiPriority w:val="9"/>
    <w:unhideWhenUsed/>
    <w:qFormat/>
    <w:pPr>
      <w:keepNext/>
      <w:spacing w:before="240" w:after="60" w:line="360" w:lineRule="auto"/>
      <w:ind w:left="720"/>
      <w:outlineLvl w:val="2"/>
    </w:pPr>
  </w:style>
  <w:style w:type="paragraph" w:styleId="Heading4">
    <w:name w:val="heading 4"/>
    <w:basedOn w:val="Normal"/>
    <w:next w:val="Normal"/>
    <w:uiPriority w:val="9"/>
    <w:semiHidden/>
    <w:unhideWhenUsed/>
    <w:qFormat/>
    <w:pPr>
      <w:keepNext/>
      <w:spacing w:before="240" w:after="60"/>
      <w:ind w:left="720"/>
      <w:outlineLvl w:val="3"/>
    </w:pPr>
    <w:rPr>
      <w:b/>
      <w:bCs/>
    </w:rPr>
  </w:style>
  <w:style w:type="paragraph" w:styleId="Heading5">
    <w:name w:val="heading 5"/>
    <w:basedOn w:val="Normal"/>
    <w:next w:val="Normal"/>
    <w:uiPriority w:val="9"/>
    <w:semiHidden/>
    <w:unhideWhenUsed/>
    <w:qFormat/>
    <w:pPr>
      <w:spacing w:before="240" w:after="60"/>
      <w:ind w:left="2880"/>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spacing w:before="240" w:after="60"/>
      <w:ind w:left="3600"/>
      <w:outlineLvl w:val="5"/>
    </w:pPr>
    <w:rPr>
      <w:rFonts w:ascii="Calibri" w:eastAsia="Calibri" w:hAnsi="Calibri" w:cs="Calibri"/>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a">
    <w:basedOn w:val="TableNormal3"/>
    <w:tblPr>
      <w:tblStyleRowBandSize w:val="1"/>
      <w:tblStyleColBandSize w:val="1"/>
      <w:tblCellMar>
        <w:top w:w="0" w:type="dxa"/>
        <w:left w:w="0" w:type="dxa"/>
        <w:bottom w:w="0" w:type="dxa"/>
        <w:right w:w="0" w:type="dxa"/>
      </w:tblCellMar>
    </w:tblPr>
  </w:style>
  <w:style w:type="table" w:customStyle="1" w:styleId="a0">
    <w:basedOn w:val="TableNormal3"/>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F0A5A"/>
    <w:rPr>
      <w:b/>
      <w:bCs/>
    </w:rPr>
  </w:style>
  <w:style w:type="character" w:customStyle="1" w:styleId="CommentSubjectChar">
    <w:name w:val="Comment Subject Char"/>
    <w:basedOn w:val="CommentTextChar"/>
    <w:link w:val="CommentSubject"/>
    <w:uiPriority w:val="99"/>
    <w:semiHidden/>
    <w:rsid w:val="00AF0A5A"/>
    <w:rPr>
      <w:b/>
      <w:bCs/>
      <w:sz w:val="20"/>
      <w:szCs w:val="20"/>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paragraph" w:styleId="Revision">
    <w:name w:val="Revision"/>
    <w:hidden/>
    <w:uiPriority w:val="99"/>
    <w:semiHidden/>
    <w:rsid w:val="00E55A14"/>
    <w:pPr>
      <w:spacing w:line="240" w:lineRule="auto"/>
    </w:p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6E0B4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175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9">
    <w:basedOn w:val="TableNormal"/>
    <w:pPr>
      <w:spacing w:line="240" w:lineRule="auto"/>
    </w:pPr>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96177"/>
    <w:pPr>
      <w:tabs>
        <w:tab w:val="center" w:pos="4680"/>
        <w:tab w:val="right" w:pos="9360"/>
      </w:tabs>
      <w:spacing w:line="240" w:lineRule="auto"/>
    </w:pPr>
  </w:style>
  <w:style w:type="character" w:customStyle="1" w:styleId="HeaderChar">
    <w:name w:val="Header Char"/>
    <w:basedOn w:val="DefaultParagraphFont"/>
    <w:link w:val="Header"/>
    <w:uiPriority w:val="99"/>
    <w:rsid w:val="00C96177"/>
  </w:style>
  <w:style w:type="paragraph" w:styleId="Footer">
    <w:name w:val="footer"/>
    <w:basedOn w:val="Normal"/>
    <w:link w:val="FooterChar"/>
    <w:uiPriority w:val="99"/>
    <w:unhideWhenUsed/>
    <w:rsid w:val="00C96177"/>
    <w:pPr>
      <w:tabs>
        <w:tab w:val="center" w:pos="4680"/>
        <w:tab w:val="right" w:pos="9360"/>
      </w:tabs>
      <w:spacing w:line="240" w:lineRule="auto"/>
    </w:pPr>
  </w:style>
  <w:style w:type="character" w:customStyle="1" w:styleId="FooterChar">
    <w:name w:val="Footer Char"/>
    <w:basedOn w:val="DefaultParagraphFont"/>
    <w:link w:val="Footer"/>
    <w:uiPriority w:val="99"/>
    <w:rsid w:val="00C96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canlii.org/en/on/laws/regu/o-reg-230-08/latest/o-reg-230-08.html" TargetMode="External"/><Relationship Id="rId2" Type="http://schemas.openxmlformats.org/officeDocument/2006/relationships/numbering" Target="numbering.xml"/><Relationship Id="rId16" Type="http://schemas.openxmlformats.org/officeDocument/2006/relationships/hyperlink" Target="https://www.canlii.org/en/on/laws/regu/o-reg-230-08/latest/o-reg-230-08.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anlii.org/en/on/laws/regu/o-reg-230-08/latest/o-reg-230-08.html" TargetMode="Externa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Qd2Cktil8l4+JW8ZyYEBdYqGzw==">CgMxLjAaHwoBMBIaChgICVIUChJ0YWJsZS56MGFzcW5wMXozNmMi7gMKC0FBQUJ4WUNlcUZVEpUDCgtBQUFCeFlDZXFGVRILQUFBQnhZQ2VxRlUaDQoJdGV4dC9odG1sEgAiDgoKdGV4dC9wbGFpbhIAKlwKI0NhaXRsaW4gT2hhbWEtRGFyY3VzICgzMjYzKSAtIDE0RmxyGjUvL3NzbC5nc3RhdGljLmNvbS9kb2NzL2NvbW1vbi9ibHVlX3NpbGhvdWV0dGU5Ni0wLnBuZzCAtI+JujM4gLSPibozSkAKJGFwcGxpY2F0aW9uL3ZuZC5nb29nbGUtYXBwcy5kb2NzLm1kcxoYwtfa5AESIgYIVghZEAEiCAiLAQiMARABcl4KI0NhaXRsaW4gT2hhbWEtRGFyY3VzICgzMjYzKSAtIDE0RmxyGjcKNS8vc3NsLmdzdGF0aWMuY29tL2RvY3MvY29tbW9uL2JsdWVfc2lsaG91ZXR0ZTk2LTAucG5neACCATdzdWdnZXN0SWRJbXBvcnRjOWRhZWRlOC0xNzFiLTRiZDAtYWYzZS02ZDNmMThiOWI1OTFfMjMziAEBmgEGCAAQABgAsAEAuAEBGIC0j4m6MyCAtI+JujMwAEI3c3VnZ2VzdElkSW1wb3J0YzlkYWVkZTgtMTcxYi00YmQwLWFmM2UtNmQzZjE4YjliNTkxXzIzMzIPaWQuYXY0amI2d2Zid3c0Mg5oLjIxaXlzcDJ3Y2JpMDIOaC41MWNraXQzY2J0YjEyDmgubW0zaTlpazNkcGRyMg5oLnlnOHgyeHM5bXk2MDIOaC5nZ3F5cnc5eHVpc28yDmguaGtkd2tqYXJkeDB4Mg5oLnljc21jbW1zM2dsZTIOaC44cnc4M3NtZWZ5ZGsyDmgudTJyMmkxOGtrM3NsMg5oLnh3ZjF4ZWgzODR6ODIOaC50dm9hYnI2NnBzeG4yDmguNzEzYXVuc3Y3ZDV0Mg5oLnV3d2szNmtmemtvYTIOaC4yMDUwYTZqdndxajQyDmguODk1d3ZsbGtndnluMg5oLjMxejNiaWNtbG0wZDIOaC5tYWo3YzgyOXN1YzMyDmgub3d0MmVkZnpvM2FwMg1oLmFuOTF3NmR1cjBlMg5oLjdnNTVwN24yNm03ZzIOaC5mMHpmZm9hcmNlcWUyDmgueGxodnJ2d2R4dzcxMg5oLnB2MzhodWV1cXU4dDIOaC5wc2lod2t3b3NrN24yDmguZGJ2dzEzMndrYXZwMg5oLmp1ZnY5dWN2ZXdzOTIOaC5wMHlxcmFlNncwcHUyDmguYXZkNm81MWllZDh1Mg1oLjhubTdreTlmaXBsMg5oLmEyYWN0MDRlbWFnajIPaWQuYXZiMWdlYTk4cWN3Mg1oLmdhaHdma3h3b3E5Mg1oLjQyeWI3am85dmw0Mg5oLm5ubDd1c3ZuNWVmejIOaC5lMWp0c2diaWtpbzcyDmguN3ZnNnVhdDltOWlkMg5oLnZsa29jeXM5bXJqcDIQa2l4LjVxenZhMWtkaHhxdzIPaWQuYWxndW05N3IyNHQ5Mg9pZC5zNGRjdjJ1bWxjd244AGpeCjdzdWdnZXN0SWRJbXBvcnRjOWRhZWRlOC0xNzFiLTRiZDAtYWYzZS02ZDNmMThiOWI1OTFfMTEyEiNDYWl0bGluIE9oYW1hLURhcmN1cyAoMzI2MykgLSAxNEZscmpeCjdzdWdnZXN0SWRJbXBvcnRjOWRhZWRlOC0xNzFiLTRiZDAtYWYzZS02ZDNmMThiOWI1OTFfMTM2EiNDYWl0bGluIE9oYW1hLURhcmN1cyAoMzI2MykgLSAxNEZscmpdCjZzdWdnZXN0SWRJbXBvcnRjOWRhZWRlOC0xNzFiLTRiZDAtYWYzZS02ZDNmMThiOWI1OTFfNzgSI0NhaXRsaW4gT2hhbWEtRGFyY3VzICgzMjYzKSAtIDE0Rmxyal4KN3N1Z2dlc3RJZEltcG9ydGM5ZGFlZGU4LTE3MWItNGJkMC1hZjNlLTZkM2YxOGI5YjU5MV8xNTcSI0NhaXRsaW4gT2hhbWEtRGFyY3VzICgzMjYzKSAtIDE0Rmxyal4KN3N1Z2dlc3RJZEltcG9ydGM5ZGFlZGU4LTE3MWItNGJkMC1hZjNlLTZkM2YxOGI5YjU5MV8xNzESI0NhaXRsaW4gT2hhbWEtRGFyY3VzICgzMjYzKSAtIDE0Rmxyal4KN3N1Z2dlc3RJZEltcG9ydGM5ZGFlZGU4LTE3MWItNGJkMC1hZjNlLTZkM2YxOGI5YjU5MV8xMTASI0NhaXRsaW4gT2hhbWEtRGFyY3VzICgzMjYzKSAtIDE0Rmxyal4KN3N1Z2dlc3RJZEltcG9ydGM5ZGFlZGU4LTE3MWItNGJkMC1hZjNlLTZkM2YxOGI5YjU5MV8yMzkSI0NhaXRsaW4gT2hhbWEtRGFyY3VzICgzMjYzKSAtIDE0Rmxyal4KN3N1Z2dlc3RJZEltcG9ydGM5ZGFlZGU4LTE3MWItNGJkMC1hZjNlLTZkM2YxOGI5YjU5MV8xNjMSI0NhaXRsaW4gT2hhbWEtRGFyY3VzICgzMjYzKSAtIDE0Rmxyal0KNnN1Z2dlc3RJZEltcG9ydDcxYTFkNWI2LThmMTQtNDA2MC04NGJlLTdhMGQwMjg3YmMxNV8xNRIjQ2FpdGxpbiBPaGFtYS1EYXJjdXMgKDMyNjMpIC0gMTRGbHJqXgo3c3VnZ2VzdElkSW1wb3J0YzlkYWVkZTgtMTcxYi00YmQwLWFmM2UtNmQzZjE4YjliNTkxXzI0MhIjQ2FpdGxpbiBPaGFtYS1EYXJjdXMgKDMyNjMpIC0gMTRGbHJqXQo2c3VnZ2VzdElkSW1wb3J0YzlkYWVkZTgtMTcxYi00YmQwLWFmM2UtNmQzZjE4YjliNTkxXzkwEiNDYWl0bGluIE9oYW1hLURhcmN1cyAoMzI2MykgLSAxNEZscmpeCjdzdWdnZXN0SWRJbXBvcnRjOWRhZWRlOC0xNzFiLTRiZDAtYWYzZS02ZDNmMThiOWI1OTFfMTQ2EiNDYWl0bGluIE9oYW1hLURhcmN1cyAoMzI2MykgLSAxNEZscmpdCjZzdWdnZXN0SWRJbXBvcnRjOWRhZWRlOC0xNzFiLTRiZDAtYWYzZS02ZDNmMThiOWI1OTFfODASI0NhaXRsaW4gT2hhbWEtRGFyY3VzICgzMjYzKSAtIDE0Rmxyal0KNnN1Z2dlc3RJZEltcG9ydGM5ZGFlZGU4LTE3MWItNGJkMC1hZjNlLTZkM2YxOGI5YjU5MV80MxIjQ2FpdGxpbiBPaGFtYS1EYXJjdXMgKDMyNjMpIC0gMTRGbHJqXQo2c3VnZ2VzdElkSW1wb3J0YzlkYWVkZTgtMTcxYi00YmQwLWFmM2UtNmQzZjE4YjliNTkxXzU0EiNDYWl0bGluIE9oYW1hLURhcmN1cyAoMzI2MykgLSAxNEZscmpeCjdzdWdnZXN0SWRJbXBvcnRjOWRhZWRlOC0xNzFiLTRiZDAtYWYzZS02ZDNmMThiOWI1OTFfMTUyEiNDYWl0bGluIE9oYW1hLURhcmN1cyAoMzI2MykgLSAxNEZscmpeCjdzdWdnZXN0SWRJbXBvcnRjOWRhZWRlOC0xNzFiLTRiZDAtYWYzZS02ZDNmMThiOWI1OTFfMjQ1EiNDYWl0bGluIE9oYW1hLURhcmN1cyAoMzI2MykgLSAxNEZscmpeCjdzdWdnZXN0SWRJbXBvcnRjOWRhZWRlOC0xNzFiLTRiZDAtYWYzZS02ZDNmMThiOWI1OTFfMTM1EiNDYWl0bGluIE9oYW1hLURhcmN1cyAoMzI2MykgLSAxNEZscmpdCjZzdWdnZXN0SWRJbXBvcnRjOWRhZWRlOC0xNzFiLTRiZDAtYWYzZS02ZDNmMThiOWI1OTFfNjgSI0NhaXRsaW4gT2hhbWEtRGFyY3VzICgzMjYzKSAtIDE0Rmxyal0KNnN1Z2dlc3RJZEltcG9ydGM5ZGFlZGU4LTE3MWItNGJkMC1hZjNlLTZkM2YxOGI5YjU5MV82ORIjQ2FpdGxpbiBPaGFtYS1EYXJjdXMgKDMyNjMpIC0gMTRGbHJqXQo2c3VnZ2VzdElkSW1wb3J0YzlkYWVkZTgtMTcxYi00YmQwLWFmM2UtNmQzZjE4YjliNTkxXzM0EiNDYWl0bGluIE9oYW1hLURhcmN1cyAoMzI2MykgLSAxNEZscmpeCjdzdWdnZXN0SWRJbXBvcnRjOWRhZWRlOC0xNzFiLTRiZDAtYWYzZS02ZDNmMThiOWI1OTFfMTA1EiNDYWl0bGluIE9oYW1hLURhcmN1cyAoMzI2MykgLSAxNEZscmpeCjdzdWdnZXN0SWRJbXBvcnRjOWRhZWRlOC0xNzFiLTRiZDAtYWYzZS02ZDNmMThiOWI1OTFfMTQwEiNDYWl0bGluIE9oYW1hLURhcmN1cyAoMzI2MykgLSAxNEZscmpeCjdzdWdnZXN0SWRJbXBvcnRjOWRhZWRlOC0xNzFiLTRiZDAtYWYzZS02ZDNmMThiOWI1OTFfMTQ4EiNDYWl0bGluIE9oYW1hLURhcmN1cyAoMzI2MykgLSAxNEZscmpdCjZzdWdnZXN0SWRJbXBvcnRjOWRhZWRlOC0xNzFiLTRiZDAtYWYzZS02ZDNmMThiOWI1OTFfNDcSI0NhaXRsaW4gT2hhbWEtRGFyY3VzICgzMjYzKSAtIDE0Rmxyal4KN3N1Z2dlc3RJZEltcG9ydGM5ZGFlZGU4LTE3MWItNGJkMC1hZjNlLTZkM2YxOGI5YjU5MV8yMzESI0NhaXRsaW4gT2hhbWEtRGFyY3VzICgzMjYzKSAtIDE0Rmxyal0KNnN1Z2dlc3RJZEltcG9ydGM5ZGFlZGU4LTE3MWItNGJkMC1hZjNlLTZkM2YxOGI5YjU5MV85NRIjQ2FpdGxpbiBPaGFtYS1EYXJjdXMgKDMyNjMpIC0gMTRGbHJqXgo3c3VnZ2VzdElkSW1wb3J0YzlkYWVkZTgtMTcxYi00YmQwLWFmM2UtNmQzZjE4YjliNTkxXzE0NBIjQ2FpdGxpbiBPaGFtYS1EYXJjdXMgKDMyNjMpIC0gMTRGbHJqXQo2c3VnZ2VzdElkSW1wb3J0YzlkYWVkZTgtMTcxYi00YmQwLWFmM2UtNmQzZjE4YjliNTkxXzc2EiNDYWl0bGluIE9oYW1hLURhcmN1cyAoMzI2MykgLSAxNEZscmpeCjdzdWdnZXN0SWRJbXBvcnRjOWRhZWRlOC0xNzFiLTRiZDAtYWYzZS02ZDNmMThiOWI1OTFfMjI4EiNDYWl0bGluIE9oYW1hLURhcmN1cyAoMzI2MykgLSAxNEZscmpdCjZzdWdnZXN0SWRJbXBvcnRjOWRhZWRlOC0xNzFiLTRiZDAtYWYzZS02ZDNmMThiOWI1OTFfNDkSI0NhaXRsaW4gT2hhbWEtRGFyY3VzICgzMjYzKSAtIDE0Rmxyal4KN3N1Z2dlc3RJZEltcG9ydGM5ZGFlZGU4LTE3MWItNGJkMC1hZjNlLTZkM2YxOGI5YjU5MV8yNDQSI0NhaXRsaW4gT2hhbWEtRGFyY3VzICgzMjYzKSAtIDE0Rmxyal4KN3N1Z2dlc3RJZEltcG9ydGM5ZGFlZGU4LTE3MWItNGJkMC1hZjNlLTZkM2YxOGI5YjU5MV8xMTkSI0NhaXRsaW4gT2hhbWEtRGFyY3VzICgzMjYzKSAtIDE0RmxyalwKNXN1Z2dlc3RJZEltcG9ydGM5ZGFlZGU4LTE3MWItNGJkMC1hZjNlLTZkM2YxOGI5YjU5MV82EiNDYWl0bGluIE9oYW1hLURhcmN1cyAoMzI2MykgLSAxNEZscmpdCjZzdWdnZXN0SWRJbXBvcnRjOWRhZWRlOC0xNzFiLTRiZDAtYWYzZS02ZDNmMThiOWI1OTFfMzYSI0NhaXRsaW4gT2hhbWEtRGFyY3VzICgzMjYzKSAtIDE0Rmxyal4KN3N1Z2dlc3RJZEltcG9ydGM5ZGFlZGU4LTE3MWItNGJkMC1hZjNlLTZkM2YxOGI5YjU5MV8xNjgSI0NhaXRsaW4gT2hhbWEtRGFyY3VzICgzMjYzKSAtIDE0Rmxyal4KN3N1Z2dlc3RJZEltcG9ydGM5ZGFlZGU4LTE3MWItNGJkMC1hZjNlLTZkM2YxOGI5YjU5MV8xMjASI0NhaXRsaW4gT2hhbWEtRGFyY3VzICgzMjYzKSAtIDE0Rmxyal4KN3N1Z2dlc3RJZEltcG9ydGM5ZGFlZGU4LTE3MWItNGJkMC1hZjNlLTZkM2YxOGI5YjU5MV8yMjISI0NhaXRsaW4gT2hhbWEtRGFyY3VzICgzMjYzKSAtIDE0Rmxyal4KN3N1Z2dlc3RJZEltcG9ydGM5ZGFlZGU4LTE3MWItNGJkMC1hZjNlLTZkM2YxOGI5YjU5MV8yMzMSI0NhaXRsaW4gT2hhbWEtRGFyY3VzICgzMjYzKSAtIDE0Rmxyal4KN3N1Z2dlc3RJZEltcG9ydGM5ZGFlZGU4LTE3MWItNGJkMC1hZjNlLTZkM2YxOGI5YjU5MV8xNDMSI0NhaXRsaW4gT2hhbWEtRGFyY3VzICgzMjYzKSAtIDE0Rmxyal4KN3N1Z2dlc3RJZEltcG9ydGM5ZGFlZGU4LTE3MWItNGJkMC1hZjNlLTZkM2YxOGI5YjU5MV8yNDESI0NhaXRsaW4gT2hhbWEtRGFyY3VzICgzMjYzKSAtIDE0Rmxyal0KNnN1Z2dlc3RJZEltcG9ydGM5ZGFlZGU4LTE3MWItNGJkMC1hZjNlLTZkM2YxOGI5YjU5MV83NBIjQ2FpdGxpbiBPaGFtYS1EYXJjdXMgKDMyNjMpIC0gMTRGbHJqXQo2c3VnZ2VzdElkSW1wb3J0YzlkYWVkZTgtMTcxYi00YmQwLWFmM2UtNmQzZjE4YjliNTkxXzk0EiNDYWl0bGluIE9oYW1hLURhcmN1cyAoMzI2MykgLSAxNEZscmpeCjdzdWdnZXN0SWRJbXBvcnRjOWRhZWRlOC0xNzFiLTRiZDAtYWYzZS02ZDNmMThiOWI1OTFfMjE1EiNDYWl0bGluIE9oYW1hLURhcmN1cyAoMzI2MykgLSAxNEZscmpeCjdzdWdnZXN0SWRJbXBvcnRjOWRhZWRlOC0xNzFiLTRiZDAtYWYzZS02ZDNmMThiOWI1OTFfMTU0EiNDYWl0bGluIE9oYW1hLURhcmN1cyAoMzI2MykgLSAxNEZscmpeCjdzdWdnZXN0SWRJbXBvcnRjOWRhZWRlOC0xNzFiLTRiZDAtYWYzZS02ZDNmMThiOWI1OTFfMTQ3EiNDYWl0bGluIE9oYW1hLURhcmN1cyAoMzI2MykgLSAxNEZscmpdCjZzdWdnZXN0SWRJbXBvcnRjOWRhZWRlOC0xNzFiLTRiZDAtYWYzZS02ZDNmMThiOWI1OTFfODYSI0NhaXRsaW4gT2hhbWEtRGFyY3VzICgzMjYzKSAtIDE0Rmxyal0KNnN1Z2dlc3RJZEltcG9ydGM5ZGFlZGU4LTE3MWItNGJkMC1hZjNlLTZkM2YxOGI5YjU5MV82MhIjQ2FpdGxpbiBPaGFtYS1EYXJjdXMgKDMyNjMpIC0gMTRGbHJqXQo2c3VnZ2VzdElkSW1wb3J0YzlkYWVkZTgtMTcxYi00YmQwLWFmM2UtNmQzZjE4YjliNTkxXzQ1EiNDYWl0bGluIE9oYW1hLURhcmN1cyAoMzI2MykgLSAxNEZscmpdCjZzdWdnZXN0SWRJbXBvcnRjOWRhZWRlOC0xNzFiLTRiZDAtYWYzZS02ZDNmMThiOWI1OTFfMzESI0NhaXRsaW4gT2hhbWEtRGFyY3VzICgzMjYzKSAtIDE0Rmxyal0KNnN1Z2dlc3RJZEltcG9ydGM5ZGFlZGU4LTE3MWItNGJkMC1hZjNlLTZkM2YxOGI5YjU5MV8zMhIjQ2FpdGxpbiBPaGFtYS1EYXJjdXMgKDMyNjMpIC0gMTRGbHJqXQo2c3VnZ2VzdElkSW1wb3J0YzlkYWVkZTgtMTcxYi00YmQwLWFmM2UtNmQzZjE4YjliNTkxXzcwEiNDYWl0bGluIE9oYW1hLURhcmN1cyAoMzI2MykgLSAxNEZscmpeCjdzdWdnZXN0SWRJbXBvcnRjOWRhZWRlOC0xNzFiLTRiZDAtYWYzZS02ZDNmMThiOWI1OTFfMjE3EiNDYWl0bGluIE9oYW1hLURhcmN1cyAoMzI2MykgLSAxNEZscmpdCjZzdWdnZXN0SWRJbXBvcnRjOWRhZWRlOC0xNzFiLTRiZDAtYWYzZS02ZDNmMThiOWI1OTFfNjcSI0NhaXRsaW4gT2hhbWEtRGFyY3VzICgzMjYzKSAtIDE0Rmxyal0KNnN1Z2dlc3RJZEltcG9ydGM5ZGFlZGU4LTE3MWItNGJkMC1hZjNlLTZkM2YxOGI5YjU5MV80MBIjQ2FpdGxpbiBPaGFtYS1EYXJjdXMgKDMyNjMpIC0gMTRGbHJqXQo2c3VnZ2VzdElkSW1wb3J0YzlkYWVkZTgtMTcxYi00YmQwLWFmM2UtNmQzZjE4YjliNTkxXzUwEiNDYWl0bGluIE9oYW1hLURhcmN1cyAoMzI2MykgLSAxNEZscmpdCjZzdWdnZXN0SWRJbXBvcnRjOWRhZWRlOC0xNzFiLTRiZDAtYWYzZS02ZDNmMThiOWI1OTFfMjESI0NhaXRsaW4gT2hhbWEtRGFyY3VzICgzMjYzKSAtIDE0Rmxyal4KN3N1Z2dlc3RJZEltcG9ydGM5ZGFlZGU4LTE3MWItNGJkMC1hZjNlLTZkM2YxOGI5YjU5MV8xMzMSI0NhaXRsaW4gT2hhbWEtRGFyY3VzICgzMjYzKSAtIDE0Rmxyal4KN3N1Z2dlc3RJZEltcG9ydGM5ZGFlZGU4LTE3MWItNGJkMC1hZjNlLTZkM2YxOGI5YjU5MV8yMzASI0NhaXRsaW4gT2hhbWEtRGFyY3VzICgzMjYzKSAtIDE0RmxyalwKNXN1Z2dlc3RJZEltcG9ydGM5ZGFlZGU4LTE3MWItNGJkMC1hZjNlLTZkM2YxOGI5YjU5MV83EiNDYWl0bGluIE9oYW1hLURhcmN1cyAoMzI2MykgLSAxNEZscmpeCjdzdWdnZXN0SWRJbXBvcnRjOWRhZWRlOC0xNzFiLTRiZDAtYWYzZS02ZDNmMThiOWI1OTFfMTI5EiNDYWl0bGluIE9oYW1hLURhcmN1cyAoMzI2MykgLSAxNEZscmpeCjdzdWdnZXN0SWRJbXBvcnRjOWRhZWRlOC0xNzFiLTRiZDAtYWYzZS02ZDNmMThiOWI1OTFfMTExEiNDYWl0bGluIE9oYW1hLURhcmN1cyAoMzI2MykgLSAxNEZscmpeCjdzdWdnZXN0SWRJbXBvcnRjOWRhZWRlOC0xNzFiLTRiZDAtYWYzZS02ZDNmMThiOWI1OTFfMjIzEiNDYWl0bGluIE9oYW1hLURhcmN1cyAoMzI2MykgLSAxNEZscmpeCjdzdWdnZXN0SWRJbXBvcnRjOWRhZWRlOC0xNzFiLTRiZDAtYWYzZS02ZDNmMThiOWI1OTFfMTE4EiNDYWl0bGluIE9oYW1hLURhcmN1cyAoMzI2MykgLSAxNEZscmpdCjZzdWdnZXN0SWRJbXBvcnRjOWRhZWRlOC0xNzFiLTRiZDAtYWYzZS02ZDNmMThiOWI1OTFfNjESI0NhaXRsaW4gT2hhbWEtRGFyY3VzICgzMjYzKSAtIDE0Rmxyal4KN3N1Z2dlc3RJZEltcG9ydGM5ZGFlZGU4LTE3MWItNGJkMC1hZjNlLTZkM2YxOGI5YjU5MV8xNDkSI0NhaXRsaW4gT2hhbWEtRGFyY3VzICgzMjYzKSAtIDE0Rmxyal4KN3N1Z2dlc3RJZEltcG9ydGM5ZGFlZGU4LTE3MWItNGJkMC1hZjNlLTZkM2YxOGI5YjU5MV8xNjYSI0NhaXRsaW4gT2hhbWEtRGFyY3VzICgzMjYzKSAtIDE0Rmxyal0KNnN1Z2dlc3RJZEltcG9ydGM5ZGFlZGU4LTE3MWItNGJkMC1hZjNlLTZkM2YxOGI5YjU5MV85MRIjQ2FpdGxpbiBPaGFtYS1EYXJjdXMgKDMyNjMpIC0gMTRGbHJqXgo3c3VnZ2VzdElkSW1wb3J0YzlkYWVkZTgtMTcxYi00YmQwLWFmM2UtNmQzZjE4YjliNTkxXzEwMBIjQ2FpdGxpbiBPaGFtYS1EYXJjdXMgKDMyNjMpIC0gMTRGbHJqXQo2c3VnZ2VzdElkSW1wb3J0YzlkYWVkZTgtMTcxYi00YmQwLWFmM2UtNmQzZjE4YjliNTkxXzUyEiNDYWl0bGluIE9oYW1hLURhcmN1cyAoMzI2MykgLSAxNEZscmpdCjZzdWdnZXN0SWRJbXBvcnRjOWRhZWRlOC0xNzFiLTRiZDAtYWYzZS02ZDNmMThiOWI1OTFfNTESI0NhaXRsaW4gT2hhbWEtRGFyY3VzICgzMjYzKSAtIDE0Rmxyal4KN3N1Z2dlc3RJZEltcG9ydGM5ZGFlZGU4LTE3MWItNGJkMC1hZjNlLTZkM2YxOGI5YjU5MV8xNjUSI0NhaXRsaW4gT2hhbWEtRGFyY3VzICgzMjYzKSAtIDE0Rmxyal0KNnN1Z2dlc3RJZEltcG9ydGM5ZGFlZGU4LTE3MWItNGJkMC1hZjNlLTZkM2YxOGI5YjU5MV84NxIjQ2FpdGxpbiBPaGFtYS1EYXJjdXMgKDMyNjMpIC0gMTRGbHJqXgo3c3VnZ2VzdElkSW1wb3J0YzlkYWVkZTgtMTcxYi00YmQwLWFmM2UtNmQzZjE4YjliNTkxXzEwOBIjQ2FpdGxpbiBPaGFtYS1EYXJjdXMgKDMyNjMpIC0gMTRGbHJqXQo2c3VnZ2VzdElkSW1wb3J0YzlkYWVkZTgtMTcxYi00YmQwLWFmM2UtNmQzZjE4YjliNTkxXzQ4EiNDYWl0bGluIE9oYW1hLURhcmN1cyAoMzI2MykgLSAxNEZscmpdCjZzdWdnZXN0SWRJbXBvcnRjOWRhZWRlOC0xNzFiLTRiZDAtYWYzZS02ZDNmMThiOWI1OTFfNzMSI0NhaXRsaW4gT2hhbWEtRGFyY3VzICgzMjYzKSAtIDE0Rmxyal4KN3N1Z2dlc3RJZEltcG9ydGM5ZGFlZGU4LTE3MWItNGJkMC1hZjNlLTZkM2YxOGI5YjU5MV8xNTUSI0NhaXRsaW4gT2hhbWEtRGFyY3VzICgzMjYzKSAtIDE0Rmxyal0KNnN1Z2dlc3RJZEltcG9ydGM5ZGFlZGU4LTE3MWItNGJkMC1hZjNlLTZkM2YxOGI5YjU5MV85OBIjQ2FpdGxpbiBPaGFtYS1EYXJjdXMgKDMyNjMpIC0gMTRGbHJqXQo2c3VnZ2VzdElkSW1wb3J0YzlkYWVkZTgtMTcxYi00YmQwLWFmM2UtNmQzZjE4YjliNTkxXzI1EiNDYWl0bGluIE9oYW1hLURhcmN1cyAoMzI2MykgLSAxNEZscmpdCjZzdWdnZXN0SWRJbXBvcnRjOWRhZWRlOC0xNzFiLTRiZDAtYWYzZS02ZDNmMThiOWI1OTFfNTMSI0NhaXRsaW4gT2hhbWEtRGFyY3VzICgzMjYzKSAtIDE0Rmxyal4KN3N1Z2dlc3RJZEltcG9ydGM5ZGFlZGU4LTE3MWItNGJkMC1hZjNlLTZkM2YxOGI5YjU5MV8yMzQSI0NhaXRsaW4gT2hhbWEtRGFyY3VzICgzMjYzKSAtIDE0Rmxyal0KNnN1Z2dlc3RJZEltcG9ydGM5ZGFlZGU4LTE3MWItNGJkMC1hZjNlLTZkM2YxOGI5YjU5MV8zMxIjQ2FpdGxpbiBPaGFtYS1EYXJjdXMgKDMyNjMpIC0gMTRGbHJqXgo3c3VnZ2VzdElkSW1wb3J0YzlkYWVkZTgtMTcxYi00YmQwLWFmM2UtNmQzZjE4YjliNTkxXzI0MxIjQ2FpdGxpbiBPaGFtYS1EYXJjdXMgKDMyNjMpIC0gMTRGbHJqXAo1c3VnZ2VzdElkSW1wb3J0YzlkYWVkZTgtMTcxYi00YmQwLWFmM2UtNmQzZjE4YjliNTkxXzQSI0NhaXRsaW4gT2hhbWEtRGFyY3VzICgzMjYzKSAtIDE0Rmxyal4KN3N1Z2dlc3RJZEltcG9ydGM5ZGFlZGU4LTE3MWItNGJkMC1hZjNlLTZkM2YxOGI5YjU5MV8xNzMSI0NhaXRsaW4gT2hhbWEtRGFyY3VzICgzMjYzKSAtIDE0Rmxyal4KN3N1Z2dlc3RJZEltcG9ydGM5ZGFlZGU4LTE3MWItNGJkMC1hZjNlLTZkM2YxOGI5YjU5MV8xODASI0NhaXRsaW4gT2hhbWEtRGFyY3VzICgzMjYzKSAtIDE0Rmxyal4KN3N1Z2dlc3RJZEltcG9ydGM5ZGFlZGU4LTE3MWItNGJkMC1hZjNlLTZkM2YxOGI5YjU5MV8yMTgSI0NhaXRsaW4gT2hhbWEtRGFyY3VzICgzMjYzKSAtIDE0Rmxyal0KNnN1Z2dlc3RJZEltcG9ydGM5ZGFlZGU4LTE3MWItNGJkMC1hZjNlLTZkM2YxOGI5YjU5MV80NhIjQ2FpdGxpbiBPaGFtYS1EYXJjdXMgKDMyNjMpIC0gMTRGbHJqXQo2c3VnZ2VzdElkSW1wb3J0YzlkYWVkZTgtMTcxYi00YmQwLWFmM2UtNmQzZjE4YjliNTkxXzgxEiNDYWl0bGluIE9oYW1hLURhcmN1cyAoMzI2MykgLSAxNEZscmpeCjdzdWdnZXN0SWRJbXBvcnRjOWRhZWRlOC0xNzFiLTRiZDAtYWYzZS02ZDNmMThiOWI1OTFfMjI1EiNDYWl0bGluIE9oYW1hLURhcmN1cyAoMzI2MykgLSAxNEZscmpdCjZzdWdnZXN0SWRJbXBvcnRjOWRhZWRlOC0xNzFiLTRiZDAtYWYzZS02ZDNmMThiOWI1OTFfMjcSI0NhaXRsaW4gT2hhbWEtRGFyY3VzICgzMjYzKSAtIDE0Rmxyal4KN3N1Z2dlc3RJZEltcG9ydGM5ZGFlZGU4LTE3MWItNGJkMC1hZjNlLTZkM2YxOGI5YjU5MV8xNTMSI0NhaXRsaW4gT2hhbWEtRGFyY3VzICgzMjYzKSAtIDE0Rmxyal0KNnN1Z2dlc3RJZEltcG9ydGM5ZGFlZGU4LTE3MWItNGJkMC1hZjNlLTZkM2YxOGI5YjU5MV85NhIjQ2FpdGxpbiBPaGFtYS1EYXJjdXMgKDMyNjMpIC0gMTRGbHJqXgo3c3VnZ2VzdElkSW1wb3J0YzlkYWVkZTgtMTcxYi00YmQwLWFmM2UtNmQzZjE4YjliNTkxXzIyMBIjQ2FpdGxpbiBPaGFtYS1EYXJjdXMgKDMyNjMpIC0gMTRGbHJqXQo2c3VnZ2VzdElkSW1wb3J0YzlkYWVkZTgtMTcxYi00YmQwLWFmM2UtNmQzZjE4YjliNTkxXzc1EiNDYWl0bGluIE9oYW1hLURhcmN1cyAoMzI2MykgLSAxNEZscmpeCjdzdWdnZXN0SWRJbXBvcnRjOWRhZWRlOC0xNzFiLTRiZDAtYWYzZS02ZDNmMThiOWI1OTFfMjI2EiNDYWl0bGluIE9oYW1hLURhcmN1cyAoMzI2MykgLSAxNEZscmpeCjdzdWdnZXN0SWRJbXBvcnRjOWRhZWRlOC0xNzFiLTRiZDAtYWYzZS02ZDNmMThiOWI1OTFfMTI4EiNDYWl0bGluIE9oYW1hLURhcmN1cyAoMzI2MykgLSAxNEZscmpeCjdzdWdnZXN0SWRJbXBvcnRjOWRhZWRlOC0xNzFiLTRiZDAtYWYzZS02ZDNmMThiOWI1OTFfMTUxEiNDYWl0bGluIE9oYW1hLURhcmN1cyAoMzI2MykgLSAxNEZscmpdCjZzdWdnZXN0SWRJbXBvcnRjOWRhZWRlOC0xNzFiLTRiZDAtYWYzZS02ZDNmMThiOWI1OTFfNDQSI0NhaXRsaW4gT2hhbWEtRGFyY3VzICgzMjYzKSAtIDE0Rmxyal0KNnN1Z2dlc3RJZEltcG9ydGM5ZGFlZGU4LTE3MWItNGJkMC1hZjNlLTZkM2YxOGI5YjU5MV8zNxIjQ2FpdGxpbiBPaGFtYS1EYXJjdXMgKDMyNjMpIC0gMTRGbHJqXgo3c3VnZ2VzdElkSW1wb3J0YzlkYWVkZTgtMTcxYi00YmQwLWFmM2UtNmQzZjE4YjliNTkxXzEwMRIjQ2FpdGxpbiBPaGFtYS1EYXJjdXMgKDMyNjMpIC0gMTRGbHJqXgo3c3VnZ2VzdElkSW1wb3J0YzlkYWVkZTgtMTcxYi00YmQwLWFmM2UtNmQzZjE4YjliNTkxXzIyNxIjQ2FpdGxpbiBPaGFtYS1EYXJjdXMgKDMyNjMpIC0gMTRGbHJqXgo3c3VnZ2VzdElkSW1wb3J0YzlkYWVkZTgtMTcxYi00YmQwLWFmM2UtNmQzZjE4YjliNTkxXzIyNBIjQ2FpdGxpbiBPaGFtYS1EYXJjdXMgKDMyNjMpIC0gMTRGbHJqXQo2c3VnZ2VzdElkSW1wb3J0YzlkYWVkZTgtMTcxYi00YmQwLWFmM2UtNmQzZjE4YjliNTkxXzU4EiNDYWl0bGluIE9oYW1hLURhcmN1cyAoMzI2MykgLSAxNEZscmpeCjdzdWdnZXN0SWRJbXBvcnRjOWRhZWRlOC0xNzFiLTRiZDAtYWYzZS02ZDNmMThiOWI1OTFfMTI3EiNDYWl0bGluIE9oYW1hLURhcmN1cyAoMzI2MykgLSAxNEZscmpdCjZzdWdnZXN0SWRJbXBvcnRjOWRhZWRlOC0xNzFiLTRiZDAtYWYzZS02ZDNmMThiOWI1OTFfODUSI0NhaXRsaW4gT2hhbWEtRGFyY3VzICgzMjYzKSAtIDE0Rmxyal4KN3N1Z2dlc3RJZEltcG9ydGM5ZGFlZGU4LTE3MWItNGJkMC1hZjNlLTZkM2YxOGI5YjU5MV8xNTYSI0NhaXRsaW4gT2hhbWEtRGFyY3VzICgzMjYzKSAtIDE0Rmxyal4KN3N1Z2dlc3RJZEltcG9ydGM5ZGFlZGU4LTE3MWItNGJkMC1hZjNlLTZkM2YxOGI5YjU5MV8yMjESI0NhaXRsaW4gT2hhbWEtRGFyY3VzICgzMjYzKSAtIDE0Rmxyal4KN3N1Z2dlc3RJZEltcG9ydGM5ZGFlZGU4LTE3MWItNGJkMC1hZjNlLTZkM2YxOGI5YjU5MV8xMzgSI0NhaXRsaW4gT2hhbWEtRGFyY3VzICgzMjYzKSAtIDE0Rmxyal4KN3N1Z2dlc3RJZEltcG9ydGM5ZGFlZGU4LTE3MWItNGJkMC1hZjNlLTZkM2YxOGI5YjU5MV8yMTkSI0NhaXRsaW4gT2hhbWEtRGFyY3VzICgzMjYzKSAtIDE0Rmxyal4KN3N1Z2dlc3RJZEltcG9ydGM5ZGFlZGU4LTE3MWItNGJkMC1hZjNlLTZkM2YxOGI5YjU5MV8yMzcSI0NhaXRsaW4gT2hhbWEtRGFyY3VzICgzMjYzKSAtIDE0Rmxyal4KN3N1Z2dlc3RJZEltcG9ydGM5ZGFlZGU4LTE3MWItNGJkMC1hZjNlLTZkM2YxOGI5YjU5MV8xMTYSI0NhaXRsaW4gT2hhbWEtRGFyY3VzICgzMjYzKSAtIDE0Rmxyal4KN3N1Z2dlc3RJZEltcG9ydGM5ZGFlZGU4LTE3MWItNGJkMC1hZjNlLTZkM2YxOGI5YjU5MV8xMzESI0NhaXRsaW4gT2hhbWEtRGFyY3VzICgzMjYzKSAtIDE0Rmxyal0KNnN1Z2dlc3RJZEltcG9ydGM5ZGFlZGU4LTE3MWItNGJkMC1hZjNlLTZkM2YxOGI5YjU5MV8yMxIjQ2FpdGxpbiBPaGFtYS1EYXJjdXMgKDMyNjMpIC0gMTRGbHJqXQo2c3VnZ2VzdElkSW1wb3J0YzlkYWVkZTgtMTcxYi00YmQwLWFmM2UtNmQzZjE4YjliNTkxXzg0EiNDYWl0bGluIE9oYW1hLURhcmN1cyAoMzI2MykgLSAxNEZscmpdCjZzdWdnZXN0SWRJbXBvcnRjOWRhZWRlOC0xNzFiLTRiZDAtYWYzZS02ZDNmMThiOWI1OTFfMjgSI0NhaXRsaW4gT2hhbWEtRGFyY3VzICgzMjYzKSAtIDE0Rmxyal4KN3N1Z2dlc3RJZEltcG9ydGM5ZGFlZGU4LTE3MWItNGJkMC1hZjNlLTZkM2YxOGI5YjU5MV8xMTMSI0NhaXRsaW4gT2hhbWEtRGFyY3VzICgzMjYzKSAtIDE0Rmxyal4KN3N1Z2dlc3RJZEltcG9ydGM5ZGFlZGU4LTE3MWItNGJkMC1hZjNlLTZkM2YxOGI5YjU5MV8xNzUSI0NhaXRsaW4gT2hhbWEtRGFyY3VzICgzMjYzKSAtIDE0Rmxyal4KN3N1Z2dlc3RJZEltcG9ydGM5ZGFlZGU4LTE3MWItNGJkMC1hZjNlLTZkM2YxOGI5YjU5MV8xNjQSI0NhaXRsaW4gT2hhbWEtRGFyY3VzICgzMjYzKSAtIDE0Rmxyal0KNnN1Z2dlc3RJZEltcG9ydGM5ZGFlZGU4LTE3MWItNGJkMC1hZjNlLTZkM2YxOGI5YjU5MV8yNhIjQ2FpdGxpbiBPaGFtYS1EYXJjdXMgKDMyNjMpIC0gMTRGbHJqXQo2c3VnZ2VzdElkSW1wb3J0YzlkYWVkZTgtMTcxYi00YmQwLWFmM2UtNmQzZjE4YjliNTkxXzMwEiNDYWl0bGluIE9oYW1hLURhcmN1cyAoMzI2MykgLSAxNEZscmpdCjZzdWdnZXN0SWRJbXBvcnRjOWRhZWRlOC0xNzFiLTRiZDAtYWYzZS02ZDNmMThiOWI1OTFfMzkSI0NhaXRsaW4gT2hhbWEtRGFyY3VzICgzMjYzKSAtIDE0Rmxyal0KNnN1Z2dlc3RJZEltcG9ydGM5ZGFlZGU4LTE3MWItNGJkMC1hZjNlLTZkM2YxOGI5YjU5MV84ORIjQ2FpdGxpbiBPaGFtYS1EYXJjdXMgKDMyNjMpIC0gMTRGbHJqXgo3c3VnZ2VzdElkSW1wb3J0YzlkYWVkZTgtMTcxYi00YmQwLWFmM2UtNmQzZjE4YjliNTkxXzEwORIjQ2FpdGxpbiBPaGFtYS1EYXJjdXMgKDMyNjMpIC0gMTRGbHJqXQo2c3VnZ2VzdElkSW1wb3J0YzlkYWVkZTgtMTcxYi00YmQwLWFmM2UtNmQzZjE4YjliNTkxXzcyEiNDYWl0bGluIE9oYW1hLURhcmN1cyAoMzI2MykgLSAxNEZscmpeCjdzdWdnZXN0SWRJbXBvcnRjOWRhZWRlOC0xNzFiLTRiZDAtYWYzZS02ZDNmMThiOWI1OTFfMTE1EiNDYWl0bGluIE9oYW1hLURhcmN1cyAoMzI2MykgLSAxNEZscmpdCjZzdWdnZXN0SWRJbXBvcnRjOWRhZWRlOC0xNzFiLTRiZDAtYWYzZS02ZDNmMThiOWI1OTFfNTYSI0NhaXRsaW4gT2hhbWEtRGFyY3VzICgzMjYzKSAtIDE0Rmxyal4KN3N1Z2dlc3RJZEltcG9ydGM5ZGFlZGU4LTE3MWItNGJkMC1hZjNlLTZkM2YxOGI5YjU5MV8xNDISI0NhaXRsaW4gT2hhbWEtRGFyY3VzICgzMjYzKSAtIDE0Rmxyal4KN3N1Z2dlc3RJZEltcG9ydGM5ZGFlZGU4LTE3MWItNGJkMC1hZjNlLTZkM2YxOGI5YjU5MV8yNDASI0NhaXRsaW4gT2hhbWEtRGFyY3VzICgzMjYzKSAtIDE0Rmxyal4KN3N1Z2dlc3RJZEltcG9ydGM5ZGFlZGU4LTE3MWItNGJkMC1hZjNlLTZkM2YxOGI5YjU5MV8yMjkSI0NhaXRsaW4gT2hhbWEtRGFyY3VzICgzMjYzKSAtIDE0Rmxyal4KN3N1Z2dlc3RJZEltcG9ydGM5ZGFlZGU4LTE3MWItNGJkMC1hZjNlLTZkM2YxOGI5YjU5MV8xNzQSI0NhaXRsaW4gT2hhbWEtRGFyY3VzICgzMjYzKSAtIDE0Rmxyal0KNnN1Z2dlc3RJZEltcG9ydGM5ZGFlZGU4LTE3MWItNGJkMC1hZjNlLTZkM2YxOGI5YjU5MV83ORIjQ2FpdGxpbiBPaGFtYS1EYXJjdXMgKDMyNjMpIC0gMTRGbHJqXQo2c3VnZ2VzdElkSW1wb3J0YzlkYWVkZTgtMTcxYi00YmQwLWFmM2UtNmQzZjE4YjliNTkxXzgzEiNDYWl0bGluIE9oYW1hLURhcmN1cyAoMzI2MykgLSAxNEZscmpdCjZzdWdnZXN0SWRJbXBvcnRjOWRhZWRlOC0xNzFiLTRiZDAtYWYzZS02ZDNmMThiOWI1OTFfOTkSI0NhaXRsaW4gT2hhbWEtRGFyY3VzICgzMjYzKSAtIDE0Rmxyal4KN3N1Z2dlc3RJZEltcG9ydGM5ZGFlZGU4LTE3MWItNGJkMC1hZjNlLTZkM2YxOGI5YjU5MV8xMDQSI0NhaXRsaW4gT2hhbWEtRGFyY3VzICgzMjYzKSAtIDE0Rmxyal4KN3N1Z2dlc3RJZEltcG9ydGM5ZGFlZGU4LTE3MWItNGJkMC1hZjNlLTZkM2YxOGI5YjU5MV8yMzISI0NhaXRsaW4gT2hhbWEtRGFyY3VzICgzMjYzKSAtIDE0Rmxyal4KN3N1Z2dlc3RJZEltcG9ydGM5ZGFlZGU4LTE3MWItNGJkMC1hZjNlLTZkM2YxOGI5YjU5MV8xODMSI0NhaXRsaW4gT2hhbWEtRGFyY3VzICgzMjYzKSAtIDE0Rmxyal0KNnN1Z2dlc3RJZEltcG9ydGM5ZGFlZGU4LTE3MWItNGJkMC1hZjNlLTZkM2YxOGI5YjU5MV82NRIjQ2FpdGxpbiBPaGFtYS1EYXJjdXMgKDMyNjMpIC0gMTRGbHJqXQo2c3VnZ2VzdElkSW1wb3J0YzlkYWVkZTgtMTcxYi00YmQwLWFmM2UtNmQzZjE4YjliNTkxXzQyEiNDYWl0bGluIE9oYW1hLURhcmN1cyAoMzI2MykgLSAxNEZscmpeCjdzdWdnZXN0SWRJbXBvcnRjOWRhZWRlOC0xNzFiLTRiZDAtYWYzZS02ZDNmMThiOWI1OTFfMjQ2EiNDYWl0bGluIE9oYW1hLURhcmN1cyAoMzI2MykgLSAxNEZscmpeCjdzdWdnZXN0SWRJbXBvcnRjOWRhZWRlOC0xNzFiLTRiZDAtYWYzZS02ZDNmMThiOWI1OTFfMjM1EiNDYWl0bGluIE9oYW1hLURhcmN1cyAoMzI2MykgLSAxNEZscmpeCjdzdWdnZXN0SWRJbXBvcnRjOWRhZWRlOC0xNzFiLTRiZDAtYWYzZS02ZDNmMThiOWI1OTFfMTM5EiNDYWl0bGluIE9oYW1hLURhcmN1cyAoMzI2MykgLSAxNEZscmpdCjZzdWdnZXN0SWRJbXBvcnRjOWRhZWRlOC0xNzFiLTRiZDAtYWYzZS02ZDNmMThiOWI1OTFfMjISI0NhaXRsaW4gT2hhbWEtRGFyY3VzICgzMjYzKSAtIDE0Rmxyal0KNnN1Z2dlc3RJZEltcG9ydGM5ZGFlZGU4LTE3MWItNGJkMC1hZjNlLTZkM2YxOGI5YjU5MV8yORIjQ2FpdGxpbiBPaGFtYS1EYXJjdXMgKDMyNjMpIC0gMTRGbHJqXgo3c3VnZ2VzdElkSW1wb3J0YzlkYWVkZTgtMTcxYi00YmQwLWFmM2UtNmQzZjE4YjliNTkxXzEwNhIjQ2FpdGxpbiBPaGFtYS1EYXJjdXMgKDMyNjMpIC0gMTRGbHJqXQo2c3VnZ2VzdElkSW1wb3J0YzlkYWVkZTgtMTcxYi00YmQwLWFmM2UtNmQzZjE4YjliNTkxXzkyEiNDYWl0bGluIE9oYW1hLURhcmN1cyAoMzI2MykgLSAxNEZscmpeCjdzdWdnZXN0SWRJbXBvcnRjOWRhZWRlOC0xNzFiLTRiZDAtYWYzZS02ZDNmMThiOWI1OTFfMjM4EiNDYWl0bGluIE9oYW1hLURhcmN1cyAoMzI2MykgLSAxNEZscmpdCjZzdWdnZXN0SWRJbXBvcnRjOWRhZWRlOC0xNzFiLTRiZDAtYWYzZS02ZDNmMThiOWI1OTFfNzESI0NhaXRsaW4gT2hhbWEtRGFyY3VzICgzMjYzKSAtIDE0RmxyalwKNXN1Z2dlc3RJZEltcG9ydGM5ZGFlZGU4LTE3MWItNGJkMC1hZjNlLTZkM2YxOGI5YjU5MV8xEiNDYWl0bGluIE9oYW1hLURhcmN1cyAoMzI2MykgLSAxNEZscmpdCjZzdWdnZXN0SWRJbXBvcnRjOWRhZWRlOC0xNzFiLTRiZDAtYWYzZS02ZDNmMThiOWI1OTFfNzcSI0NhaXRsaW4gT2hhbWEtRGFyY3VzICgzMjYzKSAtIDE0Rmxyal4KN3N1Z2dlc3RJZEltcG9ydGM5ZGFlZGU4LTE3MWItNGJkMC1hZjNlLTZkM2YxOGI5YjU5MV8yMzYSI0NhaXRsaW4gT2hhbWEtRGFyY3VzICgzMjYzKSAtIDE0Rmxyal4KN3N1Z2dlc3RJZEltcG9ydGM5ZGFlZGU4LTE3MWItNGJkMC1hZjNlLTZkM2YxOGI5YjU5MV8xMTcSI0NhaXRsaW4gT2hhbWEtRGFyY3VzICgzMjYzKSAtIDE0Rmxyal4KN3N1Z2dlc3RJZEltcG9ydGM5ZGFlZGU4LTE3MWItNGJkMC1hZjNlLTZkM2YxOGI5YjU5MV8xMTQSI0NhaXRsaW4gT2hhbWEtRGFyY3VzICgzMjYzKSAtIDE0Rmxyal4KN3N1Z2dlc3RJZEltcG9ydGM5ZGFlZGU4LTE3MWItNGJkMC1hZjNlLTZkM2YxOGI5YjU5MV8xNjESI0NhaXRsaW4gT2hhbWEtRGFyY3VzICgzMjYzKSAtIDE0Rmxyal0KNnN1Z2dlc3RJZEltcG9ydGM5ZGFlZGU4LTE3MWItNGJkMC1hZjNlLTZkM2YxOGI5YjU5MV8yNBIjQ2FpdGxpbiBPaGFtYS1EYXJjdXMgKDMyNjMpIC0gMTRGbHJqXgo3c3VnZ2VzdElkSW1wb3J0YzlkYWVkZTgtMTcxYi00YmQwLWFmM2UtNmQzZjE4YjliNTkxXzEwMxIjQ2FpdGxpbiBPaGFtYS1EYXJjdXMgKDMyNjMpIC0gMTRGbHJqXQo2c3VnZ2VzdElkSW1wb3J0YzlkYWVkZTgtMTcxYi00YmQwLWFmM2UtNmQzZjE4YjliNTkxXzY0EiNDYWl0bGluIE9oYW1hLURhcmN1cyAoMzI2MykgLSAxNEZscmpeCjdzdWdnZXN0SWRJbXBvcnRjOWRhZWRlOC0xNzFiLTRiZDAtYWYzZS02ZDNmMThiOWI1OTFfMTA3EiNDYWl0bGluIE9oYW1hLURhcmN1cyAoMzI2MykgLSAxNEZscmpdCjZzdWdnZXN0SWRJbXBvcnQ3MWExZDViNi04ZjE0LTQwNjAtODRiZS03YTBkMDI4N2JjMTVfMTgSI0NhaXRsaW4gT2hhbWEtRGFyY3VzICgzMjYzKSAtIDE0Rmxyal4KN3N1Z2dlc3RJZEltcG9ydGM5ZGFlZGU4LTE3MWItNGJkMC1hZjNlLTZkM2YxOGI5YjU5MV8xODISI0NhaXRsaW4gT2hhbWEtRGFyY3VzICgzMjYzKSAtIDE0Rmxyal0KNnN1Z2dlc3RJZEltcG9ydGM5ZGFlZGU4LTE3MWItNGJkMC1hZjNlLTZkM2YxOGI5YjU5MV82MxIjQ2FpdGxpbiBPaGFtYS1EYXJjdXMgKDMyNjMpIC0gMTRGbHJqXgo3c3VnZ2VzdElkSW1wb3J0YzlkYWVkZTgtMTcxYi00YmQwLWFmM2UtNmQzZjE4YjliNTkxXzE2ORIjQ2FpdGxpbiBPaGFtYS1EYXJjdXMgKDMyNjMpIC0gMTRGbHJqXgo3c3VnZ2VzdElkSW1wb3J0YzlkYWVkZTgtMTcxYi00YmQwLWFmM2UtNmQzZjE4YjliNTkxXzE1ORIjQ2FpdGxpbiBPaGFtYS1EYXJjdXMgKDMyNjMpIC0gMTRGbHJqXgo3c3VnZ2VzdElkSW1wb3J0YzlkYWVkZTgtMTcxYi00YmQwLWFmM2UtNmQzZjE4YjliNTkxXzE0NRIjQ2FpdGxpbiBPaGFtYS1EYXJjdXMgKDMyNjMpIC0gMTRGbHJqXQo2c3VnZ2VzdElkSW1wb3J0NzFhMWQ1YjYtOGYxNC00MDYwLTg0YmUtN2EwZDAyODdiYzE1XzE0EiNDYWl0bGluIE9oYW1hLURhcmN1cyAoMzI2MykgLSAxNEZscmpeCjdzdWdnZXN0SWRJbXBvcnRjOWRhZWRlOC0xNzFiLTRiZDAtYWYzZS02ZDNmMThiOWI1OTFfMjE2EiNDYWl0bGluIE9oYW1hLURhcmN1cyAoMzI2MykgLSAxNEZscmpeCjdzdWdnZXN0SWRJbXBvcnRjOWRhZWRlOC0xNzFiLTRiZDAtYWYzZS02ZDNmMThiOWI1OTFfMTIxEiNDYWl0bGluIE9oYW1hLURhcmN1cyAoMzI2MykgLSAxNEZscmpeCjdzdWdnZXN0SWRJbXBvcnRjOWRhZWRlOC0xNzFiLTRiZDAtYWYzZS02ZDNmMThiOWI1OTFfMTM3EiNDYWl0bGluIE9oYW1hLURhcmN1cyAoMzI2MykgLSAxNEZscmpeCjdzdWdnZXN0SWRJbXBvcnRjOWRhZWRlOC0xNzFiLTRiZDAtYWYzZS02ZDNmMThiOWI1OTFfMTI2EiNDYWl0bGluIE9oYW1hLURhcmN1cyAoMzI2MykgLSAxNEZscmpdCjZzdWdnZXN0SWRJbXBvcnRjOWRhZWRlOC0xNzFiLTRiZDAtYWYzZS02ZDNmMThiOWI1OTFfNTkSI0NhaXRsaW4gT2hhbWEtRGFyY3VzICgzMjYzKSAtIDE0RmxyciExWEhjWFZzVm1tdVNCUEZDVUFiTXBJRnZ3Mk9BSlJuLW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8403</Words>
  <Characters>47903</Characters>
  <Application>Microsoft Office Word</Application>
  <DocSecurity>4</DocSecurity>
  <Lines>399</Lines>
  <Paragraphs>112</Paragraphs>
  <ScaleCrop>false</ScaleCrop>
  <Company/>
  <LinksUpToDate>false</LinksUpToDate>
  <CharactersWithSpaces>56194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Wu</dc:creator>
  <cp:lastModifiedBy>Vijai Dasrat</cp:lastModifiedBy>
  <cp:revision>2</cp:revision>
  <dcterms:created xsi:type="dcterms:W3CDTF">2026-01-13T21:17:00Z</dcterms:created>
  <dcterms:modified xsi:type="dcterms:W3CDTF">2026-01-13T21:17:00Z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ocIDAutoUpdate">
    <vt:lpwstr>LAST</vt:lpwstr>
  </op:property>
  <op:property fmtid="{D5CDD505-2E9C-101B-9397-08002B2CF9AE}" pid="3" name="DocsID">
    <vt:lpwstr>2016904</vt:lpwstr>
  </op:property>
  <op:property fmtid="{D5CDD505-2E9C-101B-9397-08002B2CF9AE}" pid="4" name="ndDocumentId">
    <vt:lpwstr>1415-9380-8923</vt:lpwstr>
  </op:property>
</op:Properties>
</file>