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66E9F8" w14:textId="77777777" w:rsidR="004F7C45" w:rsidRDefault="004F7C45">
      <w:pPr>
        <w:widowControl w:val="0"/>
        <w:pBdr>
          <w:top w:val="nil"/>
          <w:left w:val="nil"/>
          <w:bottom w:val="nil"/>
          <w:right w:val="nil"/>
          <w:between w:val="nil"/>
        </w:pBdr>
        <w:spacing w:line="276" w:lineRule="auto"/>
      </w:pPr>
    </w:p>
    <w:p w14:paraId="432AB42C" w14:textId="77777777" w:rsidR="004F7C45" w:rsidRDefault="0070226A">
      <w:pPr>
        <w:jc w:val="center"/>
      </w:pPr>
      <w:r>
        <w:t>WILLMS &amp; SHIER ENVIRONMENTAL LAW MOOT COURT COMPETITION 2026</w:t>
      </w:r>
    </w:p>
    <w:p w14:paraId="584ED72C" w14:textId="77777777" w:rsidR="004F7C45" w:rsidRDefault="004F7C45"/>
    <w:p w14:paraId="63A18EFF" w14:textId="77777777" w:rsidR="004F7C45" w:rsidRDefault="004F7C45"/>
    <w:p w14:paraId="47F7A893" w14:textId="77777777" w:rsidR="004F7C45" w:rsidRDefault="0070226A">
      <w:pPr>
        <w:jc w:val="right"/>
      </w:pPr>
      <w:r>
        <w:t>S.E.M.C.C. File Number: 02-14-2026</w:t>
      </w:r>
    </w:p>
    <w:p w14:paraId="030AE460" w14:textId="77777777" w:rsidR="004F7C45" w:rsidRDefault="004F7C45"/>
    <w:p w14:paraId="53E7E99A" w14:textId="77777777" w:rsidR="004F7C45" w:rsidRDefault="0070226A">
      <w:pPr>
        <w:jc w:val="center"/>
        <w:rPr>
          <w:b/>
          <w:bCs/>
        </w:rPr>
      </w:pPr>
      <w:r>
        <w:rPr>
          <w:b/>
          <w:bCs/>
        </w:rPr>
        <w:t>IN THE SUPREME ENVIRONMENTAL MOOT COURT OF CANADA</w:t>
      </w:r>
    </w:p>
    <w:p w14:paraId="02F991AB" w14:textId="77777777" w:rsidR="004F7C45" w:rsidRDefault="004F7C45">
      <w:pPr>
        <w:jc w:val="center"/>
      </w:pPr>
    </w:p>
    <w:p w14:paraId="3B55F3A3" w14:textId="77777777" w:rsidR="004F7C45" w:rsidRDefault="0070226A">
      <w:pPr>
        <w:jc w:val="center"/>
        <w:rPr>
          <w:b/>
          <w:bCs/>
        </w:rPr>
      </w:pPr>
      <w:r>
        <w:rPr>
          <w:b/>
          <w:bCs/>
        </w:rPr>
        <w:t>(ON APPEAL FROM THE ONTARIO COURT OF JUSTICE)</w:t>
      </w:r>
    </w:p>
    <w:p w14:paraId="6B7075A1" w14:textId="77777777" w:rsidR="004F7C45" w:rsidRDefault="004F7C45"/>
    <w:p w14:paraId="545D81EC" w14:textId="77777777" w:rsidR="004F7C45" w:rsidRDefault="0070226A">
      <w:r>
        <w:t>B E T W E E N:</w:t>
      </w:r>
    </w:p>
    <w:p w14:paraId="224E0BE2" w14:textId="77777777" w:rsidR="004F7C45" w:rsidRDefault="004F7C45"/>
    <w:p w14:paraId="272AAC14" w14:textId="77777777" w:rsidR="004F7C45" w:rsidRDefault="0070226A">
      <w:pPr>
        <w:jc w:val="center"/>
        <w:rPr>
          <w:b/>
          <w:bCs/>
        </w:rPr>
      </w:pPr>
      <w:r>
        <w:rPr>
          <w:b/>
          <w:bCs/>
        </w:rPr>
        <w:t>HIS MAJESTY THE KING</w:t>
      </w:r>
    </w:p>
    <w:p w14:paraId="2B183FFA" w14:textId="77777777" w:rsidR="004F7C45" w:rsidRDefault="004F7C45">
      <w:pPr>
        <w:jc w:val="right"/>
      </w:pPr>
    </w:p>
    <w:p w14:paraId="5C5B22F3" w14:textId="77777777" w:rsidR="004F7C45" w:rsidRDefault="0070226A">
      <w:pPr>
        <w:jc w:val="right"/>
      </w:pPr>
      <w:r>
        <w:t>APPELLANT</w:t>
      </w:r>
    </w:p>
    <w:p w14:paraId="2F58A8E8" w14:textId="77777777" w:rsidR="004F7C45" w:rsidRDefault="004F7C45">
      <w:pPr>
        <w:jc w:val="right"/>
      </w:pPr>
    </w:p>
    <w:p w14:paraId="7754A3F2" w14:textId="77777777" w:rsidR="004F7C45" w:rsidRDefault="0070226A">
      <w:pPr>
        <w:jc w:val="center"/>
      </w:pPr>
      <w:r>
        <w:t>- and -</w:t>
      </w:r>
    </w:p>
    <w:p w14:paraId="052268B0" w14:textId="77777777" w:rsidR="004F7C45" w:rsidRDefault="004F7C45"/>
    <w:p w14:paraId="1416DF76" w14:textId="77777777" w:rsidR="004F7C45" w:rsidRDefault="004F7C45"/>
    <w:p w14:paraId="4C877C32" w14:textId="77777777" w:rsidR="004F7C45" w:rsidRDefault="0070226A">
      <w:pPr>
        <w:jc w:val="center"/>
        <w:rPr>
          <w:b/>
          <w:bCs/>
        </w:rPr>
      </w:pPr>
      <w:r>
        <w:rPr>
          <w:b/>
          <w:bCs/>
        </w:rPr>
        <w:t>CONSOLIDATED HOMES LTD.</w:t>
      </w:r>
    </w:p>
    <w:p w14:paraId="04B46B33" w14:textId="77777777" w:rsidR="004F7C45" w:rsidRDefault="004F7C45">
      <w:pPr>
        <w:jc w:val="right"/>
      </w:pPr>
    </w:p>
    <w:p w14:paraId="18813F9F" w14:textId="77777777" w:rsidR="004F7C45" w:rsidRDefault="0070226A">
      <w:pPr>
        <w:jc w:val="right"/>
      </w:pPr>
      <w:r>
        <w:t>RESPONDENT</w:t>
      </w:r>
    </w:p>
    <w:p w14:paraId="3172842A" w14:textId="77777777" w:rsidR="004F7C45" w:rsidRDefault="004F7C45"/>
    <w:p w14:paraId="11450B17" w14:textId="77777777" w:rsidR="004F7C45" w:rsidRDefault="004F7C45"/>
    <w:p w14:paraId="20C71DF1" w14:textId="77777777" w:rsidR="004F7C45" w:rsidRDefault="0070226A">
      <w:r>
        <w:rPr>
          <w:noProof/>
        </w:rPr>
        <mc:AlternateContent>
          <mc:Choice Requires="wps">
            <w:drawing>
              <wp:anchor distT="0" distB="0" distL="114300" distR="114300" simplePos="0" relativeHeight="251658240" behindDoc="0" locked="0" layoutInCell="1" hidden="0" allowOverlap="1" wp14:anchorId="0E17F042" wp14:editId="4768C880">
                <wp:simplePos x="0" y="0"/>
                <wp:positionH relativeFrom="column">
                  <wp:posOffset>114300</wp:posOffset>
                </wp:positionH>
                <wp:positionV relativeFrom="paragraph">
                  <wp:posOffset>-14286</wp:posOffset>
                </wp:positionV>
                <wp:extent cx="0" cy="28575"/>
                <wp:effectExtent l="0" t="0" r="0" b="0"/>
                <wp:wrapNone/>
                <wp:docPr id="2" name="Freeform: Shape 2"/>
                <wp:cNvGraphicFramePr/>
                <a:graphic xmlns:a="http://schemas.openxmlformats.org/drawingml/2006/main">
                  <a:graphicData uri="http://schemas.microsoft.com/office/word/2010/wordprocessingShape">
                    <wps:wsp>
                      <wps:cNvSpPr/>
                      <wps:spPr>
                        <a:xfrm>
                          <a:off x="2388488" y="3780000"/>
                          <a:ext cx="5915025" cy="0"/>
                        </a:xfrm>
                        <a:custGeom>
                          <a:avLst/>
                          <a:gdLst/>
                          <a:ahLst/>
                          <a:cxnLst/>
                          <a:rect l="l" t="t" r="r" b="b"/>
                          <a:pathLst>
                            <a:path w="5915025" h="1" extrusionOk="0">
                              <a:moveTo>
                                <a:pt x="0" y="0"/>
                              </a:moveTo>
                              <a:lnTo>
                                <a:pt x="5915025" y="0"/>
                              </a:lnTo>
                            </a:path>
                          </a:pathLst>
                        </a:custGeom>
                        <a:solidFill>
                          <a:srgbClr val="FFFFFF"/>
                        </a:solidFill>
                        <a:ln w="2857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114300</wp:posOffset>
                </wp:positionH>
                <wp:positionV relativeFrom="paragraph">
                  <wp:posOffset>-14286</wp:posOffset>
                </wp:positionV>
                <wp:extent cx="0" cy="28575"/>
                <wp:effectExtent b="0" l="0" r="0" t="0"/>
                <wp:wrapNone/>
                <wp:docPr id="2"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0" cy="28575"/>
                        </a:xfrm>
                        <a:prstGeom prst="rect"/>
                        <a:ln/>
                      </pic:spPr>
                    </pic:pic>
                  </a:graphicData>
                </a:graphic>
              </wp:anchor>
            </w:drawing>
          </mc:Fallback>
        </mc:AlternateContent>
      </w:r>
    </w:p>
    <w:p w14:paraId="11D45CF4" w14:textId="77777777" w:rsidR="004F7C45" w:rsidRDefault="0070226A">
      <w:pPr>
        <w:jc w:val="center"/>
        <w:rPr>
          <w:b/>
          <w:bCs/>
        </w:rPr>
      </w:pPr>
      <w:r>
        <w:rPr>
          <w:b/>
          <w:bCs/>
        </w:rPr>
        <w:t>FACTUM OF THE APPELLANT</w:t>
      </w:r>
    </w:p>
    <w:p w14:paraId="1AFEAB2C" w14:textId="77777777" w:rsidR="004F7C45" w:rsidRDefault="0070226A">
      <w:pPr>
        <w:jc w:val="center"/>
      </w:pPr>
      <w:r>
        <w:rPr>
          <w:b/>
          <w:bCs/>
        </w:rPr>
        <w:t>HIS MAJESTY THE KING</w:t>
      </w:r>
    </w:p>
    <w:p w14:paraId="36F9891B" w14:textId="77777777" w:rsidR="004F7C45" w:rsidRDefault="0070226A">
      <w:pPr>
        <w:jc w:val="center"/>
      </w:pPr>
      <w:r>
        <w:t>Pursuant to Rule 12 of the</w:t>
      </w:r>
    </w:p>
    <w:p w14:paraId="1E0DADA6" w14:textId="77777777" w:rsidR="004F7C45" w:rsidRDefault="0070226A">
      <w:pPr>
        <w:jc w:val="center"/>
      </w:pPr>
      <w:r>
        <w:t>Willms &amp; Shier Environmental Law Moot Official Competition Rules 2026</w:t>
      </w:r>
    </w:p>
    <w:p w14:paraId="0DCB6ECF" w14:textId="77777777" w:rsidR="004F7C45" w:rsidRDefault="004F7C45">
      <w:pPr>
        <w:jc w:val="center"/>
      </w:pPr>
    </w:p>
    <w:p w14:paraId="5066A2D6" w14:textId="77777777" w:rsidR="004F7C45" w:rsidRDefault="0070226A">
      <w:r>
        <w:rPr>
          <w:noProof/>
        </w:rPr>
        <mc:AlternateContent>
          <mc:Choice Requires="wps">
            <w:drawing>
              <wp:anchor distT="0" distB="0" distL="114300" distR="114300" simplePos="0" relativeHeight="251659264" behindDoc="0" locked="0" layoutInCell="1" hidden="0" allowOverlap="1" wp14:anchorId="19E0BD01" wp14:editId="5DBF956B">
                <wp:simplePos x="0" y="0"/>
                <wp:positionH relativeFrom="column">
                  <wp:posOffset>114300</wp:posOffset>
                </wp:positionH>
                <wp:positionV relativeFrom="paragraph">
                  <wp:posOffset>-14286</wp:posOffset>
                </wp:positionV>
                <wp:extent cx="0" cy="28575"/>
                <wp:effectExtent l="0" t="0" r="0" b="0"/>
                <wp:wrapNone/>
                <wp:docPr id="1" name="Freeform: Shape 1"/>
                <wp:cNvGraphicFramePr/>
                <a:graphic xmlns:a="http://schemas.openxmlformats.org/drawingml/2006/main">
                  <a:graphicData uri="http://schemas.microsoft.com/office/word/2010/wordprocessingShape">
                    <wps:wsp>
                      <wps:cNvSpPr/>
                      <wps:spPr>
                        <a:xfrm>
                          <a:off x="2389123" y="3780000"/>
                          <a:ext cx="5913755" cy="0"/>
                        </a:xfrm>
                        <a:custGeom>
                          <a:avLst/>
                          <a:gdLst/>
                          <a:ahLst/>
                          <a:cxnLst/>
                          <a:rect l="l" t="t" r="r" b="b"/>
                          <a:pathLst>
                            <a:path w="5913755" h="1" extrusionOk="0">
                              <a:moveTo>
                                <a:pt x="0" y="0"/>
                              </a:moveTo>
                              <a:lnTo>
                                <a:pt x="5913755" y="0"/>
                              </a:lnTo>
                            </a:path>
                          </a:pathLst>
                        </a:custGeom>
                        <a:solidFill>
                          <a:srgbClr val="FFFFFF"/>
                        </a:solidFill>
                        <a:ln w="2857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114300</wp:posOffset>
                </wp:positionH>
                <wp:positionV relativeFrom="paragraph">
                  <wp:posOffset>-14286</wp:posOffset>
                </wp:positionV>
                <wp:extent cx="0" cy="28575"/>
                <wp:effectExtent b="0" l="0" r="0" t="0"/>
                <wp:wrapNone/>
                <wp:docPr id="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0" cy="28575"/>
                        </a:xfrm>
                        <a:prstGeom prst="rect"/>
                        <a:ln/>
                      </pic:spPr>
                    </pic:pic>
                  </a:graphicData>
                </a:graphic>
              </wp:anchor>
            </w:drawing>
          </mc:Fallback>
        </mc:AlternateContent>
      </w:r>
    </w:p>
    <w:p w14:paraId="0C81C8F5" w14:textId="77777777" w:rsidR="004F7C45" w:rsidRDefault="004F7C45"/>
    <w:p w14:paraId="6A0710FB" w14:textId="77777777" w:rsidR="004F7C45" w:rsidRDefault="0070226A">
      <w:pPr>
        <w:jc w:val="right"/>
        <w:sectPr w:rsidR="004F7C45">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titlePg/>
        </w:sectPr>
      </w:pPr>
      <w:r>
        <w:t>TEAM #2026-09</w:t>
      </w:r>
      <w:bookmarkStart w:id="0" w:name="bookmark=id.8egi7wzetmg" w:colFirst="0" w:colLast="0"/>
      <w:bookmarkEnd w:id="0"/>
      <w:r>
        <w:t>   </w:t>
      </w:r>
    </w:p>
    <w:p w14:paraId="2C234CF2" w14:textId="77777777" w:rsidR="004F7C45" w:rsidRDefault="0070226A">
      <w:pPr>
        <w:ind w:left="1440" w:hanging="1440"/>
        <w:rPr>
          <w:b/>
          <w:bCs/>
        </w:rPr>
      </w:pPr>
      <w:r>
        <w:rPr>
          <w:b/>
          <w:bCs/>
        </w:rPr>
        <w:lastRenderedPageBreak/>
        <w:t xml:space="preserve">TO: </w:t>
      </w:r>
      <w:r>
        <w:rPr>
          <w:b/>
          <w:bCs/>
        </w:rPr>
        <w:tab/>
      </w:r>
      <w:r>
        <w:rPr>
          <w:b/>
          <w:bCs/>
        </w:rPr>
        <w:t xml:space="preserve">THE REGISTRAR OF THE </w:t>
      </w:r>
      <w:r>
        <w:rPr>
          <w:b/>
          <w:bCs/>
        </w:rPr>
        <w:br/>
        <w:t>SUPREME ENVIRONMENTAL MOOT COURT OF CANADA</w:t>
      </w:r>
    </w:p>
    <w:p w14:paraId="614B98A2" w14:textId="77777777" w:rsidR="004F7C45" w:rsidRDefault="004F7C45">
      <w:pPr>
        <w:ind w:left="1440" w:hanging="1440"/>
        <w:rPr>
          <w:b/>
          <w:bCs/>
        </w:rPr>
      </w:pPr>
    </w:p>
    <w:p w14:paraId="2C2B6BF3" w14:textId="77777777" w:rsidR="004F7C45" w:rsidRDefault="0070226A">
      <w:pPr>
        <w:ind w:left="1440" w:hanging="1440"/>
        <w:sectPr w:rsidR="004F7C45">
          <w:pgSz w:w="12240" w:h="15840"/>
          <w:pgMar w:top="1440" w:right="1440" w:bottom="1440" w:left="1440" w:header="720" w:footer="720" w:gutter="0"/>
          <w:cols w:space="720"/>
          <w:titlePg/>
        </w:sectPr>
      </w:pPr>
      <w:r>
        <w:rPr>
          <w:b/>
          <w:bCs/>
        </w:rPr>
        <w:t xml:space="preserve">AND TO: </w:t>
      </w:r>
      <w:r>
        <w:rPr>
          <w:b/>
          <w:bCs/>
        </w:rPr>
        <w:tab/>
        <w:t>ALL REGISTERED TEAMS</w:t>
      </w:r>
    </w:p>
    <w:p w14:paraId="18D90EBD" w14:textId="77777777" w:rsidR="004F7C45" w:rsidRDefault="0070226A">
      <w:pPr>
        <w:spacing w:line="360" w:lineRule="auto"/>
        <w:jc w:val="center"/>
        <w:rPr>
          <w:b/>
          <w:bCs/>
        </w:rPr>
      </w:pPr>
      <w:r>
        <w:rPr>
          <w:b/>
          <w:bCs/>
        </w:rPr>
        <w:lastRenderedPageBreak/>
        <w:t>TABLE OF CONTENTS</w:t>
      </w:r>
    </w:p>
    <w:p w14:paraId="5A172ABF" w14:textId="77777777" w:rsidR="004F7C45" w:rsidRDefault="0070226A">
      <w:pPr>
        <w:spacing w:line="360" w:lineRule="auto"/>
        <w:jc w:val="right"/>
      </w:pPr>
      <w:r>
        <w:rPr>
          <w:b/>
          <w:bCs/>
        </w:rPr>
        <w:t>Page No.</w:t>
      </w:r>
    </w:p>
    <w:sdt>
      <w:sdtPr>
        <w:id w:val="861249256"/>
        <w:docPartObj>
          <w:docPartGallery w:val="Table of Contents"/>
          <w:docPartUnique/>
        </w:docPartObj>
      </w:sdtPr>
      <w:sdtEndPr/>
      <w:sdtContent>
        <w:p w14:paraId="45CFC32B" w14:textId="77777777" w:rsidR="004F7C45" w:rsidRDefault="0070226A">
          <w:pPr>
            <w:widowControl w:val="0"/>
            <w:tabs>
              <w:tab w:val="right" w:leader="dot" w:pos="12000"/>
            </w:tabs>
            <w:spacing w:before="60"/>
            <w:rPr>
              <w:rFonts w:ascii="Arial" w:eastAsia="Arial" w:hAnsi="Arial" w:cs="Arial"/>
              <w:b/>
              <w:bCs/>
              <w:color w:val="000000"/>
              <w:sz w:val="22"/>
              <w:szCs w:val="22"/>
            </w:rPr>
          </w:pPr>
          <w:r>
            <w:fldChar w:fldCharType="begin"/>
          </w:r>
          <w:r>
            <w:instrText xml:space="preserve"> TOC \h \u \z \t "Heading 1,1,Heading 2,2,Heading 3,3,Heading 4,4,Heading 5,5,Heading 6,6,"</w:instrText>
          </w:r>
          <w:r>
            <w:fldChar w:fldCharType="separate"/>
          </w:r>
          <w:hyperlink w:anchor="_heading=h.ypscmoy4lja3">
            <w:r w:rsidR="004F7C45">
              <w:rPr>
                <w:b/>
                <w:bCs/>
                <w:color w:val="000000"/>
              </w:rPr>
              <w:t>PART I --  OVERVIEW AND STATEMENT OF FACTS</w:t>
            </w:r>
            <w:r w:rsidR="004F7C45">
              <w:rPr>
                <w:b/>
                <w:bCs/>
                <w:color w:val="000000"/>
              </w:rPr>
              <w:tab/>
              <w:t>1</w:t>
            </w:r>
          </w:hyperlink>
        </w:p>
        <w:p w14:paraId="4E7F2408" w14:textId="77777777" w:rsidR="004F7C45" w:rsidRDefault="004F7C45">
          <w:pPr>
            <w:widowControl w:val="0"/>
            <w:tabs>
              <w:tab w:val="right" w:leader="dot" w:pos="12000"/>
            </w:tabs>
            <w:spacing w:before="60"/>
            <w:ind w:left="360"/>
            <w:rPr>
              <w:rFonts w:ascii="Arial" w:eastAsia="Arial" w:hAnsi="Arial" w:cs="Arial"/>
              <w:color w:val="000000"/>
              <w:sz w:val="22"/>
              <w:szCs w:val="22"/>
            </w:rPr>
          </w:pPr>
          <w:hyperlink w:anchor="_heading=h.9wwjk28bxjym">
            <w:r>
              <w:rPr>
                <w:b/>
                <w:bCs/>
                <w:color w:val="000000"/>
              </w:rPr>
              <w:t>A. Overview of the Appellant’s Position</w:t>
            </w:r>
            <w:r>
              <w:rPr>
                <w:b/>
                <w:bCs/>
                <w:color w:val="000000"/>
              </w:rPr>
              <w:tab/>
              <w:t>1</w:t>
            </w:r>
          </w:hyperlink>
        </w:p>
        <w:p w14:paraId="7E9637D2" w14:textId="77777777" w:rsidR="004F7C45" w:rsidRDefault="004F7C45">
          <w:pPr>
            <w:widowControl w:val="0"/>
            <w:tabs>
              <w:tab w:val="right" w:leader="dot" w:pos="12000"/>
            </w:tabs>
            <w:spacing w:before="60"/>
            <w:ind w:left="360"/>
            <w:rPr>
              <w:rFonts w:ascii="Arial" w:eastAsia="Arial" w:hAnsi="Arial" w:cs="Arial"/>
              <w:color w:val="000000"/>
              <w:sz w:val="22"/>
              <w:szCs w:val="22"/>
            </w:rPr>
          </w:pPr>
          <w:hyperlink w:anchor="_heading=h.n4pk69rc5th0">
            <w:r>
              <w:rPr>
                <w:b/>
                <w:bCs/>
                <w:color w:val="000000"/>
              </w:rPr>
              <w:t>B. Statement of the Facts</w:t>
            </w:r>
            <w:r>
              <w:rPr>
                <w:b/>
                <w:bCs/>
                <w:color w:val="000000"/>
              </w:rPr>
              <w:tab/>
              <w:t>2</w:t>
            </w:r>
          </w:hyperlink>
        </w:p>
        <w:p w14:paraId="63E86939" w14:textId="77777777" w:rsidR="004F7C45" w:rsidRDefault="004F7C45">
          <w:pPr>
            <w:widowControl w:val="0"/>
            <w:tabs>
              <w:tab w:val="right" w:leader="dot" w:pos="12000"/>
            </w:tabs>
            <w:spacing w:before="60"/>
            <w:rPr>
              <w:rFonts w:ascii="Arial" w:eastAsia="Arial" w:hAnsi="Arial" w:cs="Arial"/>
              <w:b/>
              <w:bCs/>
              <w:color w:val="000000"/>
              <w:sz w:val="22"/>
              <w:szCs w:val="22"/>
            </w:rPr>
          </w:pPr>
          <w:hyperlink w:anchor="_heading=h.kvkri24acl7g">
            <w:r>
              <w:rPr>
                <w:b/>
                <w:bCs/>
                <w:color w:val="000000"/>
              </w:rPr>
              <w:t>PART II --  QUESTIONS IN ISSUE</w:t>
            </w:r>
            <w:r>
              <w:rPr>
                <w:b/>
                <w:bCs/>
                <w:color w:val="000000"/>
              </w:rPr>
              <w:tab/>
              <w:t>5</w:t>
            </w:r>
          </w:hyperlink>
        </w:p>
        <w:p w14:paraId="6619AC50" w14:textId="77777777" w:rsidR="004F7C45" w:rsidRDefault="004F7C45">
          <w:pPr>
            <w:widowControl w:val="0"/>
            <w:tabs>
              <w:tab w:val="right" w:leader="dot" w:pos="12000"/>
            </w:tabs>
            <w:spacing w:before="60"/>
            <w:rPr>
              <w:rFonts w:ascii="Arial" w:eastAsia="Arial" w:hAnsi="Arial" w:cs="Arial"/>
              <w:b/>
              <w:bCs/>
              <w:color w:val="000000"/>
              <w:sz w:val="22"/>
              <w:szCs w:val="22"/>
            </w:rPr>
          </w:pPr>
          <w:hyperlink w:anchor="_heading=h.ldjk85u4ed40">
            <w:r>
              <w:rPr>
                <w:b/>
                <w:bCs/>
                <w:color w:val="000000"/>
              </w:rPr>
              <w:t>PART III --  ARGUMENT</w:t>
            </w:r>
            <w:r>
              <w:rPr>
                <w:b/>
                <w:bCs/>
                <w:color w:val="000000"/>
              </w:rPr>
              <w:tab/>
              <w:t>6</w:t>
            </w:r>
          </w:hyperlink>
        </w:p>
        <w:p w14:paraId="01F45587" w14:textId="77777777" w:rsidR="004F7C45" w:rsidRDefault="004F7C45">
          <w:pPr>
            <w:widowControl w:val="0"/>
            <w:tabs>
              <w:tab w:val="right" w:leader="dot" w:pos="12000"/>
            </w:tabs>
            <w:spacing w:before="60"/>
            <w:ind w:left="360"/>
            <w:rPr>
              <w:rFonts w:ascii="Arial" w:eastAsia="Arial" w:hAnsi="Arial" w:cs="Arial"/>
              <w:color w:val="000000"/>
              <w:sz w:val="22"/>
              <w:szCs w:val="22"/>
            </w:rPr>
          </w:pPr>
          <w:hyperlink w:anchor="_heading=h.7h8f1joogf2z">
            <w:r>
              <w:rPr>
                <w:b/>
                <w:bCs/>
                <w:color w:val="000000"/>
              </w:rPr>
              <w:t>A. The OCJ Erred by Rejecting Turtle Sightings as Proof of Habitat</w:t>
            </w:r>
            <w:r>
              <w:rPr>
                <w:b/>
                <w:bCs/>
                <w:color w:val="000000"/>
              </w:rPr>
              <w:tab/>
              <w:t>6</w:t>
            </w:r>
          </w:hyperlink>
        </w:p>
        <w:p w14:paraId="1581D511" w14:textId="77777777" w:rsidR="004F7C45" w:rsidRDefault="004F7C45">
          <w:pPr>
            <w:widowControl w:val="0"/>
            <w:tabs>
              <w:tab w:val="right" w:leader="dot" w:pos="12000"/>
            </w:tabs>
            <w:spacing w:before="60"/>
            <w:ind w:left="720"/>
            <w:rPr>
              <w:rFonts w:ascii="Arial" w:eastAsia="Arial" w:hAnsi="Arial" w:cs="Arial"/>
              <w:color w:val="000000"/>
              <w:sz w:val="22"/>
              <w:szCs w:val="22"/>
            </w:rPr>
          </w:pPr>
          <w:hyperlink w:anchor="_heading=h.t2x0u6wpuh98">
            <w:r>
              <w:rPr>
                <w:color w:val="000000"/>
              </w:rPr>
              <w:t>(i) The OCJ Misinterpreted the ESA’s Broad Definition of “Habitat” by Imposing a Contemporaneity Requirement</w:t>
            </w:r>
            <w:r>
              <w:rPr>
                <w:color w:val="000000"/>
              </w:rPr>
              <w:tab/>
              <w:t>6</w:t>
            </w:r>
          </w:hyperlink>
        </w:p>
        <w:p w14:paraId="30D7A96C" w14:textId="77777777" w:rsidR="004F7C45" w:rsidRDefault="004F7C45">
          <w:pPr>
            <w:widowControl w:val="0"/>
            <w:tabs>
              <w:tab w:val="right" w:leader="dot" w:pos="12000"/>
            </w:tabs>
            <w:spacing w:before="60"/>
            <w:ind w:left="720"/>
            <w:rPr>
              <w:rFonts w:ascii="Arial" w:eastAsia="Arial" w:hAnsi="Arial" w:cs="Arial"/>
              <w:color w:val="000000"/>
              <w:sz w:val="22"/>
              <w:szCs w:val="22"/>
            </w:rPr>
          </w:pPr>
          <w:hyperlink w:anchor="_heading=h.rch920togem0">
            <w:r>
              <w:rPr>
                <w:color w:val="000000"/>
              </w:rPr>
              <w:t>(ii) The OCJ Misapplied the Palpable and Overriding Error Standard by Reweighing the Evidence</w:t>
            </w:r>
            <w:r>
              <w:rPr>
                <w:color w:val="000000"/>
              </w:rPr>
              <w:tab/>
              <w:t>8</w:t>
            </w:r>
          </w:hyperlink>
        </w:p>
        <w:p w14:paraId="5C8B6036" w14:textId="77777777" w:rsidR="004F7C45" w:rsidRDefault="004F7C45">
          <w:pPr>
            <w:widowControl w:val="0"/>
            <w:tabs>
              <w:tab w:val="right" w:leader="dot" w:pos="12000"/>
            </w:tabs>
            <w:spacing w:before="60"/>
            <w:ind w:left="360"/>
            <w:rPr>
              <w:rFonts w:ascii="Arial" w:eastAsia="Arial" w:hAnsi="Arial" w:cs="Arial"/>
              <w:color w:val="000000"/>
              <w:sz w:val="22"/>
              <w:szCs w:val="22"/>
            </w:rPr>
          </w:pPr>
          <w:hyperlink w:anchor="_heading=h.jyafxoydz65a">
            <w:r>
              <w:rPr>
                <w:b/>
                <w:bCs/>
                <w:color w:val="000000"/>
              </w:rPr>
              <w:t>B. The Trial Justice Properly Relied on the GHD as Technical Context and Expert Foundation</w:t>
            </w:r>
            <w:r>
              <w:rPr>
                <w:b/>
                <w:bCs/>
                <w:color w:val="000000"/>
              </w:rPr>
              <w:tab/>
              <w:t>9</w:t>
            </w:r>
          </w:hyperlink>
        </w:p>
        <w:p w14:paraId="69F6D87F" w14:textId="77777777" w:rsidR="004F7C45" w:rsidRDefault="004F7C45">
          <w:pPr>
            <w:widowControl w:val="0"/>
            <w:tabs>
              <w:tab w:val="right" w:leader="dot" w:pos="12000"/>
            </w:tabs>
            <w:spacing w:before="60"/>
            <w:ind w:left="360"/>
            <w:rPr>
              <w:rFonts w:ascii="Arial" w:eastAsia="Arial" w:hAnsi="Arial" w:cs="Arial"/>
              <w:color w:val="000000"/>
              <w:sz w:val="22"/>
              <w:szCs w:val="22"/>
            </w:rPr>
          </w:pPr>
          <w:hyperlink w:anchor="_heading=h.m2890kcyb66w">
            <w:r>
              <w:rPr>
                <w:b/>
                <w:bCs/>
                <w:color w:val="000000"/>
              </w:rPr>
              <w:t>C. The OCJ Erred by Failing to Give Effect to Indirect Dependence</w:t>
            </w:r>
            <w:r>
              <w:rPr>
                <w:b/>
                <w:bCs/>
                <w:color w:val="000000"/>
              </w:rPr>
              <w:tab/>
              <w:t>12</w:t>
            </w:r>
          </w:hyperlink>
        </w:p>
        <w:p w14:paraId="3DDC7B05" w14:textId="77777777" w:rsidR="004F7C45" w:rsidRDefault="004F7C45">
          <w:pPr>
            <w:widowControl w:val="0"/>
            <w:tabs>
              <w:tab w:val="right" w:leader="dot" w:pos="12000"/>
            </w:tabs>
            <w:spacing w:before="60"/>
            <w:ind w:left="720"/>
            <w:rPr>
              <w:rFonts w:ascii="Arial" w:eastAsia="Arial" w:hAnsi="Arial" w:cs="Arial"/>
              <w:color w:val="000000"/>
              <w:sz w:val="22"/>
              <w:szCs w:val="22"/>
            </w:rPr>
          </w:pPr>
          <w:hyperlink w:anchor="_heading=h.xofo5cyb9tzp">
            <w:r>
              <w:rPr>
                <w:color w:val="000000"/>
              </w:rPr>
              <w:t>(i) The OCJ Decision was Decided Based on Insufficient Use and/or Occupancy of the Site</w:t>
            </w:r>
            <w:r>
              <w:rPr>
                <w:color w:val="000000"/>
              </w:rPr>
              <w:tab/>
              <w:t>12</w:t>
            </w:r>
          </w:hyperlink>
        </w:p>
        <w:p w14:paraId="4E684475" w14:textId="77777777" w:rsidR="004F7C45" w:rsidRDefault="004F7C45">
          <w:pPr>
            <w:widowControl w:val="0"/>
            <w:tabs>
              <w:tab w:val="right" w:leader="dot" w:pos="12000"/>
            </w:tabs>
            <w:spacing w:before="60"/>
            <w:ind w:left="720"/>
            <w:rPr>
              <w:rFonts w:ascii="Arial" w:eastAsia="Arial" w:hAnsi="Arial" w:cs="Arial"/>
              <w:color w:val="000000"/>
              <w:sz w:val="22"/>
              <w:szCs w:val="22"/>
            </w:rPr>
          </w:pPr>
          <w:hyperlink w:anchor="_heading=h.uhjsb5qao14">
            <w:r>
              <w:rPr>
                <w:color w:val="000000"/>
              </w:rPr>
              <w:t>(ii) The ESA Definition of Indirect Dependence does Not Require Use or Occupancy</w:t>
            </w:r>
            <w:r>
              <w:rPr>
                <w:color w:val="000000"/>
              </w:rPr>
              <w:tab/>
              <w:t>13</w:t>
            </w:r>
          </w:hyperlink>
        </w:p>
        <w:p w14:paraId="11172DF3" w14:textId="77777777" w:rsidR="004F7C45" w:rsidRDefault="004F7C45">
          <w:pPr>
            <w:widowControl w:val="0"/>
            <w:tabs>
              <w:tab w:val="right" w:leader="dot" w:pos="12000"/>
            </w:tabs>
            <w:spacing w:before="60"/>
            <w:ind w:left="720"/>
            <w:rPr>
              <w:rFonts w:ascii="Arial" w:eastAsia="Arial" w:hAnsi="Arial" w:cs="Arial"/>
              <w:color w:val="000000"/>
              <w:sz w:val="22"/>
              <w:szCs w:val="22"/>
            </w:rPr>
          </w:pPr>
          <w:hyperlink w:anchor="_heading=h.ukcyzmmnklks">
            <w:r>
              <w:rPr>
                <w:color w:val="000000"/>
              </w:rPr>
              <w:t>(iii) The Blanding’s turtles Depend Indirectly on the Site</w:t>
            </w:r>
            <w:r>
              <w:rPr>
                <w:color w:val="000000"/>
              </w:rPr>
              <w:tab/>
              <w:t>15</w:t>
            </w:r>
          </w:hyperlink>
        </w:p>
        <w:p w14:paraId="414A76E7" w14:textId="77777777" w:rsidR="004F7C45" w:rsidRDefault="004F7C45">
          <w:pPr>
            <w:widowControl w:val="0"/>
            <w:tabs>
              <w:tab w:val="right" w:leader="dot" w:pos="12000"/>
            </w:tabs>
            <w:spacing w:before="60"/>
            <w:ind w:left="360"/>
            <w:rPr>
              <w:rFonts w:ascii="Arial" w:eastAsia="Arial" w:hAnsi="Arial" w:cs="Arial"/>
              <w:color w:val="000000"/>
              <w:sz w:val="22"/>
              <w:szCs w:val="22"/>
            </w:rPr>
          </w:pPr>
          <w:hyperlink w:anchor="_heading=h.4za120j3qmaa">
            <w:r>
              <w:rPr>
                <w:b/>
                <w:bCs/>
                <w:color w:val="000000"/>
              </w:rPr>
              <w:t>D. CHL would have been convicted even under the new, narrow definition of habitat</w:t>
            </w:r>
            <w:r>
              <w:rPr>
                <w:b/>
                <w:bCs/>
                <w:color w:val="000000"/>
              </w:rPr>
              <w:tab/>
              <w:t>17</w:t>
            </w:r>
          </w:hyperlink>
        </w:p>
        <w:p w14:paraId="60C05B86" w14:textId="77777777" w:rsidR="004F7C45" w:rsidRDefault="004F7C45">
          <w:pPr>
            <w:widowControl w:val="0"/>
            <w:tabs>
              <w:tab w:val="right" w:leader="dot" w:pos="12000"/>
            </w:tabs>
            <w:spacing w:before="60"/>
            <w:rPr>
              <w:rFonts w:ascii="Arial" w:eastAsia="Arial" w:hAnsi="Arial" w:cs="Arial"/>
              <w:b/>
              <w:bCs/>
              <w:color w:val="000000"/>
              <w:sz w:val="22"/>
              <w:szCs w:val="22"/>
            </w:rPr>
          </w:pPr>
          <w:hyperlink w:anchor="_heading=h.7k3exwpslo6d">
            <w:r>
              <w:rPr>
                <w:b/>
                <w:bCs/>
                <w:color w:val="000000"/>
              </w:rPr>
              <w:t>PART IV --  SUBMISSIONS IN SUPPORT OF COSTS</w:t>
            </w:r>
            <w:r>
              <w:rPr>
                <w:b/>
                <w:bCs/>
                <w:color w:val="000000"/>
              </w:rPr>
              <w:tab/>
              <w:t>19</w:t>
            </w:r>
          </w:hyperlink>
        </w:p>
        <w:p w14:paraId="4E841B31" w14:textId="77777777" w:rsidR="004F7C45" w:rsidRDefault="004F7C45">
          <w:pPr>
            <w:widowControl w:val="0"/>
            <w:tabs>
              <w:tab w:val="right" w:leader="dot" w:pos="12000"/>
            </w:tabs>
            <w:spacing w:before="60"/>
            <w:rPr>
              <w:rFonts w:ascii="Arial" w:eastAsia="Arial" w:hAnsi="Arial" w:cs="Arial"/>
              <w:b/>
              <w:bCs/>
              <w:color w:val="000000"/>
              <w:sz w:val="22"/>
              <w:szCs w:val="22"/>
            </w:rPr>
          </w:pPr>
          <w:hyperlink w:anchor="_heading=h.rba5rioqvnj2">
            <w:r>
              <w:rPr>
                <w:b/>
                <w:bCs/>
                <w:color w:val="000000"/>
              </w:rPr>
              <w:t>PART V --  ORDER SOUGHT</w:t>
            </w:r>
            <w:r>
              <w:rPr>
                <w:b/>
                <w:bCs/>
                <w:color w:val="000000"/>
              </w:rPr>
              <w:tab/>
              <w:t>19</w:t>
            </w:r>
          </w:hyperlink>
        </w:p>
        <w:p w14:paraId="3D13F5C7" w14:textId="77777777" w:rsidR="004F7C45" w:rsidRDefault="004F7C45">
          <w:pPr>
            <w:widowControl w:val="0"/>
            <w:tabs>
              <w:tab w:val="right" w:leader="dot" w:pos="12000"/>
            </w:tabs>
            <w:spacing w:before="60"/>
            <w:rPr>
              <w:rFonts w:ascii="Arial" w:eastAsia="Arial" w:hAnsi="Arial" w:cs="Arial"/>
              <w:b/>
              <w:bCs/>
              <w:color w:val="000000"/>
              <w:sz w:val="22"/>
              <w:szCs w:val="22"/>
            </w:rPr>
          </w:pPr>
          <w:hyperlink w:anchor="_heading=h.802rgu2eyrut">
            <w:r>
              <w:rPr>
                <w:b/>
                <w:bCs/>
                <w:color w:val="000000"/>
              </w:rPr>
              <w:t>PART VI --  TABLE OF AUTHORITIES</w:t>
            </w:r>
            <w:r>
              <w:rPr>
                <w:b/>
                <w:bCs/>
                <w:color w:val="000000"/>
              </w:rPr>
              <w:tab/>
              <w:t>2</w:t>
            </w:r>
          </w:hyperlink>
          <w:r w:rsidR="0070226A">
            <w:rPr>
              <w:rFonts w:ascii="Arial" w:eastAsia="Arial" w:hAnsi="Arial" w:cs="Arial"/>
              <w:b/>
              <w:bCs/>
              <w:sz w:val="22"/>
              <w:szCs w:val="22"/>
            </w:rPr>
            <w:t>1</w:t>
          </w:r>
          <w:r w:rsidR="0070226A">
            <w:fldChar w:fldCharType="end"/>
          </w:r>
        </w:p>
      </w:sdtContent>
    </w:sdt>
    <w:p w14:paraId="41C89801" w14:textId="77777777" w:rsidR="004F7C45" w:rsidRDefault="004F7C45">
      <w:pPr>
        <w:spacing w:line="360" w:lineRule="auto"/>
        <w:sectPr w:rsidR="004F7C45">
          <w:headerReference w:type="first" r:id="rId15"/>
          <w:pgSz w:w="12240" w:h="15840"/>
          <w:pgMar w:top="1440" w:right="1440" w:bottom="1440" w:left="1440" w:header="720" w:footer="720" w:gutter="0"/>
          <w:pgNumType w:start="1"/>
          <w:cols w:space="720"/>
          <w:titlePg/>
        </w:sectPr>
      </w:pPr>
    </w:p>
    <w:p w14:paraId="477C277E" w14:textId="77777777" w:rsidR="004F7C45" w:rsidRDefault="0070226A">
      <w:pPr>
        <w:pStyle w:val="Heading1"/>
        <w:numPr>
          <w:ilvl w:val="0"/>
          <w:numId w:val="5"/>
        </w:numPr>
        <w:spacing w:after="240" w:line="360" w:lineRule="auto"/>
        <w:rPr>
          <w:rFonts w:ascii="Times New Roman" w:eastAsia="Times New Roman" w:hAnsi="Times New Roman" w:cs="Times New Roman"/>
          <w:sz w:val="24"/>
          <w:szCs w:val="24"/>
        </w:rPr>
      </w:pPr>
      <w:bookmarkStart w:id="1" w:name="_heading=h.ypscmoy4lja3" w:colFirst="0" w:colLast="0"/>
      <w:bookmarkEnd w:id="1"/>
      <w:r>
        <w:rPr>
          <w:rFonts w:ascii="Times New Roman" w:eastAsia="Times New Roman" w:hAnsi="Times New Roman" w:cs="Times New Roman"/>
          <w:sz w:val="24"/>
          <w:szCs w:val="24"/>
        </w:rPr>
        <w:lastRenderedPageBreak/>
        <w:t>OVERVIEW AND STATEMENT OF FACTS</w:t>
      </w:r>
    </w:p>
    <w:p w14:paraId="0103F168" w14:textId="77777777" w:rsidR="004F7C45" w:rsidRDefault="0070226A">
      <w:pPr>
        <w:pStyle w:val="Heading2"/>
        <w:numPr>
          <w:ilvl w:val="1"/>
          <w:numId w:val="5"/>
        </w:numPr>
        <w:spacing w:after="240" w:line="360" w:lineRule="auto"/>
      </w:pPr>
      <w:bookmarkStart w:id="2" w:name="_heading=h.9wwjk28bxjym" w:colFirst="0" w:colLast="0"/>
      <w:bookmarkEnd w:id="2"/>
      <w:r>
        <w:rPr>
          <w:rFonts w:ascii="Times New Roman" w:eastAsia="Times New Roman" w:hAnsi="Times New Roman" w:cs="Times New Roman"/>
          <w:i w:val="0"/>
          <w:iCs w:val="0"/>
          <w:sz w:val="24"/>
          <w:szCs w:val="24"/>
        </w:rPr>
        <w:t xml:space="preserve">Overview of the Appellant’s Position </w:t>
      </w:r>
    </w:p>
    <w:p w14:paraId="0F50D416" w14:textId="77777777" w:rsidR="004F7C45" w:rsidRDefault="0070226A">
      <w:pPr>
        <w:numPr>
          <w:ilvl w:val="0"/>
          <w:numId w:val="6"/>
        </w:numPr>
        <w:spacing w:before="240" w:after="240" w:line="360" w:lineRule="auto"/>
      </w:pPr>
      <w:r>
        <w:t xml:space="preserve">The OCJ appeal justice erred in setting aside the respondent’s conviction under the </w:t>
      </w:r>
      <w:r>
        <w:rPr>
          <w:i/>
          <w:iCs/>
        </w:rPr>
        <w:t>ESA</w:t>
      </w:r>
      <w:r>
        <w:t>. The trial justice, on the full record, found as a matter of mixed fact and law that the disturbed area formed part of Blanding’s turtle habitat and that the respondent’s grubbing damaged habitat. The OCJ appeal decision overturned that result by erroneously treating key aspects of the Crown’s case as legally incapable of proving habitat at the relevant time.</w:t>
      </w:r>
    </w:p>
    <w:p w14:paraId="2AE51767" w14:textId="77777777" w:rsidR="004F7C45" w:rsidRDefault="0070226A">
      <w:pPr>
        <w:numPr>
          <w:ilvl w:val="0"/>
          <w:numId w:val="6"/>
        </w:numPr>
        <w:spacing w:before="240" w:after="240" w:line="360" w:lineRule="auto"/>
      </w:pPr>
      <w:r>
        <w:t>First, the OCJ appeal decision effectively imposed a contemporaneity rule the statute does not contain. It treated the timing of sightings as disqualifying, rather than as a factor going to weight in a circumstantial case. By erroneously focusing solely on proof of physical presence during the offence period, the OCJ wrongly foreclosed the trial justice’s reliance on the circumstantial evidence the Crown adduced that established that Blanding’s Turtles depended on the habitat at issue irrespective of the of</w:t>
      </w:r>
      <w:r>
        <w:t>fence period.</w:t>
      </w:r>
    </w:p>
    <w:p w14:paraId="31BF8D5E" w14:textId="77777777" w:rsidR="004F7C45" w:rsidRDefault="0070226A">
      <w:pPr>
        <w:numPr>
          <w:ilvl w:val="0"/>
          <w:numId w:val="6"/>
        </w:numPr>
        <w:spacing w:before="240" w:after="240" w:line="360" w:lineRule="auto"/>
      </w:pPr>
      <w:r>
        <w:t>Second, the OCJ appeal decision exceeded its appellate role by reweighing the evidence and substituting its own view. The trial justice’s conclusion rested on a synthesis of multiple strands of evidence, including sightings, site features, and expert opinion. The OCJ did not identify a palpable and overriding error in the findings or the inference-drawing process; it simply disagreed with the weight the trial justice assigned to the evidence and improperly redid the analysis.</w:t>
      </w:r>
    </w:p>
    <w:p w14:paraId="1C9F2129" w14:textId="77777777" w:rsidR="004F7C45" w:rsidRDefault="0070226A">
      <w:pPr>
        <w:numPr>
          <w:ilvl w:val="0"/>
          <w:numId w:val="6"/>
        </w:numPr>
        <w:spacing w:before="240" w:after="240" w:line="360" w:lineRule="auto"/>
      </w:pPr>
      <w:r>
        <w:t xml:space="preserve">Third, the OCJ appeal decision erred in rejecting the General Habitat Description because it is not a ‘legal instrument’, the OCJ appeal justice’s words. The trial justice did not treat the GHD as binding law; it was used as technical context and as part of the foundation for the Crown’s expert evidence. </w:t>
      </w:r>
    </w:p>
    <w:p w14:paraId="1FC7E119" w14:textId="77777777" w:rsidR="004F7C45" w:rsidRDefault="0070226A">
      <w:pPr>
        <w:numPr>
          <w:ilvl w:val="0"/>
          <w:numId w:val="6"/>
        </w:numPr>
        <w:spacing w:before="240" w:after="240" w:line="360" w:lineRule="auto"/>
      </w:pPr>
      <w:r>
        <w:t>Fourth, the OCJ appeal decision failed to give effect to the statutory definition of habitat, which captures areas a species depends on directly or indirectly to carry on life processes. The trial justice’s finding reflected that functional, ecological connection; the OCJ’s approach did not.</w:t>
      </w:r>
    </w:p>
    <w:p w14:paraId="52134AF1" w14:textId="77777777" w:rsidR="004F7C45" w:rsidRDefault="0070226A">
      <w:pPr>
        <w:numPr>
          <w:ilvl w:val="0"/>
          <w:numId w:val="6"/>
        </w:numPr>
        <w:spacing w:before="240" w:after="240" w:line="360" w:lineRule="auto"/>
      </w:pPr>
      <w:r>
        <w:lastRenderedPageBreak/>
        <w:t xml:space="preserve">Finally, even if the amended definition of “habitat” applies from the </w:t>
      </w:r>
      <w:r>
        <w:rPr>
          <w:i/>
          <w:iCs/>
        </w:rPr>
        <w:t>Protecting Ontario by Unleashing our Economy Act</w:t>
      </w:r>
      <w:r>
        <w:t>, the conviction should still be restored on this record. In the alternative, if the Court concludes the existing record is insufficient to come to a conclusion under the new definition, the proper remedy is a new trial, not maintaining the acquittal.</w:t>
      </w:r>
    </w:p>
    <w:p w14:paraId="492EF35A" w14:textId="77777777" w:rsidR="004F7C45" w:rsidRDefault="0070226A">
      <w:pPr>
        <w:numPr>
          <w:ilvl w:val="0"/>
          <w:numId w:val="6"/>
        </w:numPr>
        <w:spacing w:before="240" w:after="240" w:line="360" w:lineRule="auto"/>
      </w:pPr>
      <w:r>
        <w:t>The Appellant therefore asks that the appeal be allowed, the OCJ’s appeal decision set aside, the conviction restored (or, alternatively, a new trial ordered), and costs awarded to the Appellant.</w:t>
      </w:r>
    </w:p>
    <w:p w14:paraId="293AA627" w14:textId="77777777" w:rsidR="004F7C45" w:rsidRDefault="0070226A">
      <w:pPr>
        <w:pStyle w:val="Heading2"/>
        <w:numPr>
          <w:ilvl w:val="1"/>
          <w:numId w:val="5"/>
        </w:numPr>
        <w:spacing w:before="0" w:after="0" w:line="360" w:lineRule="auto"/>
        <w:rPr>
          <w:rFonts w:ascii="Times New Roman" w:eastAsia="Times New Roman" w:hAnsi="Times New Roman" w:cs="Times New Roman"/>
          <w:i w:val="0"/>
          <w:iCs w:val="0"/>
        </w:rPr>
      </w:pPr>
      <w:bookmarkStart w:id="3" w:name="_heading=h.n4pk69rc5th0" w:colFirst="0" w:colLast="0"/>
      <w:bookmarkEnd w:id="3"/>
      <w:r>
        <w:rPr>
          <w:rFonts w:ascii="Times New Roman" w:eastAsia="Times New Roman" w:hAnsi="Times New Roman" w:cs="Times New Roman"/>
          <w:i w:val="0"/>
          <w:iCs w:val="0"/>
          <w:sz w:val="24"/>
          <w:szCs w:val="24"/>
        </w:rPr>
        <w:t>Statement of the Facts</w:t>
      </w:r>
    </w:p>
    <w:p w14:paraId="4A04F392" w14:textId="77777777" w:rsidR="004F7C45" w:rsidRDefault="0070226A">
      <w:pPr>
        <w:numPr>
          <w:ilvl w:val="0"/>
          <w:numId w:val="6"/>
        </w:numPr>
        <w:spacing w:before="240" w:after="240" w:line="360" w:lineRule="auto"/>
      </w:pPr>
      <w:r>
        <w:t>Between June 1 and August 5, 2018, Consolidated Homes Ltd. (“CHL”), a residential developer in North Bay, Ontario, conducted grubbing and land-clearing activities on vacant property south of Circle Lake Road, west of Circle Lake, and east of Wallace Road, within the Township of Widdifield in the City of North Bay.</w:t>
      </w:r>
    </w:p>
    <w:p w14:paraId="3B00F3DE" w14:textId="77777777" w:rsidR="004F7C45" w:rsidRDefault="0070226A">
      <w:pPr>
        <w:spacing w:before="240" w:after="240" w:line="360" w:lineRule="auto"/>
        <w:ind w:left="720" w:right="720"/>
      </w:pPr>
      <w:r>
        <w:rPr>
          <w:i/>
          <w:iCs/>
          <w:sz w:val="20"/>
          <w:szCs w:val="20"/>
        </w:rPr>
        <w:t>R v Consolidated Homes Ltd.</w:t>
      </w:r>
      <w:r>
        <w:rPr>
          <w:sz w:val="20"/>
          <w:szCs w:val="20"/>
        </w:rPr>
        <w:t xml:space="preserve"> (12 October 2022), North Bay (OCJ)  [</w:t>
      </w:r>
      <w:r>
        <w:rPr>
          <w:i/>
          <w:iCs/>
          <w:sz w:val="20"/>
          <w:szCs w:val="20"/>
        </w:rPr>
        <w:t>Trial Reasons</w:t>
      </w:r>
      <w:r>
        <w:rPr>
          <w:sz w:val="20"/>
          <w:szCs w:val="20"/>
        </w:rPr>
        <w:t>]</w:t>
      </w:r>
      <w:r>
        <w:rPr>
          <w:i/>
          <w:iCs/>
          <w:sz w:val="20"/>
          <w:szCs w:val="20"/>
        </w:rPr>
        <w:t xml:space="preserve"> </w:t>
      </w:r>
      <w:r>
        <w:rPr>
          <w:sz w:val="20"/>
          <w:szCs w:val="20"/>
        </w:rPr>
        <w:t>at p 2, lines 10-20.</w:t>
      </w:r>
    </w:p>
    <w:p w14:paraId="2E985E98" w14:textId="77777777" w:rsidR="004F7C45" w:rsidRDefault="0070226A">
      <w:pPr>
        <w:numPr>
          <w:ilvl w:val="0"/>
          <w:numId w:val="6"/>
        </w:numPr>
        <w:spacing w:before="240" w:after="240" w:line="360" w:lineRule="auto"/>
      </w:pPr>
      <w:r>
        <w:t>CHL used heavy machinery to remove vegetation and root systems, level soil, and move and mound earth toward the edge of the Circle Lake wetland. The disturbed footprint measured approximately 0.459 acres. It lay within approximately 30 metres of the wetland edge, a distance identified in provincial technical materials and by the Crown’s expert as an ecologically significant buffer for Blanding’s turtle use and habitat functions.</w:t>
      </w:r>
    </w:p>
    <w:p w14:paraId="2671C9FB" w14:textId="77777777" w:rsidR="004F7C45" w:rsidRDefault="0070226A">
      <w:pPr>
        <w:ind w:left="720" w:right="720"/>
        <w:rPr>
          <w:sz w:val="20"/>
          <w:szCs w:val="20"/>
        </w:rPr>
      </w:pPr>
      <w:r>
        <w:rPr>
          <w:i/>
          <w:iCs/>
          <w:sz w:val="20"/>
          <w:szCs w:val="20"/>
        </w:rPr>
        <w:t>R v Consolidated Homes Ltd.</w:t>
      </w:r>
      <w:r>
        <w:rPr>
          <w:sz w:val="20"/>
          <w:szCs w:val="20"/>
        </w:rPr>
        <w:t xml:space="preserve"> (20 August 2024), North Bay (OCJ) [</w:t>
      </w:r>
      <w:r>
        <w:rPr>
          <w:i/>
          <w:iCs/>
          <w:sz w:val="20"/>
          <w:szCs w:val="20"/>
        </w:rPr>
        <w:t>OCJ Appeal</w:t>
      </w:r>
      <w:r>
        <w:rPr>
          <w:sz w:val="20"/>
          <w:szCs w:val="20"/>
        </w:rPr>
        <w:t>] at p 3, lines 1-5, 15-20.</w:t>
      </w:r>
    </w:p>
    <w:p w14:paraId="765E7713" w14:textId="77777777" w:rsidR="004F7C45" w:rsidRDefault="0070226A">
      <w:pPr>
        <w:ind w:left="720" w:right="720"/>
        <w:rPr>
          <w:sz w:val="20"/>
          <w:szCs w:val="20"/>
        </w:rPr>
      </w:pPr>
      <w:r>
        <w:rPr>
          <w:i/>
          <w:iCs/>
          <w:sz w:val="20"/>
          <w:szCs w:val="20"/>
        </w:rPr>
        <w:t xml:space="preserve">Trial Reasons </w:t>
      </w:r>
      <w:r>
        <w:rPr>
          <w:sz w:val="20"/>
          <w:szCs w:val="20"/>
        </w:rPr>
        <w:t>at p 5, lines 25-30; p 6, lines 1-15.</w:t>
      </w:r>
    </w:p>
    <w:p w14:paraId="210B0C64" w14:textId="77777777" w:rsidR="004F7C45" w:rsidRDefault="0070226A">
      <w:pPr>
        <w:numPr>
          <w:ilvl w:val="0"/>
          <w:numId w:val="6"/>
        </w:numPr>
        <w:spacing w:before="240" w:after="240" w:line="360" w:lineRule="auto"/>
      </w:pPr>
      <w:r>
        <w:t>The Crown charged CHL under section 10(1)(a) of the</w:t>
      </w:r>
      <w:r>
        <w:rPr>
          <w:i/>
          <w:iCs/>
        </w:rPr>
        <w:t xml:space="preserve"> Endangered Species Act</w:t>
      </w:r>
      <w:r>
        <w:t>, 2007 (“</w:t>
      </w:r>
      <w:r>
        <w:rPr>
          <w:i/>
          <w:iCs/>
        </w:rPr>
        <w:t>ESA”</w:t>
      </w:r>
      <w:r>
        <w:t xml:space="preserve">) with </w:t>
      </w:r>
      <w:r>
        <w:t>unlawfully damaging or destroying the habitat of a threatened species, the Blanding’s turtle.</w:t>
      </w:r>
    </w:p>
    <w:p w14:paraId="3FE70ECD" w14:textId="77777777" w:rsidR="004F7C45" w:rsidRDefault="0070226A">
      <w:pPr>
        <w:ind w:left="720"/>
        <w:rPr>
          <w:sz w:val="20"/>
          <w:szCs w:val="20"/>
        </w:rPr>
      </w:pPr>
      <w:r>
        <w:rPr>
          <w:i/>
          <w:iCs/>
          <w:sz w:val="20"/>
          <w:szCs w:val="20"/>
        </w:rPr>
        <w:t xml:space="preserve">Endangered Species Act, </w:t>
      </w:r>
      <w:r>
        <w:rPr>
          <w:sz w:val="20"/>
          <w:szCs w:val="20"/>
        </w:rPr>
        <w:t>2007, SO 2007, c 6, as it appeared between 5 June 2008 and 4 June 2019, https://www.ontario.ca/laws/statute/07e06/v2 [</w:t>
      </w:r>
      <w:r>
        <w:rPr>
          <w:i/>
          <w:iCs/>
          <w:sz w:val="20"/>
          <w:szCs w:val="20"/>
        </w:rPr>
        <w:t>ESA</w:t>
      </w:r>
      <w:r>
        <w:rPr>
          <w:sz w:val="20"/>
          <w:szCs w:val="20"/>
        </w:rPr>
        <w:t>] at s 10.</w:t>
      </w:r>
    </w:p>
    <w:p w14:paraId="1E2FAA56" w14:textId="77777777" w:rsidR="004F7C45" w:rsidRDefault="0070226A">
      <w:pPr>
        <w:rPr>
          <w:sz w:val="20"/>
          <w:szCs w:val="20"/>
        </w:rPr>
      </w:pPr>
      <w:r>
        <w:rPr>
          <w:sz w:val="20"/>
          <w:szCs w:val="20"/>
        </w:rPr>
        <w:tab/>
      </w:r>
      <w:r>
        <w:rPr>
          <w:i/>
          <w:iCs/>
          <w:sz w:val="20"/>
          <w:szCs w:val="20"/>
        </w:rPr>
        <w:t xml:space="preserve">Trial Reasons </w:t>
      </w:r>
      <w:r>
        <w:rPr>
          <w:sz w:val="20"/>
          <w:szCs w:val="20"/>
        </w:rPr>
        <w:t>at p 2, lines 25-30.</w:t>
      </w:r>
    </w:p>
    <w:p w14:paraId="25A6733F" w14:textId="77777777" w:rsidR="004F7C45" w:rsidRDefault="0070226A">
      <w:pPr>
        <w:numPr>
          <w:ilvl w:val="0"/>
          <w:numId w:val="6"/>
        </w:numPr>
        <w:spacing w:before="240" w:after="240" w:line="360" w:lineRule="auto"/>
      </w:pPr>
      <w:r>
        <w:lastRenderedPageBreak/>
        <w:t>The Circle Lake area forms part of a broader wetland complex. Before 2018, CHL had undertaken development activity in the area and had been alerted to its ecological sensitivity. An environmental impact study prepared for CHL in 2010 identified Blanding’s turtles as likely present and warned that activities such as vegetation removal, grading, and altering drainage patterns could negatively affect wetland habitat relied on by species at risk.</w:t>
      </w:r>
    </w:p>
    <w:p w14:paraId="7D9FEEBB" w14:textId="77777777" w:rsidR="004F7C45" w:rsidRDefault="0070226A">
      <w:pPr>
        <w:spacing w:before="240" w:after="240" w:line="360" w:lineRule="auto"/>
      </w:pPr>
      <w:r>
        <w:tab/>
      </w:r>
      <w:r>
        <w:rPr>
          <w:i/>
          <w:iCs/>
          <w:sz w:val="20"/>
          <w:szCs w:val="20"/>
        </w:rPr>
        <w:t xml:space="preserve">Trial Reasons </w:t>
      </w:r>
      <w:r>
        <w:rPr>
          <w:sz w:val="20"/>
          <w:szCs w:val="20"/>
        </w:rPr>
        <w:t>at p 4, lines 10-25.</w:t>
      </w:r>
    </w:p>
    <w:p w14:paraId="7B967AA2" w14:textId="77777777" w:rsidR="004F7C45" w:rsidRDefault="0070226A">
      <w:pPr>
        <w:numPr>
          <w:ilvl w:val="0"/>
          <w:numId w:val="6"/>
        </w:numPr>
        <w:spacing w:before="240" w:after="240" w:line="360" w:lineRule="auto"/>
      </w:pPr>
      <w:r>
        <w:t xml:space="preserve">In March 2017, the Ministry of Natural Resources and Forestry (“MNRF”) issued a stop-work order relating to nearby development activity and advised CHL that Blanding’s turtles received habitat protection under the </w:t>
      </w:r>
      <w:r>
        <w:rPr>
          <w:i/>
          <w:iCs/>
        </w:rPr>
        <w:t>ESA.</w:t>
      </w:r>
      <w:r>
        <w:t xml:space="preserve"> MNRF staff later met with CHL representatives, provided information about Blanding’s turtle habitat requirements, and physically mapped the wetland boundary in the Circle Lake area. CHL later adopted that mapped wetland boundary in development materials prepared in 2017.</w:t>
      </w:r>
    </w:p>
    <w:p w14:paraId="56EB9F0C" w14:textId="77777777" w:rsidR="004F7C45" w:rsidRDefault="0070226A">
      <w:pPr>
        <w:rPr>
          <w:sz w:val="20"/>
          <w:szCs w:val="20"/>
        </w:rPr>
      </w:pPr>
      <w:r>
        <w:tab/>
      </w:r>
      <w:r>
        <w:rPr>
          <w:i/>
          <w:iCs/>
          <w:sz w:val="20"/>
          <w:szCs w:val="20"/>
        </w:rPr>
        <w:t xml:space="preserve">Trial Reasons, </w:t>
      </w:r>
      <w:r>
        <w:rPr>
          <w:sz w:val="20"/>
          <w:szCs w:val="20"/>
        </w:rPr>
        <w:t>at p 5, lines 1-20</w:t>
      </w:r>
    </w:p>
    <w:p w14:paraId="2841757D" w14:textId="77777777" w:rsidR="004F7C45" w:rsidRDefault="0070226A">
      <w:pPr>
        <w:rPr>
          <w:sz w:val="20"/>
          <w:szCs w:val="20"/>
        </w:rPr>
      </w:pPr>
      <w:r>
        <w:rPr>
          <w:sz w:val="20"/>
          <w:szCs w:val="20"/>
        </w:rPr>
        <w:tab/>
      </w:r>
      <w:r>
        <w:rPr>
          <w:i/>
          <w:iCs/>
          <w:sz w:val="20"/>
          <w:szCs w:val="20"/>
        </w:rPr>
        <w:t xml:space="preserve">OCJ Appeal </w:t>
      </w:r>
      <w:r>
        <w:rPr>
          <w:sz w:val="20"/>
          <w:szCs w:val="20"/>
        </w:rPr>
        <w:t>at p 16, lines 25-30.</w:t>
      </w:r>
    </w:p>
    <w:p w14:paraId="724505FD" w14:textId="77777777" w:rsidR="004F7C45" w:rsidRDefault="0070226A">
      <w:pPr>
        <w:numPr>
          <w:ilvl w:val="0"/>
          <w:numId w:val="6"/>
        </w:numPr>
        <w:spacing w:before="240" w:after="240" w:line="360" w:lineRule="auto"/>
      </w:pPr>
      <w:r>
        <w:t>Despite this history, CHL carried out grubbing at the Circle Lake site in June and August 2018 using a large excavator, during the active season for Blanding’s turtles. CHL undertook this work without exclusion fencing or similar measures intended to prevent harm to turtles potentially present in the area.</w:t>
      </w:r>
    </w:p>
    <w:p w14:paraId="5D03A2FC" w14:textId="77777777" w:rsidR="004F7C45" w:rsidRDefault="0070226A">
      <w:pPr>
        <w:spacing w:before="240" w:after="240" w:line="360" w:lineRule="auto"/>
      </w:pPr>
      <w:r>
        <w:tab/>
      </w:r>
      <w:r>
        <w:rPr>
          <w:i/>
          <w:iCs/>
          <w:sz w:val="20"/>
          <w:szCs w:val="20"/>
        </w:rPr>
        <w:t xml:space="preserve">Trial Reasons </w:t>
      </w:r>
      <w:r>
        <w:rPr>
          <w:sz w:val="20"/>
          <w:szCs w:val="20"/>
        </w:rPr>
        <w:t>at p 4, lines 5-15; p 7, lines 20-30.</w:t>
      </w:r>
    </w:p>
    <w:p w14:paraId="6F9082EC" w14:textId="77777777" w:rsidR="004F7C45" w:rsidRDefault="0070226A">
      <w:pPr>
        <w:numPr>
          <w:ilvl w:val="0"/>
          <w:numId w:val="6"/>
        </w:numPr>
        <w:spacing w:before="240" w:after="240" w:line="360" w:lineRule="auto"/>
      </w:pPr>
      <w:r>
        <w:t>CHL contacted the North Bay–Mattawa Conservation Authority on June 6, 2018 regarding site grading, after work had already begun. A Conservation Authority environmental officer attended on June 12, 2018, and observed extensive grading and vegetation removal. She advised CHL that the area could constitute habitat for species at risk, including Blanding’s turtles. The Conservation Authority issued a Development Interference with Wetlands and Alterations permit on June 14, 2018, after work had commenced.</w:t>
      </w:r>
    </w:p>
    <w:p w14:paraId="15FB8EB9" w14:textId="77777777" w:rsidR="004F7C45" w:rsidRDefault="0070226A">
      <w:pPr>
        <w:spacing w:before="240" w:after="240" w:line="360" w:lineRule="auto"/>
        <w:ind w:firstLine="720"/>
      </w:pPr>
      <w:r>
        <w:rPr>
          <w:i/>
          <w:iCs/>
          <w:sz w:val="20"/>
          <w:szCs w:val="20"/>
        </w:rPr>
        <w:t xml:space="preserve">Trial Reasons </w:t>
      </w:r>
      <w:r>
        <w:rPr>
          <w:sz w:val="20"/>
          <w:szCs w:val="20"/>
        </w:rPr>
        <w:t>at p 8, lines 15-25; pp 9-10.</w:t>
      </w:r>
    </w:p>
    <w:p w14:paraId="6E9F13C4" w14:textId="77777777" w:rsidR="004F7C45" w:rsidRDefault="0070226A">
      <w:pPr>
        <w:numPr>
          <w:ilvl w:val="0"/>
          <w:numId w:val="6"/>
        </w:numPr>
        <w:spacing w:before="240" w:after="240" w:line="360" w:lineRule="auto"/>
      </w:pPr>
      <w:r>
        <w:t xml:space="preserve">At trial, the Crown called Shamus Snell (“Mr. Snell”), a management biologist qualified as an expert in Blanding’s turtle biology and habitat requirements. Mr. Snell testified that the </w:t>
      </w:r>
      <w:r>
        <w:lastRenderedPageBreak/>
        <w:t>disturbed area functioned as Blanding’s turtle habitat and would be used for life-cycle activities including movement, nesting, basking, foraging, and thermal regulation. He further explained that the grubbing impaired habitat function by removing vegetation, reducing food sources, eliminating shaded areas used for thermal regulation, increasing erosion and sedimentation, reducing nesting suitability, and altering water flow toward the adjacent wetland. The trial justice accepted Mr. Snell’s expert evidence</w:t>
      </w:r>
      <w:r>
        <w:t>.</w:t>
      </w:r>
    </w:p>
    <w:p w14:paraId="67C627C2" w14:textId="77777777" w:rsidR="004F7C45" w:rsidRDefault="0070226A">
      <w:pPr>
        <w:spacing w:before="240" w:after="240" w:line="360" w:lineRule="auto"/>
      </w:pPr>
      <w:r>
        <w:tab/>
      </w:r>
      <w:r>
        <w:rPr>
          <w:i/>
          <w:iCs/>
          <w:sz w:val="20"/>
          <w:szCs w:val="20"/>
        </w:rPr>
        <w:t xml:space="preserve">Trial Reasons </w:t>
      </w:r>
      <w:r>
        <w:rPr>
          <w:sz w:val="20"/>
          <w:szCs w:val="20"/>
        </w:rPr>
        <w:t>at p 6, lines 20-25; p 7, lines 1-20; p 10, lines 15-25.</w:t>
      </w:r>
    </w:p>
    <w:p w14:paraId="37F02A7F" w14:textId="77777777" w:rsidR="004F7C45" w:rsidRDefault="0070226A">
      <w:pPr>
        <w:numPr>
          <w:ilvl w:val="0"/>
          <w:numId w:val="6"/>
        </w:numPr>
        <w:spacing w:before="240" w:after="240" w:line="360" w:lineRule="auto"/>
      </w:pPr>
      <w:r>
        <w:t>In forming his opinion, Mr. Snell relied in part on the General Habitat Description for the Blanding’s Turtle (“GHD”), a technical document produced by the Province of Ontario on the Blanding’s Turtles, based on the best available scientific information. The GHD describes “category two” Blanding’s Turtle habitat as wetland complexes near species sightings, including associated upland areas within approximately 30 metres of wetland boundaries. CHL did not dispute that it had dug within 30 meters of the Circl</w:t>
      </w:r>
      <w:r>
        <w:t>e Lake wetland boundary.</w:t>
      </w:r>
    </w:p>
    <w:p w14:paraId="139B2EFE" w14:textId="77777777" w:rsidR="004F7C45" w:rsidRDefault="0070226A">
      <w:pPr>
        <w:rPr>
          <w:sz w:val="20"/>
          <w:szCs w:val="20"/>
        </w:rPr>
      </w:pPr>
      <w:r>
        <w:tab/>
      </w:r>
      <w:r>
        <w:rPr>
          <w:i/>
          <w:iCs/>
          <w:sz w:val="20"/>
          <w:szCs w:val="20"/>
        </w:rPr>
        <w:t xml:space="preserve">OCJ Appeal </w:t>
      </w:r>
      <w:r>
        <w:rPr>
          <w:sz w:val="20"/>
          <w:szCs w:val="20"/>
        </w:rPr>
        <w:t>at p 5, lines 5-20; p 12, lines 20-30.</w:t>
      </w:r>
    </w:p>
    <w:p w14:paraId="43668C7B" w14:textId="77777777" w:rsidR="004F7C45" w:rsidRDefault="0070226A">
      <w:pPr>
        <w:rPr>
          <w:sz w:val="20"/>
          <w:szCs w:val="20"/>
        </w:rPr>
      </w:pPr>
      <w:r>
        <w:rPr>
          <w:sz w:val="20"/>
          <w:szCs w:val="20"/>
        </w:rPr>
        <w:tab/>
      </w:r>
      <w:r>
        <w:rPr>
          <w:i/>
          <w:iCs/>
          <w:sz w:val="20"/>
          <w:szCs w:val="20"/>
        </w:rPr>
        <w:t xml:space="preserve">Trial Reasons </w:t>
      </w:r>
      <w:r>
        <w:rPr>
          <w:sz w:val="20"/>
          <w:szCs w:val="20"/>
        </w:rPr>
        <w:t>at p 5-6, lines 30-33, 1-5.</w:t>
      </w:r>
    </w:p>
    <w:p w14:paraId="50282C17" w14:textId="77777777" w:rsidR="004F7C45" w:rsidRDefault="0070226A">
      <w:pPr>
        <w:rPr>
          <w:sz w:val="20"/>
          <w:szCs w:val="20"/>
        </w:rPr>
      </w:pPr>
      <w:r>
        <w:rPr>
          <w:sz w:val="20"/>
          <w:szCs w:val="20"/>
        </w:rPr>
        <w:tab/>
      </w:r>
      <w:r>
        <w:rPr>
          <w:i/>
          <w:iCs/>
          <w:sz w:val="20"/>
          <w:szCs w:val="20"/>
        </w:rPr>
        <w:t>R v Consolidated Homes Ltd,</w:t>
      </w:r>
      <w:r>
        <w:rPr>
          <w:sz w:val="20"/>
          <w:szCs w:val="20"/>
        </w:rPr>
        <w:t xml:space="preserve"> 2025 ONCA 41 [</w:t>
      </w:r>
      <w:r>
        <w:rPr>
          <w:i/>
          <w:iCs/>
          <w:sz w:val="20"/>
          <w:szCs w:val="20"/>
        </w:rPr>
        <w:t>ONCA Leave</w:t>
      </w:r>
      <w:r>
        <w:rPr>
          <w:sz w:val="20"/>
          <w:szCs w:val="20"/>
        </w:rPr>
        <w:t>] at para 6.</w:t>
      </w:r>
    </w:p>
    <w:p w14:paraId="30304D4A" w14:textId="77777777" w:rsidR="004F7C45" w:rsidRDefault="0070226A">
      <w:pPr>
        <w:numPr>
          <w:ilvl w:val="0"/>
          <w:numId w:val="6"/>
        </w:numPr>
        <w:spacing w:before="240" w:after="240" w:line="360" w:lineRule="auto"/>
      </w:pPr>
      <w:r>
        <w:t>The trial record included evidence of Blanding’s turtle observations in the Circle Lake area at multiple points in time. Evidence was led by Mr. Snell of reported sightings in 2007 and 2017 near Circle Lake. In addition, Maria Badilla, a nearby resident, testified that she photographed a Blanding’s turtle at Circle Lake on June 11, 2020. The trial justice accepted Ms. Badilla’s evidence and noted that the photograph was taken after the offence period. The Crown’s expert, Mr. Snell, referred to these reporte</w:t>
      </w:r>
      <w:r>
        <w:t>d sightings as part of the information he considered in forming his opinion about habitat in the Circle Lake area.</w:t>
      </w:r>
    </w:p>
    <w:p w14:paraId="4811EF0B" w14:textId="77777777" w:rsidR="004F7C45" w:rsidRDefault="0070226A">
      <w:pPr>
        <w:ind w:firstLine="720"/>
        <w:rPr>
          <w:sz w:val="20"/>
          <w:szCs w:val="20"/>
        </w:rPr>
      </w:pPr>
      <w:r>
        <w:rPr>
          <w:i/>
          <w:iCs/>
          <w:sz w:val="20"/>
          <w:szCs w:val="20"/>
        </w:rPr>
        <w:t xml:space="preserve">OCJ Appeal </w:t>
      </w:r>
      <w:r>
        <w:rPr>
          <w:sz w:val="20"/>
          <w:szCs w:val="20"/>
        </w:rPr>
        <w:t>at p 4, lines 5-15; p 12, lines 20-30.</w:t>
      </w:r>
    </w:p>
    <w:p w14:paraId="730C46B2" w14:textId="77777777" w:rsidR="004F7C45" w:rsidRDefault="0070226A">
      <w:pPr>
        <w:ind w:firstLine="720"/>
      </w:pPr>
      <w:r>
        <w:rPr>
          <w:i/>
          <w:iCs/>
          <w:sz w:val="20"/>
          <w:szCs w:val="20"/>
        </w:rPr>
        <w:t xml:space="preserve">Trial Reasons </w:t>
      </w:r>
      <w:r>
        <w:rPr>
          <w:sz w:val="20"/>
          <w:szCs w:val="20"/>
        </w:rPr>
        <w:t>at p 9, lines 15-20.</w:t>
      </w:r>
    </w:p>
    <w:p w14:paraId="3901025E" w14:textId="77777777" w:rsidR="004F7C45" w:rsidRDefault="0070226A">
      <w:pPr>
        <w:numPr>
          <w:ilvl w:val="0"/>
          <w:numId w:val="6"/>
        </w:numPr>
        <w:spacing w:before="240" w:after="240" w:line="360" w:lineRule="auto"/>
      </w:pPr>
      <w:r>
        <w:t>On October 12, 2022, the trial justice convicted CHL and imposed a nominal fine and a $200,000 payment order to the Nature Conservancy of Canada.</w:t>
      </w:r>
    </w:p>
    <w:p w14:paraId="76C4929B" w14:textId="77777777" w:rsidR="004F7C45" w:rsidRDefault="0070226A">
      <w:pPr>
        <w:spacing w:before="240" w:after="240" w:line="360" w:lineRule="auto"/>
      </w:pPr>
      <w:r>
        <w:tab/>
      </w:r>
      <w:r>
        <w:rPr>
          <w:i/>
          <w:iCs/>
          <w:sz w:val="20"/>
          <w:szCs w:val="20"/>
        </w:rPr>
        <w:t xml:space="preserve">Trial Reasons </w:t>
      </w:r>
      <w:r>
        <w:rPr>
          <w:sz w:val="20"/>
          <w:szCs w:val="20"/>
        </w:rPr>
        <w:t>at p 18, lines 1-15.</w:t>
      </w:r>
    </w:p>
    <w:p w14:paraId="6E3948EE" w14:textId="77777777" w:rsidR="004F7C45" w:rsidRDefault="0070226A">
      <w:pPr>
        <w:numPr>
          <w:ilvl w:val="0"/>
          <w:numId w:val="6"/>
        </w:numPr>
        <w:spacing w:before="240" w:after="240" w:line="360" w:lineRule="auto"/>
      </w:pPr>
      <w:r>
        <w:lastRenderedPageBreak/>
        <w:t>On August 20, 2024, the OCJ appeal justice allowed CHL’s appeal and entered an acquittal, concluding that it had not been proven that the altered land constituted Blanding’s turtle habitat at the relevant time. In particular, the OCJ appeal justice criticized the trial justice’s reliance on turtle sightings outside the offence dates and discounted reliance on the GHD on the basis that it was not a legal instrument.</w:t>
      </w:r>
    </w:p>
    <w:p w14:paraId="26AFBFC8" w14:textId="77777777" w:rsidR="004F7C45" w:rsidRDefault="0070226A">
      <w:pPr>
        <w:spacing w:before="240" w:after="240" w:line="360" w:lineRule="auto"/>
      </w:pPr>
      <w:r>
        <w:tab/>
      </w:r>
      <w:r>
        <w:rPr>
          <w:i/>
          <w:iCs/>
          <w:sz w:val="20"/>
          <w:szCs w:val="20"/>
        </w:rPr>
        <w:t xml:space="preserve">OCJ Appeal </w:t>
      </w:r>
      <w:r>
        <w:rPr>
          <w:sz w:val="20"/>
          <w:szCs w:val="20"/>
        </w:rPr>
        <w:t>at p 20, lines 15-20.</w:t>
      </w:r>
    </w:p>
    <w:p w14:paraId="3F5D3618" w14:textId="77777777" w:rsidR="004F7C45" w:rsidRDefault="0070226A">
      <w:pPr>
        <w:numPr>
          <w:ilvl w:val="0"/>
          <w:numId w:val="6"/>
        </w:numPr>
        <w:spacing w:before="240" w:after="240" w:line="360" w:lineRule="auto"/>
      </w:pPr>
      <w:r>
        <w:t>The Ontario Court of Appeal refused leave to appeal the first-level appeal decision. The Crown now appeals to this Court.</w:t>
      </w:r>
    </w:p>
    <w:p w14:paraId="75F119C5" w14:textId="77777777" w:rsidR="004F7C45" w:rsidRDefault="0070226A">
      <w:pPr>
        <w:spacing w:before="240" w:after="240" w:line="360" w:lineRule="auto"/>
        <w:rPr>
          <w:sz w:val="20"/>
          <w:szCs w:val="20"/>
        </w:rPr>
      </w:pPr>
      <w:r>
        <w:tab/>
      </w:r>
      <w:r>
        <w:rPr>
          <w:i/>
          <w:iCs/>
          <w:sz w:val="20"/>
          <w:szCs w:val="20"/>
        </w:rPr>
        <w:t xml:space="preserve">ONCA Leave </w:t>
      </w:r>
      <w:r>
        <w:rPr>
          <w:sz w:val="20"/>
          <w:szCs w:val="20"/>
        </w:rPr>
        <w:t>at para 46.</w:t>
      </w:r>
    </w:p>
    <w:p w14:paraId="3D769FB7" w14:textId="77777777" w:rsidR="004F7C45" w:rsidRDefault="0070226A">
      <w:pPr>
        <w:pStyle w:val="Heading1"/>
        <w:numPr>
          <w:ilvl w:val="0"/>
          <w:numId w:val="5"/>
        </w:numPr>
        <w:spacing w:before="0" w:after="0"/>
        <w:ind w:left="720" w:hanging="720"/>
        <w:rPr>
          <w:rFonts w:ascii="Times New Roman" w:eastAsia="Times New Roman" w:hAnsi="Times New Roman" w:cs="Times New Roman"/>
          <w:sz w:val="24"/>
          <w:szCs w:val="24"/>
        </w:rPr>
      </w:pPr>
      <w:bookmarkStart w:id="4" w:name="_heading=h.kvkri24acl7g" w:colFirst="0" w:colLast="0"/>
      <w:bookmarkEnd w:id="4"/>
      <w:r>
        <w:rPr>
          <w:rFonts w:ascii="Times New Roman" w:eastAsia="Times New Roman" w:hAnsi="Times New Roman" w:cs="Times New Roman"/>
          <w:sz w:val="24"/>
          <w:szCs w:val="24"/>
        </w:rPr>
        <w:t>QUESTIONS IN ISSUE</w:t>
      </w:r>
    </w:p>
    <w:p w14:paraId="0ADA00C8" w14:textId="77777777" w:rsidR="004F7C45" w:rsidRDefault="0070226A">
      <w:pPr>
        <w:pBdr>
          <w:top w:val="nil"/>
          <w:left w:val="nil"/>
          <w:bottom w:val="nil"/>
          <w:right w:val="nil"/>
          <w:between w:val="nil"/>
        </w:pBdr>
        <w:spacing w:before="240" w:after="240" w:line="360" w:lineRule="auto"/>
      </w:pPr>
      <w:r>
        <w:t xml:space="preserve">There are four issues on appeal: </w:t>
      </w:r>
    </w:p>
    <w:p w14:paraId="685CAF34" w14:textId="77777777" w:rsidR="004F7C45" w:rsidRDefault="0070226A">
      <w:pPr>
        <w:numPr>
          <w:ilvl w:val="0"/>
          <w:numId w:val="7"/>
        </w:numPr>
        <w:pBdr>
          <w:top w:val="nil"/>
          <w:left w:val="nil"/>
          <w:bottom w:val="nil"/>
          <w:right w:val="nil"/>
          <w:between w:val="nil"/>
        </w:pBdr>
        <w:spacing w:before="240" w:after="240" w:line="360" w:lineRule="auto"/>
      </w:pPr>
      <w:r>
        <w:t xml:space="preserve">Did the OCJ err in finding that the trial justice </w:t>
      </w:r>
      <w:r>
        <w:t>should not have relied on evidence of sightings of a Blanding’s turtle near the Site on various dates before and after the time of the offence?</w:t>
      </w:r>
    </w:p>
    <w:p w14:paraId="46BA40B9" w14:textId="77777777" w:rsidR="004F7C45" w:rsidRDefault="0070226A">
      <w:pPr>
        <w:numPr>
          <w:ilvl w:val="0"/>
          <w:numId w:val="7"/>
        </w:numPr>
        <w:pBdr>
          <w:top w:val="nil"/>
          <w:left w:val="nil"/>
          <w:bottom w:val="nil"/>
          <w:right w:val="nil"/>
          <w:between w:val="nil"/>
        </w:pBdr>
        <w:spacing w:before="240" w:after="240" w:line="360" w:lineRule="auto"/>
      </w:pPr>
      <w:r>
        <w:t>Did the OCJ err by finding that it was an error for the trial justice to rely on the “General Habitat Description for the Blanding’s turtle” document because that document “is not a legal instrument” and “not a legal document”?</w:t>
      </w:r>
    </w:p>
    <w:p w14:paraId="7251C315" w14:textId="77777777" w:rsidR="004F7C45" w:rsidRDefault="0070226A">
      <w:pPr>
        <w:numPr>
          <w:ilvl w:val="0"/>
          <w:numId w:val="7"/>
        </w:numPr>
        <w:pBdr>
          <w:top w:val="nil"/>
          <w:left w:val="nil"/>
          <w:bottom w:val="nil"/>
          <w:right w:val="nil"/>
          <w:between w:val="nil"/>
        </w:pBdr>
        <w:spacing w:before="240" w:after="240" w:line="360" w:lineRule="auto"/>
      </w:pPr>
      <w:r>
        <w:t>Did the OCJ err by failing to consider or give effect to the part of the statutory definition of “habitat” that includes within the scope of a species’ habitat not only areas on which a species depends directly, but also areas on which it depends indirectly to carry on its life processes?</w:t>
      </w:r>
    </w:p>
    <w:p w14:paraId="45B60094" w14:textId="77777777" w:rsidR="004F7C45" w:rsidRDefault="0070226A">
      <w:pPr>
        <w:numPr>
          <w:ilvl w:val="0"/>
          <w:numId w:val="7"/>
        </w:numPr>
        <w:pBdr>
          <w:top w:val="nil"/>
          <w:left w:val="nil"/>
          <w:bottom w:val="nil"/>
          <w:right w:val="nil"/>
          <w:between w:val="nil"/>
        </w:pBdr>
        <w:spacing w:before="240" w:after="240" w:line="360" w:lineRule="auto"/>
      </w:pPr>
      <w:r>
        <w:t xml:space="preserve">The definition of “habitat” in the </w:t>
      </w:r>
      <w:r>
        <w:rPr>
          <w:i/>
          <w:iCs/>
        </w:rPr>
        <w:t>Endangered Species Act, 2007</w:t>
      </w:r>
      <w:r>
        <w:t xml:space="preserve"> was amended by the </w:t>
      </w:r>
      <w:r>
        <w:rPr>
          <w:i/>
          <w:iCs/>
        </w:rPr>
        <w:t>Protect Ontario by Unleashing our Economy Act, 2025</w:t>
      </w:r>
      <w:r>
        <w:t>, Sched. 2, s 2(3). How should the trial have been decided if the new definition of “habitat” was in force when CHL was charged and tried?</w:t>
      </w:r>
    </w:p>
    <w:p w14:paraId="724102A8" w14:textId="77777777" w:rsidR="004F7C45" w:rsidRDefault="0070226A">
      <w:pPr>
        <w:pStyle w:val="Heading1"/>
        <w:numPr>
          <w:ilvl w:val="0"/>
          <w:numId w:val="5"/>
        </w:numPr>
        <w:spacing w:after="240" w:line="360" w:lineRule="auto"/>
        <w:ind w:left="720" w:hanging="720"/>
        <w:rPr>
          <w:rFonts w:ascii="Times New Roman" w:eastAsia="Times New Roman" w:hAnsi="Times New Roman" w:cs="Times New Roman"/>
          <w:sz w:val="24"/>
          <w:szCs w:val="24"/>
        </w:rPr>
      </w:pPr>
      <w:bookmarkStart w:id="5" w:name="_heading=h.ldjk85u4ed40" w:colFirst="0" w:colLast="0"/>
      <w:bookmarkEnd w:id="5"/>
      <w:r>
        <w:rPr>
          <w:rFonts w:ascii="Times New Roman" w:eastAsia="Times New Roman" w:hAnsi="Times New Roman" w:cs="Times New Roman"/>
          <w:sz w:val="24"/>
          <w:szCs w:val="24"/>
        </w:rPr>
        <w:lastRenderedPageBreak/>
        <w:t>ARGUMENT</w:t>
      </w:r>
    </w:p>
    <w:p w14:paraId="430FDF84" w14:textId="77777777" w:rsidR="004F7C45" w:rsidRDefault="0070226A">
      <w:pPr>
        <w:pStyle w:val="Heading2"/>
        <w:numPr>
          <w:ilvl w:val="1"/>
          <w:numId w:val="5"/>
        </w:numPr>
        <w:spacing w:after="240" w:line="360" w:lineRule="auto"/>
        <w:rPr>
          <w:rFonts w:ascii="Times New Roman" w:eastAsia="Times New Roman" w:hAnsi="Times New Roman" w:cs="Times New Roman"/>
          <w:i w:val="0"/>
          <w:iCs w:val="0"/>
        </w:rPr>
      </w:pPr>
      <w:bookmarkStart w:id="6" w:name="_heading=h.7h8f1joogf2z" w:colFirst="0" w:colLast="0"/>
      <w:bookmarkEnd w:id="6"/>
      <w:r>
        <w:rPr>
          <w:rFonts w:ascii="Times New Roman" w:eastAsia="Times New Roman" w:hAnsi="Times New Roman" w:cs="Times New Roman"/>
          <w:i w:val="0"/>
          <w:iCs w:val="0"/>
          <w:sz w:val="24"/>
          <w:szCs w:val="24"/>
        </w:rPr>
        <w:t>The OCJ Erred by Rejecting Turtle Sightings as Proof of Habitat</w:t>
      </w:r>
    </w:p>
    <w:p w14:paraId="52FEA7CA" w14:textId="77777777" w:rsidR="004F7C45" w:rsidRDefault="0070226A">
      <w:pPr>
        <w:pStyle w:val="Heading3"/>
        <w:numPr>
          <w:ilvl w:val="2"/>
          <w:numId w:val="5"/>
        </w:numPr>
        <w:spacing w:before="0" w:after="200"/>
        <w:rPr>
          <w:b w:val="0"/>
          <w:bCs w:val="0"/>
          <w:sz w:val="24"/>
          <w:szCs w:val="24"/>
        </w:rPr>
      </w:pPr>
      <w:bookmarkStart w:id="7" w:name="_heading=h.t2x0u6wpuh98" w:colFirst="0" w:colLast="0"/>
      <w:bookmarkEnd w:id="7"/>
      <w:r>
        <w:rPr>
          <w:rFonts w:ascii="Times New Roman" w:eastAsia="Times New Roman" w:hAnsi="Times New Roman" w:cs="Times New Roman"/>
          <w:b w:val="0"/>
          <w:bCs w:val="0"/>
          <w:sz w:val="24"/>
          <w:szCs w:val="24"/>
          <w:u w:val="single"/>
        </w:rPr>
        <w:t xml:space="preserve">The OCJ Misinterpreted the </w:t>
      </w:r>
      <w:r>
        <w:rPr>
          <w:rFonts w:ascii="Times New Roman" w:eastAsia="Times New Roman" w:hAnsi="Times New Roman" w:cs="Times New Roman"/>
          <w:b w:val="0"/>
          <w:bCs w:val="0"/>
          <w:i/>
          <w:iCs/>
          <w:sz w:val="24"/>
          <w:szCs w:val="24"/>
          <w:u w:val="single"/>
        </w:rPr>
        <w:t>ESA’s</w:t>
      </w:r>
      <w:r>
        <w:rPr>
          <w:rFonts w:ascii="Times New Roman" w:eastAsia="Times New Roman" w:hAnsi="Times New Roman" w:cs="Times New Roman"/>
          <w:b w:val="0"/>
          <w:bCs w:val="0"/>
          <w:sz w:val="24"/>
          <w:szCs w:val="24"/>
          <w:u w:val="single"/>
        </w:rPr>
        <w:t xml:space="preserve"> Broad Definition of “Habitat” by Imposing a Contemporaneity Requirement</w:t>
      </w:r>
    </w:p>
    <w:p w14:paraId="0E77CC40" w14:textId="77777777" w:rsidR="004F7C45" w:rsidRDefault="0070226A">
      <w:pPr>
        <w:numPr>
          <w:ilvl w:val="0"/>
          <w:numId w:val="6"/>
        </w:numPr>
        <w:spacing w:before="240" w:after="240" w:line="360" w:lineRule="auto"/>
      </w:pPr>
      <w:r>
        <w:t xml:space="preserve">The OCJ appeal justice erred in law by reading a contemporaneity requirement into the </w:t>
      </w:r>
      <w:r>
        <w:rPr>
          <w:i/>
          <w:iCs/>
        </w:rPr>
        <w:t>ESA</w:t>
      </w:r>
      <w:r>
        <w:t>’s definition of “habitat”, leading it to treat habitat as requiring proof that a Blanding’s turtle was physically observed on the specific parcel during the offence period. Nothing in s. 2(1)(b) or s. 2(2) supports that interpretation. By focusing solely on proof of physical presence during the offence period, the OCJ appeal decision wrongly foreclosed the trial justice’s reliance on the circumstantial evidence adduced by the Crown establishing that Blanding’s turtles depended on the habitat at issue, i</w:t>
      </w:r>
      <w:r>
        <w:t>rrespective of timing.</w:t>
      </w:r>
    </w:p>
    <w:p w14:paraId="24E35AE4" w14:textId="77777777" w:rsidR="004F7C45" w:rsidRDefault="0070226A">
      <w:pPr>
        <w:rPr>
          <w:sz w:val="20"/>
          <w:szCs w:val="20"/>
        </w:rPr>
      </w:pPr>
      <w:r>
        <w:tab/>
      </w:r>
      <w:r>
        <w:rPr>
          <w:i/>
          <w:iCs/>
          <w:sz w:val="20"/>
          <w:szCs w:val="20"/>
        </w:rPr>
        <w:t xml:space="preserve">OCJ Appeal </w:t>
      </w:r>
      <w:r>
        <w:rPr>
          <w:sz w:val="20"/>
          <w:szCs w:val="20"/>
        </w:rPr>
        <w:t>at p 15, lines 5-35</w:t>
      </w:r>
    </w:p>
    <w:p w14:paraId="412293AD" w14:textId="77777777" w:rsidR="004F7C45" w:rsidRDefault="0070226A">
      <w:pPr>
        <w:rPr>
          <w:sz w:val="20"/>
          <w:szCs w:val="20"/>
        </w:rPr>
      </w:pPr>
      <w:r>
        <w:rPr>
          <w:sz w:val="20"/>
          <w:szCs w:val="20"/>
        </w:rPr>
        <w:tab/>
      </w:r>
      <w:r>
        <w:rPr>
          <w:i/>
          <w:iCs/>
          <w:sz w:val="20"/>
          <w:szCs w:val="20"/>
        </w:rPr>
        <w:t xml:space="preserve">ESA </w:t>
      </w:r>
      <w:r>
        <w:rPr>
          <w:sz w:val="20"/>
          <w:szCs w:val="20"/>
        </w:rPr>
        <w:t>at s. 2</w:t>
      </w:r>
    </w:p>
    <w:p w14:paraId="66882C30" w14:textId="77777777" w:rsidR="004F7C45" w:rsidRDefault="0070226A">
      <w:pPr>
        <w:numPr>
          <w:ilvl w:val="0"/>
          <w:numId w:val="6"/>
        </w:numPr>
        <w:spacing w:before="240" w:after="240" w:line="360" w:lineRule="auto"/>
      </w:pPr>
      <w:r>
        <w:t xml:space="preserve">The </w:t>
      </w:r>
      <w:r>
        <w:t>meaning of “habitat” in s. 2 is a question of statutory interpretation, reviewed on a correctness standard. Where a court reads in requirements that do not appear in the text and do not fit the scheme and purpose of the Act, an appellate court must intervene and substitute the correct legal test.</w:t>
      </w:r>
    </w:p>
    <w:p w14:paraId="11140D33" w14:textId="77777777" w:rsidR="004F7C45" w:rsidRPr="00A76B62" w:rsidRDefault="0070226A">
      <w:pPr>
        <w:spacing w:before="240" w:after="240" w:line="360" w:lineRule="auto"/>
        <w:ind w:left="720"/>
        <w:rPr>
          <w:lang w:val="fr-FR"/>
        </w:rPr>
      </w:pPr>
      <w:r w:rsidRPr="00A76B62">
        <w:rPr>
          <w:i/>
          <w:iCs/>
          <w:sz w:val="20"/>
          <w:szCs w:val="20"/>
          <w:lang w:val="fr-FR"/>
        </w:rPr>
        <w:t>Housen v Nikolaisen</w:t>
      </w:r>
      <w:r w:rsidRPr="00A76B62">
        <w:rPr>
          <w:sz w:val="20"/>
          <w:szCs w:val="20"/>
          <w:lang w:val="fr-FR"/>
        </w:rPr>
        <w:t>, 2002 SCC 33 [</w:t>
      </w:r>
      <w:r w:rsidRPr="00A76B62">
        <w:rPr>
          <w:i/>
          <w:iCs/>
          <w:sz w:val="20"/>
          <w:szCs w:val="20"/>
          <w:lang w:val="fr-FR"/>
        </w:rPr>
        <w:t>Nikolaisen</w:t>
      </w:r>
      <w:r w:rsidRPr="00A76B62">
        <w:rPr>
          <w:sz w:val="20"/>
          <w:szCs w:val="20"/>
          <w:lang w:val="fr-FR"/>
        </w:rPr>
        <w:t>] at paras 6-9.</w:t>
      </w:r>
    </w:p>
    <w:p w14:paraId="494B163F" w14:textId="77777777" w:rsidR="004F7C45" w:rsidRDefault="0070226A">
      <w:pPr>
        <w:numPr>
          <w:ilvl w:val="0"/>
          <w:numId w:val="6"/>
        </w:numPr>
        <w:spacing w:before="240" w:after="240" w:line="360" w:lineRule="auto"/>
      </w:pPr>
      <w:r>
        <w:t xml:space="preserve">Under the modern approach to statutory interpretation, the </w:t>
      </w:r>
      <w:r>
        <w:rPr>
          <w:i/>
          <w:iCs/>
        </w:rPr>
        <w:t>ESA</w:t>
      </w:r>
      <w:r>
        <w:t xml:space="preserve"> must be read in its entire context and in light of</w:t>
      </w:r>
      <w:r>
        <w:t xml:space="preserve"> its protective, remedial purpose. As environmental protection legislation, the </w:t>
      </w:r>
      <w:r>
        <w:rPr>
          <w:i/>
          <w:iCs/>
        </w:rPr>
        <w:t>ESA</w:t>
      </w:r>
      <w:r>
        <w:t xml:space="preserve"> attracts a generous and expansive interpretation that avoids narrow constructions that would undercut the Act’s function.</w:t>
      </w:r>
    </w:p>
    <w:p w14:paraId="60A15BFB" w14:textId="77777777" w:rsidR="004F7C45" w:rsidRDefault="0070226A">
      <w:pPr>
        <w:ind w:left="720" w:right="720"/>
        <w:rPr>
          <w:sz w:val="20"/>
          <w:szCs w:val="20"/>
        </w:rPr>
      </w:pPr>
      <w:r>
        <w:rPr>
          <w:i/>
          <w:iCs/>
          <w:sz w:val="20"/>
          <w:szCs w:val="20"/>
        </w:rPr>
        <w:t>Castonguay Blasting Ltd v Ontario (Environment)</w:t>
      </w:r>
      <w:r>
        <w:rPr>
          <w:sz w:val="20"/>
          <w:szCs w:val="20"/>
        </w:rPr>
        <w:t>, 2013 SCC 52 at para 9.</w:t>
      </w:r>
    </w:p>
    <w:p w14:paraId="29529802" w14:textId="77777777" w:rsidR="004F7C45" w:rsidRDefault="0070226A">
      <w:pPr>
        <w:widowControl w:val="0"/>
        <w:ind w:left="720" w:right="720"/>
        <w:rPr>
          <w:sz w:val="20"/>
          <w:szCs w:val="20"/>
        </w:rPr>
      </w:pPr>
      <w:r>
        <w:rPr>
          <w:i/>
          <w:iCs/>
          <w:sz w:val="20"/>
          <w:szCs w:val="20"/>
        </w:rPr>
        <w:t>Ontario (Natural Resources and Forestry) v South Bruce Peninsula (Town),</w:t>
      </w:r>
      <w:r>
        <w:rPr>
          <w:sz w:val="20"/>
          <w:szCs w:val="20"/>
        </w:rPr>
        <w:t xml:space="preserve"> 2022 ONCA 315 [</w:t>
      </w:r>
      <w:r>
        <w:rPr>
          <w:i/>
          <w:iCs/>
          <w:sz w:val="20"/>
          <w:szCs w:val="20"/>
        </w:rPr>
        <w:t>SBP</w:t>
      </w:r>
      <w:r>
        <w:rPr>
          <w:sz w:val="20"/>
          <w:szCs w:val="20"/>
        </w:rPr>
        <w:t>]</w:t>
      </w:r>
      <w:r>
        <w:rPr>
          <w:i/>
          <w:iCs/>
          <w:sz w:val="20"/>
          <w:szCs w:val="20"/>
        </w:rPr>
        <w:t xml:space="preserve"> </w:t>
      </w:r>
      <w:r>
        <w:rPr>
          <w:sz w:val="20"/>
          <w:szCs w:val="20"/>
        </w:rPr>
        <w:t>at paras 25, 30.</w:t>
      </w:r>
    </w:p>
    <w:p w14:paraId="609E46D0" w14:textId="77777777" w:rsidR="004F7C45" w:rsidRDefault="0070226A">
      <w:pPr>
        <w:widowControl w:val="0"/>
        <w:ind w:left="720" w:right="720"/>
      </w:pPr>
      <w:r>
        <w:rPr>
          <w:i/>
          <w:iCs/>
          <w:sz w:val="20"/>
          <w:szCs w:val="20"/>
        </w:rPr>
        <w:t>Rizzo &amp; Rizzo Shoes Ltd (Re</w:t>
      </w:r>
      <w:r>
        <w:rPr>
          <w:sz w:val="20"/>
          <w:szCs w:val="20"/>
        </w:rPr>
        <w:t>), 1998 CanLII 837 (SCC),[1998] 1 SCR 27 at para 21.</w:t>
      </w:r>
    </w:p>
    <w:p w14:paraId="330F7B58" w14:textId="77777777" w:rsidR="004F7C45" w:rsidRDefault="0070226A">
      <w:pPr>
        <w:numPr>
          <w:ilvl w:val="0"/>
          <w:numId w:val="6"/>
        </w:numPr>
        <w:spacing w:before="240" w:after="240" w:line="360" w:lineRule="auto"/>
      </w:pPr>
      <w:r>
        <w:t xml:space="preserve">Section 2(1)(b) defines habitat broadly for non-regulated species as “an area on which the species depends, directly or indirectly, to carry on its life processes.” The Legislature deliberately included the term “indirectly”. In ecological reality, species at risk use habitat </w:t>
      </w:r>
      <w:r>
        <w:lastRenderedPageBreak/>
        <w:t>dynamically over time, moving between interconnected areas as life processes require. Interpreted generously, this term captures ecological dependence on habitat features and systems that sustain a species’ life processes, including areas used intermittently or seasonally. Habitat does not turn on whether the species at issue happens to be present in the offence area at the time of the offence, so long as the area contributes to its ability to carry on those processes.</w:t>
      </w:r>
    </w:p>
    <w:p w14:paraId="73FBBA61" w14:textId="77777777" w:rsidR="004F7C45" w:rsidRDefault="0070226A">
      <w:pPr>
        <w:spacing w:before="240" w:after="240" w:line="360" w:lineRule="auto"/>
        <w:ind w:left="720" w:right="720"/>
      </w:pPr>
      <w:r>
        <w:rPr>
          <w:i/>
          <w:iCs/>
          <w:sz w:val="20"/>
          <w:szCs w:val="20"/>
        </w:rPr>
        <w:t xml:space="preserve">ESA </w:t>
      </w:r>
      <w:r>
        <w:rPr>
          <w:sz w:val="20"/>
          <w:szCs w:val="20"/>
        </w:rPr>
        <w:t>at s 2(1)(b).</w:t>
      </w:r>
      <w:r>
        <w:rPr>
          <w:i/>
          <w:iCs/>
          <w:sz w:val="20"/>
          <w:szCs w:val="20"/>
        </w:rPr>
        <w:br/>
        <w:t xml:space="preserve">SBP </w:t>
      </w:r>
      <w:r>
        <w:rPr>
          <w:sz w:val="20"/>
          <w:szCs w:val="20"/>
        </w:rPr>
        <w:t>at paras 2, 12, 26, 30, 34.</w:t>
      </w:r>
    </w:p>
    <w:p w14:paraId="1B2A0C28" w14:textId="77777777" w:rsidR="004F7C45" w:rsidRDefault="0070226A">
      <w:pPr>
        <w:numPr>
          <w:ilvl w:val="0"/>
          <w:numId w:val="6"/>
        </w:numPr>
        <w:spacing w:before="240" w:after="240" w:line="360" w:lineRule="auto"/>
      </w:pPr>
      <w:r>
        <w:t>Section 2(2) is exclusionary in function. It prevents areas of purely historical occurrence or speculative future reintroduction from being treated as “habitat” unless existing members of the species depend on them to carry on their life processes. It does not impose a timing requirement, demand direct observation during the offence period, or displace the use of circumstantial evidence permitted by s. 2(1)(b).</w:t>
      </w:r>
    </w:p>
    <w:p w14:paraId="37212A2E" w14:textId="77777777" w:rsidR="004F7C45" w:rsidRDefault="0070226A">
      <w:pPr>
        <w:widowControl w:val="0"/>
      </w:pPr>
      <w:r>
        <w:tab/>
      </w:r>
      <w:r>
        <w:rPr>
          <w:i/>
          <w:iCs/>
          <w:sz w:val="20"/>
          <w:szCs w:val="20"/>
        </w:rPr>
        <w:t xml:space="preserve">ESA </w:t>
      </w:r>
      <w:r>
        <w:rPr>
          <w:sz w:val="20"/>
          <w:szCs w:val="20"/>
        </w:rPr>
        <w:t>at s 2(2).</w:t>
      </w:r>
    </w:p>
    <w:p w14:paraId="0E5C03C6" w14:textId="77777777" w:rsidR="004F7C45" w:rsidRDefault="0070226A">
      <w:pPr>
        <w:rPr>
          <w:sz w:val="20"/>
          <w:szCs w:val="20"/>
        </w:rPr>
      </w:pPr>
      <w:r>
        <w:tab/>
      </w:r>
      <w:r>
        <w:rPr>
          <w:i/>
          <w:iCs/>
          <w:sz w:val="20"/>
          <w:szCs w:val="20"/>
        </w:rPr>
        <w:t xml:space="preserve">OCJ Appeal </w:t>
      </w:r>
      <w:r>
        <w:rPr>
          <w:sz w:val="20"/>
          <w:szCs w:val="20"/>
        </w:rPr>
        <w:t>at p 15, lines 1-10; p 16, lines 1-5.</w:t>
      </w:r>
    </w:p>
    <w:p w14:paraId="7B098D55" w14:textId="77777777" w:rsidR="004F7C45" w:rsidRDefault="0070226A">
      <w:pPr>
        <w:rPr>
          <w:sz w:val="20"/>
          <w:szCs w:val="20"/>
        </w:rPr>
      </w:pPr>
      <w:r>
        <w:rPr>
          <w:sz w:val="20"/>
          <w:szCs w:val="20"/>
        </w:rPr>
        <w:tab/>
      </w:r>
    </w:p>
    <w:p w14:paraId="387FDDE1" w14:textId="77777777" w:rsidR="004F7C45" w:rsidRDefault="0070226A">
      <w:pPr>
        <w:numPr>
          <w:ilvl w:val="0"/>
          <w:numId w:val="6"/>
        </w:numPr>
        <w:spacing w:before="240" w:after="240" w:line="360" w:lineRule="auto"/>
      </w:pPr>
      <w:r>
        <w:t>The OCJ nevertheless treated “existing members” as a contemporaneity condition. The OCJ appeal justice treated the absence of a 2018 sighting as determinative, discounted the 2007 and 2017 observations as too remote, and characterized the 2020 sighting as “after the fact,” then concluded the evidence was incapable of proving habitat “at the time.” In doing so, the OCJ converted a consideration bearing on evidentiary weight into a legal threshold and foreclosed circumstantial proof the statute permits.</w:t>
      </w:r>
    </w:p>
    <w:p w14:paraId="1C6FDF13" w14:textId="77777777" w:rsidR="004F7C45" w:rsidRDefault="0070226A">
      <w:pPr>
        <w:rPr>
          <w:sz w:val="20"/>
          <w:szCs w:val="20"/>
        </w:rPr>
      </w:pPr>
      <w:r>
        <w:tab/>
      </w:r>
      <w:r>
        <w:rPr>
          <w:i/>
          <w:iCs/>
          <w:sz w:val="20"/>
          <w:szCs w:val="20"/>
        </w:rPr>
        <w:t xml:space="preserve">Trial Reasons </w:t>
      </w:r>
      <w:r>
        <w:rPr>
          <w:sz w:val="20"/>
          <w:szCs w:val="20"/>
        </w:rPr>
        <w:t>at p 9, lines 15-20; p 10, lines 20-30.</w:t>
      </w:r>
    </w:p>
    <w:p w14:paraId="0ACDA9AE" w14:textId="77777777" w:rsidR="004F7C45" w:rsidRDefault="0070226A">
      <w:pPr>
        <w:ind w:firstLine="720"/>
        <w:rPr>
          <w:sz w:val="20"/>
          <w:szCs w:val="20"/>
        </w:rPr>
      </w:pPr>
      <w:r>
        <w:rPr>
          <w:i/>
          <w:iCs/>
          <w:sz w:val="20"/>
          <w:szCs w:val="20"/>
        </w:rPr>
        <w:t xml:space="preserve">OCJ Appeal </w:t>
      </w:r>
      <w:r>
        <w:rPr>
          <w:sz w:val="20"/>
          <w:szCs w:val="20"/>
        </w:rPr>
        <w:t>at p 15, lines 1-5.</w:t>
      </w:r>
    </w:p>
    <w:p w14:paraId="0EF34085" w14:textId="77777777" w:rsidR="004F7C45" w:rsidRDefault="0070226A">
      <w:pPr>
        <w:rPr>
          <w:sz w:val="20"/>
          <w:szCs w:val="20"/>
        </w:rPr>
      </w:pPr>
      <w:r>
        <w:rPr>
          <w:sz w:val="20"/>
          <w:szCs w:val="20"/>
        </w:rPr>
        <w:tab/>
      </w:r>
      <w:r>
        <w:rPr>
          <w:i/>
          <w:iCs/>
          <w:sz w:val="20"/>
          <w:szCs w:val="20"/>
        </w:rPr>
        <w:t xml:space="preserve">ONCA Leave </w:t>
      </w:r>
      <w:r>
        <w:rPr>
          <w:sz w:val="20"/>
          <w:szCs w:val="20"/>
        </w:rPr>
        <w:t>at paras 33, 36.</w:t>
      </w:r>
    </w:p>
    <w:p w14:paraId="24FEECA9" w14:textId="77777777" w:rsidR="004F7C45" w:rsidRDefault="0070226A">
      <w:pPr>
        <w:rPr>
          <w:sz w:val="20"/>
          <w:szCs w:val="20"/>
        </w:rPr>
      </w:pPr>
      <w:r>
        <w:rPr>
          <w:sz w:val="20"/>
          <w:szCs w:val="20"/>
        </w:rPr>
        <w:tab/>
      </w:r>
      <w:r>
        <w:rPr>
          <w:i/>
          <w:iCs/>
          <w:sz w:val="20"/>
          <w:szCs w:val="20"/>
        </w:rPr>
        <w:t xml:space="preserve">ESA </w:t>
      </w:r>
      <w:r>
        <w:rPr>
          <w:sz w:val="20"/>
          <w:szCs w:val="20"/>
        </w:rPr>
        <w:t>at s. 2(2).</w:t>
      </w:r>
    </w:p>
    <w:p w14:paraId="62C9C7AA" w14:textId="77777777" w:rsidR="004F7C45" w:rsidRDefault="0070226A">
      <w:pPr>
        <w:numPr>
          <w:ilvl w:val="0"/>
          <w:numId w:val="6"/>
        </w:numPr>
        <w:spacing w:before="240" w:after="240" w:line="360" w:lineRule="auto"/>
      </w:pPr>
      <w:r>
        <w:t>Nothing in s. 2(1)(b) or s. 2(2) displaces ordinary methods of proof. Habitat may be established through circumstantial evidence and reasonable inference drawn from the record. The trial justice applied that approach. She found that existing members were using and depending on the Circle Lake wetland complex within s. 2(1)(b), relying on sightings across multiple years in the same complex and expert evidence to support a reasonable inference of an ongoing local population, not a long-extirpated or merely hy</w:t>
      </w:r>
      <w:r>
        <w:t>pothetical one.</w:t>
      </w:r>
    </w:p>
    <w:p w14:paraId="71FDAE67" w14:textId="77777777" w:rsidR="004F7C45" w:rsidRDefault="0070226A">
      <w:pPr>
        <w:rPr>
          <w:sz w:val="20"/>
          <w:szCs w:val="20"/>
        </w:rPr>
      </w:pPr>
      <w:r>
        <w:lastRenderedPageBreak/>
        <w:tab/>
      </w:r>
      <w:r>
        <w:rPr>
          <w:i/>
          <w:iCs/>
          <w:sz w:val="20"/>
          <w:szCs w:val="20"/>
        </w:rPr>
        <w:t xml:space="preserve">R v Villaroman </w:t>
      </w:r>
      <w:r>
        <w:rPr>
          <w:sz w:val="20"/>
          <w:szCs w:val="20"/>
        </w:rPr>
        <w:t>2016 SCC 33 [</w:t>
      </w:r>
      <w:r>
        <w:rPr>
          <w:i/>
          <w:iCs/>
          <w:sz w:val="20"/>
          <w:szCs w:val="20"/>
        </w:rPr>
        <w:t>Villaroman</w:t>
      </w:r>
      <w:r>
        <w:rPr>
          <w:sz w:val="20"/>
          <w:szCs w:val="20"/>
        </w:rPr>
        <w:t>]</w:t>
      </w:r>
      <w:r>
        <w:rPr>
          <w:i/>
          <w:iCs/>
          <w:sz w:val="20"/>
          <w:szCs w:val="20"/>
        </w:rPr>
        <w:t xml:space="preserve"> </w:t>
      </w:r>
      <w:r>
        <w:rPr>
          <w:sz w:val="20"/>
          <w:szCs w:val="20"/>
        </w:rPr>
        <w:t>at paras 24, 35-38.</w:t>
      </w:r>
    </w:p>
    <w:p w14:paraId="2C18A9F8" w14:textId="77777777" w:rsidR="004F7C45" w:rsidRDefault="0070226A">
      <w:pPr>
        <w:rPr>
          <w:sz w:val="20"/>
          <w:szCs w:val="20"/>
        </w:rPr>
      </w:pPr>
      <w:r>
        <w:rPr>
          <w:sz w:val="20"/>
          <w:szCs w:val="20"/>
        </w:rPr>
        <w:tab/>
      </w:r>
      <w:r>
        <w:rPr>
          <w:i/>
          <w:iCs/>
          <w:sz w:val="20"/>
          <w:szCs w:val="20"/>
        </w:rPr>
        <w:t xml:space="preserve">Trial Reasons </w:t>
      </w:r>
      <w:r>
        <w:rPr>
          <w:sz w:val="20"/>
          <w:szCs w:val="20"/>
        </w:rPr>
        <w:t>at p 14, lines 1-10.</w:t>
      </w:r>
    </w:p>
    <w:p w14:paraId="493D4F02" w14:textId="77777777" w:rsidR="004F7C45" w:rsidRDefault="0070226A">
      <w:pPr>
        <w:rPr>
          <w:sz w:val="20"/>
          <w:szCs w:val="20"/>
        </w:rPr>
      </w:pPr>
      <w:r>
        <w:rPr>
          <w:sz w:val="20"/>
          <w:szCs w:val="20"/>
        </w:rPr>
        <w:tab/>
      </w:r>
      <w:r>
        <w:rPr>
          <w:i/>
          <w:iCs/>
          <w:sz w:val="20"/>
          <w:szCs w:val="20"/>
        </w:rPr>
        <w:t xml:space="preserve">ONCA Leave </w:t>
      </w:r>
      <w:r>
        <w:rPr>
          <w:sz w:val="20"/>
          <w:szCs w:val="20"/>
        </w:rPr>
        <w:t>at paras 6-7, 33, 36-37.</w:t>
      </w:r>
    </w:p>
    <w:p w14:paraId="500CD73E" w14:textId="77777777" w:rsidR="004F7C45" w:rsidRDefault="0070226A">
      <w:pPr>
        <w:numPr>
          <w:ilvl w:val="0"/>
          <w:numId w:val="6"/>
        </w:numPr>
        <w:spacing w:before="240" w:after="240" w:line="360" w:lineRule="auto"/>
      </w:pPr>
      <w:r>
        <w:t>The OCJ appeal decision’s intervention, therefore, rested on legal error. By importing a contemporaneity requirement into s. 2, the OCJ appeal decision applied the wrong legal test and then used its view of the test to label probative evidence “irrelevant.” On a correctness standard, that approach cannot stand. As a result, this Court should reverse the OCJ appeal decision and restore the conviction.</w:t>
      </w:r>
    </w:p>
    <w:p w14:paraId="17AA455C" w14:textId="77777777" w:rsidR="004F7C45" w:rsidRDefault="0070226A">
      <w:pPr>
        <w:pStyle w:val="Heading3"/>
        <w:numPr>
          <w:ilvl w:val="2"/>
          <w:numId w:val="5"/>
        </w:numPr>
        <w:spacing w:after="240"/>
        <w:rPr>
          <w:b w:val="0"/>
          <w:bCs w:val="0"/>
          <w:sz w:val="24"/>
          <w:szCs w:val="24"/>
        </w:rPr>
      </w:pPr>
      <w:bookmarkStart w:id="8" w:name="_heading=h.rch920togem0" w:colFirst="0" w:colLast="0"/>
      <w:bookmarkEnd w:id="8"/>
      <w:r>
        <w:rPr>
          <w:rFonts w:ascii="Times New Roman" w:eastAsia="Times New Roman" w:hAnsi="Times New Roman" w:cs="Times New Roman"/>
          <w:b w:val="0"/>
          <w:bCs w:val="0"/>
          <w:sz w:val="24"/>
          <w:szCs w:val="24"/>
          <w:u w:val="single"/>
        </w:rPr>
        <w:t>The OCJ Misapplied the Palpable and Overriding Error Standard by Reweighing the Evidence</w:t>
      </w:r>
    </w:p>
    <w:p w14:paraId="7A339A1C" w14:textId="77777777" w:rsidR="004F7C45" w:rsidRDefault="0070226A">
      <w:pPr>
        <w:numPr>
          <w:ilvl w:val="0"/>
          <w:numId w:val="6"/>
        </w:numPr>
        <w:spacing w:before="240" w:after="240" w:line="360" w:lineRule="auto"/>
      </w:pPr>
      <w:r>
        <w:t xml:space="preserve">In the </w:t>
      </w:r>
      <w:r>
        <w:t>alternative, even if the habitat provisions could reasonably admit of competing views on this record, the OCJ appeal decision still could not displace the trial justice’s finding of mixed fact and law that the area constituted “habitat” for purposes of the legislation, absent a palpable and overriding error. The trial justice drew a factual inference that existing Blanding’s Turtles were using and depending on the Circle Lake habitat complex during the summer of 2018, based on the full evidentiary record ta</w:t>
      </w:r>
      <w:r>
        <w:t>ken as a whole, and applied the test to those facts.</w:t>
      </w:r>
    </w:p>
    <w:p w14:paraId="28AC0D26" w14:textId="77777777" w:rsidR="004F7C45" w:rsidRDefault="0070226A">
      <w:pPr>
        <w:spacing w:before="240" w:after="240" w:line="360" w:lineRule="auto"/>
        <w:rPr>
          <w:sz w:val="20"/>
          <w:szCs w:val="20"/>
        </w:rPr>
      </w:pPr>
      <w:r>
        <w:tab/>
      </w:r>
      <w:r>
        <w:rPr>
          <w:i/>
          <w:iCs/>
          <w:sz w:val="20"/>
          <w:szCs w:val="20"/>
        </w:rPr>
        <w:t xml:space="preserve">Nikolaisen, </w:t>
      </w:r>
      <w:r>
        <w:rPr>
          <w:sz w:val="20"/>
          <w:szCs w:val="20"/>
        </w:rPr>
        <w:t>at para 26, 33-35, 37.</w:t>
      </w:r>
    </w:p>
    <w:p w14:paraId="6B8130B6" w14:textId="77777777" w:rsidR="004F7C45" w:rsidRDefault="0070226A">
      <w:pPr>
        <w:numPr>
          <w:ilvl w:val="0"/>
          <w:numId w:val="6"/>
        </w:numPr>
        <w:spacing w:before="240" w:after="240" w:line="360" w:lineRule="auto"/>
      </w:pPr>
      <w:r>
        <w:t>An appeal is not a retrial. The appellate function is not to revisit the record and substitute a different view of what the evidence establishes. Intervention is warranted only where a palpable error, one that is plainly seen, has led to an erroneous result. That limit is engaged where the trial judge’s conclusion reflects an assessment of the evidence as a whole and the inferences reasonably drawn from it.</w:t>
      </w:r>
    </w:p>
    <w:p w14:paraId="5636A203" w14:textId="77777777" w:rsidR="004F7C45" w:rsidRDefault="0070226A">
      <w:pPr>
        <w:spacing w:before="240" w:after="240" w:line="360" w:lineRule="auto"/>
        <w:rPr>
          <w:sz w:val="20"/>
          <w:szCs w:val="20"/>
        </w:rPr>
      </w:pPr>
      <w:r>
        <w:tab/>
      </w:r>
      <w:r>
        <w:rPr>
          <w:i/>
          <w:iCs/>
          <w:sz w:val="20"/>
          <w:szCs w:val="20"/>
        </w:rPr>
        <w:t xml:space="preserve">Nikolaisen </w:t>
      </w:r>
      <w:r>
        <w:rPr>
          <w:sz w:val="20"/>
          <w:szCs w:val="20"/>
        </w:rPr>
        <w:t>at paras 5, 7, 20, 23.</w:t>
      </w:r>
    </w:p>
    <w:p w14:paraId="08F23C83" w14:textId="77777777" w:rsidR="004F7C45" w:rsidRDefault="0070226A">
      <w:pPr>
        <w:numPr>
          <w:ilvl w:val="0"/>
          <w:numId w:val="6"/>
        </w:numPr>
        <w:spacing w:before="240" w:after="240" w:line="360" w:lineRule="auto"/>
      </w:pPr>
      <w:r>
        <w:t>The trial justice’s conclusion that the site was habitat rested on an inferential mosaic drawn from the history of sightings within the same wetland complex, the site’s wetland and upland features, and expert evidence connecting those features to the species’ life processes. In reaching that conclusion, the trial justice necessarily weighed the relevant evidence, decided what weight to give it, and made factual findings. On appeal, the question is not whether the inference can be supported on the record, bu</w:t>
      </w:r>
      <w:r>
        <w:t xml:space="preserve">t whether the trial justice made a palpable and </w:t>
      </w:r>
      <w:r>
        <w:lastRenderedPageBreak/>
        <w:t>overriding error in drawing it. Where there is evidence capable of supporting the inference, an appellate court will be hard pressed to find palpable and overriding error, because intervention would amount to second-guessing the weight assigned to the evidence, which is not the appellate role.</w:t>
      </w:r>
    </w:p>
    <w:p w14:paraId="500824E3" w14:textId="77777777" w:rsidR="004F7C45" w:rsidRDefault="0070226A">
      <w:pPr>
        <w:widowControl w:val="0"/>
        <w:ind w:left="720" w:right="720"/>
        <w:rPr>
          <w:sz w:val="20"/>
          <w:szCs w:val="20"/>
        </w:rPr>
      </w:pPr>
      <w:r>
        <w:rPr>
          <w:i/>
          <w:iCs/>
          <w:sz w:val="20"/>
          <w:szCs w:val="20"/>
        </w:rPr>
        <w:t xml:space="preserve">Nikolaisen </w:t>
      </w:r>
      <w:r>
        <w:rPr>
          <w:sz w:val="20"/>
          <w:szCs w:val="20"/>
        </w:rPr>
        <w:t>at paras 7, 22, 23, 24.</w:t>
      </w:r>
    </w:p>
    <w:p w14:paraId="637BF440" w14:textId="77777777" w:rsidR="004F7C45" w:rsidRDefault="0070226A">
      <w:pPr>
        <w:widowControl w:val="0"/>
        <w:ind w:left="720" w:right="720"/>
        <w:rPr>
          <w:sz w:val="20"/>
          <w:szCs w:val="20"/>
        </w:rPr>
      </w:pPr>
      <w:r>
        <w:rPr>
          <w:i/>
          <w:iCs/>
          <w:sz w:val="20"/>
          <w:szCs w:val="20"/>
        </w:rPr>
        <w:t xml:space="preserve">Trial Reasons </w:t>
      </w:r>
      <w:r>
        <w:rPr>
          <w:sz w:val="20"/>
          <w:szCs w:val="20"/>
        </w:rPr>
        <w:t>at p 6, lines 1-5, p 9, lines 15-25, p 10, lines 10-25.</w:t>
      </w:r>
    </w:p>
    <w:p w14:paraId="255628A6" w14:textId="77777777" w:rsidR="004F7C45" w:rsidRDefault="0070226A">
      <w:pPr>
        <w:widowControl w:val="0"/>
        <w:ind w:left="720" w:right="720"/>
        <w:rPr>
          <w:sz w:val="20"/>
          <w:szCs w:val="20"/>
        </w:rPr>
      </w:pPr>
      <w:r>
        <w:rPr>
          <w:i/>
          <w:iCs/>
          <w:sz w:val="20"/>
          <w:szCs w:val="20"/>
        </w:rPr>
        <w:t xml:space="preserve">ONCA Leave </w:t>
      </w:r>
      <w:r>
        <w:rPr>
          <w:sz w:val="20"/>
          <w:szCs w:val="20"/>
        </w:rPr>
        <w:t>at para 6.</w:t>
      </w:r>
    </w:p>
    <w:p w14:paraId="75622345" w14:textId="77777777" w:rsidR="004F7C45" w:rsidRDefault="0070226A">
      <w:pPr>
        <w:numPr>
          <w:ilvl w:val="0"/>
          <w:numId w:val="6"/>
        </w:numPr>
        <w:spacing w:before="240" w:after="240" w:line="360" w:lineRule="auto"/>
      </w:pPr>
      <w:r>
        <w:t>Despite this high standard, the OCJ appeal justice did not identify a palpable error in the trial justice’s underlying findings, nor a palpable defect in the inference-drawing process. Instead, without reference to the governing standard of review, the OCJ appeal justice effectively reassessed the significance of the sightings and treated their timing as disqualifying. In doing so, she displaced a permissible inference drawn by the trial justice, because the OCJ appeal justice would have weighed the factual</w:t>
      </w:r>
      <w:r>
        <w:t xml:space="preserve"> matrix differently. That is impermissible substitution, not proper appellate review. The OCJ appeal decision’s intervention therefore, cannot stand, and the trial justice’s conviction should be restored.</w:t>
      </w:r>
    </w:p>
    <w:p w14:paraId="50F00C65" w14:textId="77777777" w:rsidR="004F7C45" w:rsidRDefault="0070226A">
      <w:pPr>
        <w:widowControl w:val="0"/>
        <w:rPr>
          <w:sz w:val="20"/>
          <w:szCs w:val="20"/>
        </w:rPr>
      </w:pPr>
      <w:r>
        <w:tab/>
      </w:r>
      <w:r>
        <w:rPr>
          <w:i/>
          <w:iCs/>
          <w:sz w:val="20"/>
          <w:szCs w:val="20"/>
        </w:rPr>
        <w:t xml:space="preserve">Nikolaisen </w:t>
      </w:r>
      <w:r>
        <w:rPr>
          <w:sz w:val="20"/>
          <w:szCs w:val="20"/>
        </w:rPr>
        <w:t>at paras 23, 32, 58.</w:t>
      </w:r>
    </w:p>
    <w:p w14:paraId="24186220" w14:textId="77777777" w:rsidR="004F7C45" w:rsidRDefault="0070226A">
      <w:pPr>
        <w:widowControl w:val="0"/>
        <w:rPr>
          <w:sz w:val="20"/>
          <w:szCs w:val="20"/>
        </w:rPr>
      </w:pPr>
      <w:r>
        <w:rPr>
          <w:sz w:val="20"/>
          <w:szCs w:val="20"/>
        </w:rPr>
        <w:tab/>
      </w:r>
    </w:p>
    <w:p w14:paraId="56791A86" w14:textId="77777777" w:rsidR="004F7C45" w:rsidRDefault="004F7C45">
      <w:pPr>
        <w:widowControl w:val="0"/>
      </w:pPr>
    </w:p>
    <w:p w14:paraId="7EFB69A8" w14:textId="77777777" w:rsidR="004F7C45" w:rsidRDefault="0070226A">
      <w:pPr>
        <w:pStyle w:val="Heading2"/>
        <w:numPr>
          <w:ilvl w:val="1"/>
          <w:numId w:val="5"/>
        </w:numPr>
        <w:spacing w:before="0" w:after="200"/>
        <w:rPr>
          <w:rFonts w:ascii="Times New Roman" w:eastAsia="Times New Roman" w:hAnsi="Times New Roman" w:cs="Times New Roman"/>
          <w:i w:val="0"/>
          <w:iCs w:val="0"/>
        </w:rPr>
      </w:pPr>
      <w:bookmarkStart w:id="9" w:name="_heading=h.jyafxoydz65a" w:colFirst="0" w:colLast="0"/>
      <w:bookmarkEnd w:id="9"/>
      <w:r>
        <w:rPr>
          <w:rFonts w:ascii="Times New Roman" w:eastAsia="Times New Roman" w:hAnsi="Times New Roman" w:cs="Times New Roman"/>
          <w:i w:val="0"/>
          <w:iCs w:val="0"/>
          <w:sz w:val="24"/>
          <w:szCs w:val="24"/>
        </w:rPr>
        <w:t>The Trial Justice Properly Relied on the GHD as Technical Context and Expert Foundation</w:t>
      </w:r>
    </w:p>
    <w:p w14:paraId="0E115037" w14:textId="77777777" w:rsidR="004F7C45" w:rsidRDefault="0070226A">
      <w:pPr>
        <w:numPr>
          <w:ilvl w:val="0"/>
          <w:numId w:val="6"/>
        </w:numPr>
        <w:spacing w:after="200" w:line="360" w:lineRule="auto"/>
      </w:pPr>
      <w:r>
        <w:rPr>
          <w:sz w:val="14"/>
          <w:szCs w:val="14"/>
        </w:rPr>
        <w:t xml:space="preserve"> </w:t>
      </w:r>
      <w:r>
        <w:t>The OCJ appeal decision found that the GHD is “not a legal instrument” and then treated that as a reason to fault the trial justice for relying on the GHD. To this extent, the OCJ appeal decision committed an error of law reviewable for correctness because legal status does not bar using technical materials as expert foundation or contextual aid. The trial justice used the GHD for proper evidentiary purposes, and the OCJ appeal decision failed to demonstrate a palpable and overriding error with that use.</w:t>
      </w:r>
    </w:p>
    <w:p w14:paraId="493EFCF6" w14:textId="77777777" w:rsidR="004F7C45" w:rsidRDefault="0070226A">
      <w:pPr>
        <w:ind w:firstLine="720"/>
        <w:rPr>
          <w:sz w:val="20"/>
          <w:szCs w:val="20"/>
        </w:rPr>
      </w:pPr>
      <w:r>
        <w:rPr>
          <w:i/>
          <w:iCs/>
          <w:sz w:val="20"/>
          <w:szCs w:val="20"/>
        </w:rPr>
        <w:t xml:space="preserve">OCJ Appeal </w:t>
      </w:r>
      <w:r>
        <w:rPr>
          <w:sz w:val="20"/>
          <w:szCs w:val="20"/>
        </w:rPr>
        <w:t>at p 10 lines 15-30.</w:t>
      </w:r>
    </w:p>
    <w:p w14:paraId="107B3EF0" w14:textId="77777777" w:rsidR="004F7C45" w:rsidRDefault="0070226A">
      <w:pPr>
        <w:ind w:firstLine="720"/>
        <w:rPr>
          <w:sz w:val="20"/>
          <w:szCs w:val="20"/>
        </w:rPr>
      </w:pPr>
      <w:r>
        <w:rPr>
          <w:i/>
          <w:iCs/>
          <w:sz w:val="20"/>
          <w:szCs w:val="20"/>
        </w:rPr>
        <w:t xml:space="preserve">Nikolaisen </w:t>
      </w:r>
      <w:r>
        <w:rPr>
          <w:sz w:val="20"/>
          <w:szCs w:val="20"/>
        </w:rPr>
        <w:t>at para 10.</w:t>
      </w:r>
    </w:p>
    <w:p w14:paraId="632A414C" w14:textId="77777777" w:rsidR="004F7C45" w:rsidRDefault="004F7C45">
      <w:pPr>
        <w:ind w:firstLine="720"/>
        <w:rPr>
          <w:sz w:val="20"/>
          <w:szCs w:val="20"/>
        </w:rPr>
      </w:pPr>
    </w:p>
    <w:p w14:paraId="6717DEB8" w14:textId="77777777" w:rsidR="004F7C45" w:rsidRDefault="0070226A">
      <w:pPr>
        <w:numPr>
          <w:ilvl w:val="0"/>
          <w:numId w:val="6"/>
        </w:numPr>
        <w:spacing w:after="200" w:line="360" w:lineRule="auto"/>
      </w:pPr>
      <w:r>
        <w:t xml:space="preserve">In her reasons for judgment, the trial justice stated that she “heard evidence that according to the GHD, the technical document for Blanding’s turtles, that because the area was within 30 metres of the Circle Lake wetland boundary it was a category 2 Blanding’s turtle </w:t>
      </w:r>
      <w:r>
        <w:lastRenderedPageBreak/>
        <w:t xml:space="preserve">habitat.” The trial justice later stated that evidence provided by conservation officers “supported the evidence” of the GHD. </w:t>
      </w:r>
    </w:p>
    <w:p w14:paraId="19C81815" w14:textId="77777777" w:rsidR="004F7C45" w:rsidRDefault="0070226A">
      <w:pPr>
        <w:spacing w:before="240" w:after="240" w:line="360" w:lineRule="auto"/>
        <w:ind w:firstLine="720"/>
        <w:rPr>
          <w:sz w:val="20"/>
          <w:szCs w:val="20"/>
        </w:rPr>
      </w:pPr>
      <w:r>
        <w:rPr>
          <w:i/>
          <w:iCs/>
          <w:sz w:val="20"/>
          <w:szCs w:val="20"/>
        </w:rPr>
        <w:t xml:space="preserve">Trial Reasons </w:t>
      </w:r>
      <w:r>
        <w:rPr>
          <w:sz w:val="20"/>
          <w:szCs w:val="20"/>
        </w:rPr>
        <w:t>at p 5, lines 30-33; p 6, lines 1-3, 10-15.</w:t>
      </w:r>
    </w:p>
    <w:p w14:paraId="2C508BF0" w14:textId="77777777" w:rsidR="004F7C45" w:rsidRDefault="0070226A">
      <w:pPr>
        <w:numPr>
          <w:ilvl w:val="0"/>
          <w:numId w:val="6"/>
        </w:numPr>
        <w:spacing w:after="200" w:line="360" w:lineRule="auto"/>
      </w:pPr>
      <w:r>
        <w:t>It appears that the trial justice’s treatment of the GHD was based, at least in part, on Mr. Snell’s reliance on it in giving his expert opinion. For instance, in the OCJ appeal decision, the OCJ appeal decision cited transcripts from the original trial in which Mr. Snell testifies that his expert opinion was based on his own observations, his education, and “scientific literature” based on the GHD’s description of the Blanding’s turtle’s habitat.</w:t>
      </w:r>
    </w:p>
    <w:p w14:paraId="29153368" w14:textId="77777777" w:rsidR="004F7C45" w:rsidRDefault="0070226A">
      <w:pPr>
        <w:spacing w:before="240" w:after="240" w:line="360" w:lineRule="auto"/>
        <w:ind w:firstLine="720"/>
      </w:pPr>
      <w:r>
        <w:rPr>
          <w:i/>
          <w:iCs/>
          <w:sz w:val="20"/>
          <w:szCs w:val="20"/>
        </w:rPr>
        <w:t xml:space="preserve">OCJ Appeal </w:t>
      </w:r>
      <w:r>
        <w:rPr>
          <w:sz w:val="20"/>
          <w:szCs w:val="20"/>
        </w:rPr>
        <w:t>at p 12, lines 20-30.</w:t>
      </w:r>
    </w:p>
    <w:p w14:paraId="2D61DF9E" w14:textId="77777777" w:rsidR="004F7C45" w:rsidRDefault="0070226A">
      <w:pPr>
        <w:numPr>
          <w:ilvl w:val="0"/>
          <w:numId w:val="6"/>
        </w:numPr>
        <w:spacing w:after="200" w:line="360" w:lineRule="auto"/>
      </w:pPr>
      <w:r>
        <w:t xml:space="preserve">The record does not demonstrate that the trial justice used the GHD as a legal authority. Rather, the trial justice used the GHD as evidence. The GHD provided technical information that helped assess the Blanding’s turtle’s habitat, including the kinds of land that the Blanding’s turtle directly or indirectly relies on, and whether its habitat applied to this case. </w:t>
      </w:r>
    </w:p>
    <w:p w14:paraId="1ECC8B24" w14:textId="77777777" w:rsidR="004F7C45" w:rsidRDefault="0070226A">
      <w:pPr>
        <w:numPr>
          <w:ilvl w:val="0"/>
          <w:numId w:val="6"/>
        </w:numPr>
        <w:spacing w:after="200" w:line="360" w:lineRule="auto"/>
      </w:pPr>
      <w:r>
        <w:t xml:space="preserve">Whether the trial justice referred to the GHD directly or, alternatively, to Mr. Snell’s use of the GHD, she did so properly. As part of Mr. Snell’s opinion, the trial justice heard that Mr. Snell relied on the GHD alongside other factors to opine that the property at issue constituted Blanding’s turtle habitat. That is consistent with how experts use technical sources and how trial judges weigh them. </w:t>
      </w:r>
    </w:p>
    <w:p w14:paraId="28029648" w14:textId="77777777" w:rsidR="004F7C45" w:rsidRDefault="0070226A">
      <w:pPr>
        <w:numPr>
          <w:ilvl w:val="0"/>
          <w:numId w:val="6"/>
        </w:numPr>
        <w:spacing w:after="200" w:line="360" w:lineRule="auto"/>
      </w:pPr>
      <w:r>
        <w:t>Experts can base their opinions on reasonably relied-upon secondary materials. The information relied on by experts is not evidence, but it can be used to demonstrate the information on which they based their opinion.</w:t>
      </w:r>
    </w:p>
    <w:p w14:paraId="064C1676" w14:textId="77777777" w:rsidR="004F7C45" w:rsidRDefault="0070226A">
      <w:pPr>
        <w:ind w:firstLine="720"/>
        <w:rPr>
          <w:sz w:val="20"/>
          <w:szCs w:val="20"/>
        </w:rPr>
      </w:pPr>
      <w:r>
        <w:rPr>
          <w:i/>
          <w:iCs/>
          <w:sz w:val="20"/>
          <w:szCs w:val="20"/>
        </w:rPr>
        <w:t>R v SAB</w:t>
      </w:r>
      <w:r>
        <w:rPr>
          <w:sz w:val="20"/>
          <w:szCs w:val="20"/>
        </w:rPr>
        <w:t>, 2003 SCC 60.</w:t>
      </w:r>
    </w:p>
    <w:p w14:paraId="3006593A" w14:textId="77777777" w:rsidR="004F7C45" w:rsidRDefault="0070226A">
      <w:pPr>
        <w:ind w:firstLine="720"/>
        <w:rPr>
          <w:sz w:val="20"/>
          <w:szCs w:val="20"/>
        </w:rPr>
      </w:pPr>
      <w:r>
        <w:rPr>
          <w:i/>
          <w:iCs/>
          <w:sz w:val="20"/>
          <w:szCs w:val="20"/>
        </w:rPr>
        <w:t>R v Burns</w:t>
      </w:r>
      <w:r>
        <w:rPr>
          <w:sz w:val="20"/>
          <w:szCs w:val="20"/>
        </w:rPr>
        <w:t>, 1994 CanLII 127, [1994] 1 SCR 656 (SCC).</w:t>
      </w:r>
    </w:p>
    <w:p w14:paraId="7E99CDEC" w14:textId="77777777" w:rsidR="004F7C45" w:rsidRDefault="004F7C45">
      <w:pPr>
        <w:ind w:firstLine="720"/>
        <w:rPr>
          <w:sz w:val="20"/>
          <w:szCs w:val="20"/>
        </w:rPr>
      </w:pPr>
    </w:p>
    <w:p w14:paraId="6D7DDE5A" w14:textId="77777777" w:rsidR="004F7C45" w:rsidRDefault="0070226A">
      <w:pPr>
        <w:numPr>
          <w:ilvl w:val="0"/>
          <w:numId w:val="6"/>
        </w:numPr>
        <w:spacing w:after="200" w:line="360" w:lineRule="auto"/>
      </w:pPr>
      <w:r>
        <w:t xml:space="preserve">The weight given to evidence, including expert opinion, is a question of fact. The trial judge determines the weight to assign to the evidence at trial, “including the </w:t>
      </w:r>
      <w:r>
        <w:t>testimony of experts”. The trial justice was entitled to assign the weight that they did to the GHD and Mr. Snell’s testimony.</w:t>
      </w:r>
    </w:p>
    <w:p w14:paraId="10C81A36" w14:textId="77777777" w:rsidR="004F7C45" w:rsidRDefault="0070226A">
      <w:pPr>
        <w:rPr>
          <w:sz w:val="20"/>
          <w:szCs w:val="20"/>
        </w:rPr>
      </w:pPr>
      <w:r>
        <w:rPr>
          <w:sz w:val="20"/>
          <w:szCs w:val="20"/>
        </w:rPr>
        <w:tab/>
      </w:r>
      <w:r>
        <w:rPr>
          <w:i/>
          <w:iCs/>
          <w:sz w:val="20"/>
          <w:szCs w:val="20"/>
        </w:rPr>
        <w:t>R v Millar</w:t>
      </w:r>
      <w:r>
        <w:rPr>
          <w:sz w:val="20"/>
          <w:szCs w:val="20"/>
        </w:rPr>
        <w:t>, 1989 CanLII 7151, 49 CCC (3d) 193 (SCC) at para 220.</w:t>
      </w:r>
    </w:p>
    <w:p w14:paraId="67A2324D" w14:textId="77777777" w:rsidR="004F7C45" w:rsidRDefault="0070226A">
      <w:pPr>
        <w:ind w:firstLine="720"/>
        <w:rPr>
          <w:sz w:val="20"/>
          <w:szCs w:val="20"/>
        </w:rPr>
      </w:pPr>
      <w:r>
        <w:rPr>
          <w:i/>
          <w:iCs/>
          <w:sz w:val="20"/>
          <w:szCs w:val="20"/>
        </w:rPr>
        <w:lastRenderedPageBreak/>
        <w:t>R v Doodnaught</w:t>
      </w:r>
      <w:r>
        <w:rPr>
          <w:sz w:val="20"/>
          <w:szCs w:val="20"/>
        </w:rPr>
        <w:t>, 2017 ONCA 781 at para 129.</w:t>
      </w:r>
    </w:p>
    <w:p w14:paraId="5470A603" w14:textId="77777777" w:rsidR="004F7C45" w:rsidRDefault="004F7C45">
      <w:pPr>
        <w:ind w:firstLine="720"/>
        <w:rPr>
          <w:sz w:val="20"/>
          <w:szCs w:val="20"/>
        </w:rPr>
      </w:pPr>
    </w:p>
    <w:p w14:paraId="009DAC77" w14:textId="77777777" w:rsidR="004F7C45" w:rsidRDefault="0070226A">
      <w:pPr>
        <w:numPr>
          <w:ilvl w:val="0"/>
          <w:numId w:val="6"/>
        </w:numPr>
        <w:spacing w:after="200" w:line="360" w:lineRule="auto"/>
      </w:pPr>
      <w:r>
        <w:t xml:space="preserve">On this record, the trial justice used the GHD as technical evidence regarding the Blanding’s turtle’s habitat or as information that informed Mr. Snell’s expert opinion. The OCJ appeal decision found the GHD was not a legal instrument and dismissed its evidentiary value. In doing so, the OCJ appeal decision failed to demonstrate a palpable and overriding error in the evidentiary purpose given to the GHD by the trial justice. </w:t>
      </w:r>
    </w:p>
    <w:p w14:paraId="3BEE0FDF" w14:textId="77777777" w:rsidR="004F7C45" w:rsidRDefault="0070226A">
      <w:pPr>
        <w:numPr>
          <w:ilvl w:val="0"/>
          <w:numId w:val="6"/>
        </w:numPr>
        <w:spacing w:after="200" w:line="360" w:lineRule="auto"/>
      </w:pPr>
      <w:r>
        <w:t xml:space="preserve">Alternatively, the GHD is admissible under the public document exception to the hearsay rule. The public document exception to the hearsay rule holds that reports by public officials are “admissible for the truth of their contents”. </w:t>
      </w:r>
    </w:p>
    <w:p w14:paraId="36E3B229" w14:textId="77777777" w:rsidR="004F7C45" w:rsidRDefault="0070226A">
      <w:pPr>
        <w:spacing w:after="200" w:line="360" w:lineRule="auto"/>
        <w:ind w:firstLine="720"/>
        <w:rPr>
          <w:sz w:val="20"/>
          <w:szCs w:val="20"/>
        </w:rPr>
      </w:pPr>
      <w:r>
        <w:rPr>
          <w:i/>
          <w:iCs/>
          <w:sz w:val="20"/>
          <w:szCs w:val="20"/>
        </w:rPr>
        <w:t>JN v CG</w:t>
      </w:r>
      <w:r>
        <w:rPr>
          <w:sz w:val="20"/>
          <w:szCs w:val="20"/>
        </w:rPr>
        <w:t>, 2023 ONCA 77 at para 26.</w:t>
      </w:r>
    </w:p>
    <w:p w14:paraId="58368D29" w14:textId="77777777" w:rsidR="004F7C45" w:rsidRDefault="0070226A">
      <w:pPr>
        <w:numPr>
          <w:ilvl w:val="0"/>
          <w:numId w:val="6"/>
        </w:numPr>
        <w:spacing w:after="200" w:line="360" w:lineRule="auto"/>
      </w:pPr>
      <w:r>
        <w:t>The test for the public document exception is:</w:t>
      </w:r>
    </w:p>
    <w:p w14:paraId="3FD23590" w14:textId="77777777" w:rsidR="004F7C45" w:rsidRDefault="0070226A">
      <w:pPr>
        <w:numPr>
          <w:ilvl w:val="2"/>
          <w:numId w:val="6"/>
        </w:numPr>
        <w:spacing w:after="200" w:line="360" w:lineRule="auto"/>
      </w:pPr>
      <w:r>
        <w:t>The document was made by a public official;</w:t>
      </w:r>
    </w:p>
    <w:p w14:paraId="7E5D9CB7" w14:textId="77777777" w:rsidR="004F7C45" w:rsidRDefault="0070226A">
      <w:pPr>
        <w:numPr>
          <w:ilvl w:val="2"/>
          <w:numId w:val="6"/>
        </w:numPr>
        <w:spacing w:after="200" w:line="360" w:lineRule="auto"/>
      </w:pPr>
      <w:r>
        <w:t>The document was made by the public official in their public role;</w:t>
      </w:r>
    </w:p>
    <w:p w14:paraId="68521CA7" w14:textId="77777777" w:rsidR="004F7C45" w:rsidRDefault="0070226A">
      <w:pPr>
        <w:numPr>
          <w:ilvl w:val="2"/>
          <w:numId w:val="6"/>
        </w:numPr>
        <w:spacing w:after="200" w:line="360" w:lineRule="auto"/>
      </w:pPr>
      <w:r>
        <w:t>The document was intended to serve as a permanent record; and</w:t>
      </w:r>
    </w:p>
    <w:p w14:paraId="31221C65" w14:textId="77777777" w:rsidR="004F7C45" w:rsidRDefault="0070226A">
      <w:pPr>
        <w:numPr>
          <w:ilvl w:val="2"/>
          <w:numId w:val="6"/>
        </w:numPr>
        <w:spacing w:after="200" w:line="360" w:lineRule="auto"/>
      </w:pPr>
      <w:r>
        <w:t xml:space="preserve">The document is publicly available. </w:t>
      </w:r>
    </w:p>
    <w:p w14:paraId="04A80D7C" w14:textId="77777777" w:rsidR="004F7C45" w:rsidRDefault="0070226A">
      <w:pPr>
        <w:spacing w:before="200" w:after="200" w:line="360" w:lineRule="auto"/>
        <w:ind w:firstLine="720"/>
        <w:rPr>
          <w:sz w:val="20"/>
          <w:szCs w:val="20"/>
        </w:rPr>
      </w:pPr>
      <w:r>
        <w:rPr>
          <w:i/>
          <w:iCs/>
          <w:sz w:val="20"/>
          <w:szCs w:val="20"/>
        </w:rPr>
        <w:t>R v AP</w:t>
      </w:r>
      <w:r>
        <w:rPr>
          <w:sz w:val="20"/>
          <w:szCs w:val="20"/>
        </w:rPr>
        <w:t>, 1996 CanLII 871, 92 OAC 376 (ONCA).</w:t>
      </w:r>
    </w:p>
    <w:p w14:paraId="3E1A09C4" w14:textId="77777777" w:rsidR="004F7C45" w:rsidRDefault="0070226A">
      <w:pPr>
        <w:numPr>
          <w:ilvl w:val="0"/>
          <w:numId w:val="6"/>
        </w:numPr>
        <w:spacing w:after="200" w:line="360" w:lineRule="auto"/>
      </w:pPr>
      <w:r>
        <w:t xml:space="preserve">The GHD was made by a public official in the discharge of a public duty, was intended to serve as a permanent record regarding the Blanding’s turtle’s habitat, and it is publicly available. Therefore, the GHD is admissible under the public document exception. </w:t>
      </w:r>
    </w:p>
    <w:p w14:paraId="07F57521" w14:textId="77777777" w:rsidR="004F7C45" w:rsidRDefault="0070226A">
      <w:pPr>
        <w:numPr>
          <w:ilvl w:val="0"/>
          <w:numId w:val="6"/>
        </w:numPr>
        <w:spacing w:after="200" w:line="360" w:lineRule="auto"/>
      </w:pPr>
      <w:r>
        <w:t xml:space="preserve">Moreover, giving weight to and using the GHD aligns with the purpose of the </w:t>
      </w:r>
      <w:r>
        <w:rPr>
          <w:i/>
          <w:iCs/>
        </w:rPr>
        <w:t>ESA</w:t>
      </w:r>
      <w:r>
        <w:t xml:space="preserve">. The </w:t>
      </w:r>
      <w:r>
        <w:rPr>
          <w:i/>
          <w:iCs/>
        </w:rPr>
        <w:t>ESA</w:t>
      </w:r>
      <w:r>
        <w:t xml:space="preserve"> states that its purpose is to “identify species at risk on the best available scientific information.” It would run counter to the principle of using the “best available evidence” to ignore the GHD, which is a technical document that incorporates scientific research on the Blanding’s turtle. </w:t>
      </w:r>
    </w:p>
    <w:p w14:paraId="6E9B2D0E" w14:textId="77777777" w:rsidR="004F7C45" w:rsidRDefault="0070226A">
      <w:pPr>
        <w:spacing w:after="200" w:line="360" w:lineRule="auto"/>
        <w:ind w:firstLine="720"/>
        <w:rPr>
          <w:sz w:val="20"/>
          <w:szCs w:val="20"/>
        </w:rPr>
      </w:pPr>
      <w:r>
        <w:rPr>
          <w:i/>
          <w:iCs/>
          <w:sz w:val="20"/>
          <w:szCs w:val="20"/>
        </w:rPr>
        <w:t>ESA</w:t>
      </w:r>
      <w:r>
        <w:rPr>
          <w:sz w:val="20"/>
          <w:szCs w:val="20"/>
        </w:rPr>
        <w:t xml:space="preserve"> at s 1.</w:t>
      </w:r>
    </w:p>
    <w:p w14:paraId="521C6985" w14:textId="77777777" w:rsidR="004F7C45" w:rsidRDefault="0070226A">
      <w:pPr>
        <w:numPr>
          <w:ilvl w:val="0"/>
          <w:numId w:val="6"/>
        </w:numPr>
        <w:spacing w:after="200" w:line="360" w:lineRule="auto"/>
      </w:pPr>
      <w:r>
        <w:lastRenderedPageBreak/>
        <w:t>A trier-of-fact is afforded a “deferential standard of review” in making factual findings as well as in assigning weight to factual findings. Appellate courts are also required to provide specific, non-generic reasons for overturning a trial judge’s decision.</w:t>
      </w:r>
    </w:p>
    <w:p w14:paraId="270901D6" w14:textId="77777777" w:rsidR="004F7C45" w:rsidRDefault="0070226A">
      <w:pPr>
        <w:ind w:firstLine="720"/>
        <w:rPr>
          <w:sz w:val="20"/>
          <w:szCs w:val="20"/>
        </w:rPr>
      </w:pPr>
      <w:r>
        <w:rPr>
          <w:i/>
          <w:iCs/>
          <w:sz w:val="20"/>
          <w:szCs w:val="20"/>
        </w:rPr>
        <w:t>Nikolaisen</w:t>
      </w:r>
      <w:r>
        <w:rPr>
          <w:sz w:val="20"/>
          <w:szCs w:val="20"/>
        </w:rPr>
        <w:t xml:space="preserve"> at para 24.</w:t>
      </w:r>
    </w:p>
    <w:p w14:paraId="1F984583" w14:textId="77777777" w:rsidR="004F7C45" w:rsidRDefault="0070226A">
      <w:pPr>
        <w:ind w:firstLine="720"/>
        <w:rPr>
          <w:sz w:val="20"/>
          <w:szCs w:val="20"/>
        </w:rPr>
      </w:pPr>
      <w:r>
        <w:rPr>
          <w:i/>
          <w:iCs/>
          <w:sz w:val="20"/>
          <w:szCs w:val="20"/>
        </w:rPr>
        <w:t>R v Sheppard</w:t>
      </w:r>
      <w:r>
        <w:rPr>
          <w:sz w:val="20"/>
          <w:szCs w:val="20"/>
        </w:rPr>
        <w:t>, 2002 SCC 26</w:t>
      </w:r>
      <w:r>
        <w:rPr>
          <w:i/>
          <w:iCs/>
          <w:sz w:val="20"/>
          <w:szCs w:val="20"/>
        </w:rPr>
        <w:t xml:space="preserve"> </w:t>
      </w:r>
      <w:r>
        <w:rPr>
          <w:sz w:val="20"/>
          <w:szCs w:val="20"/>
        </w:rPr>
        <w:t>at para 4.</w:t>
      </w:r>
    </w:p>
    <w:p w14:paraId="2FAF731B" w14:textId="77777777" w:rsidR="004F7C45" w:rsidRDefault="004F7C45">
      <w:pPr>
        <w:ind w:firstLine="720"/>
        <w:rPr>
          <w:sz w:val="20"/>
          <w:szCs w:val="20"/>
        </w:rPr>
      </w:pPr>
    </w:p>
    <w:p w14:paraId="78DF9557" w14:textId="77777777" w:rsidR="004F7C45" w:rsidRDefault="0070226A">
      <w:pPr>
        <w:numPr>
          <w:ilvl w:val="0"/>
          <w:numId w:val="6"/>
        </w:numPr>
        <w:spacing w:after="200" w:line="360" w:lineRule="auto"/>
      </w:pPr>
      <w:r>
        <w:t xml:space="preserve">The trial justice had a clear basis, supported by the evidence, to afford the weight that they did to the GHD. Despite the OCJ finding that the GHD was not a “legal document,” it provided no reasons as to why the trial justice’s determination of weight to be given to the GHD should not be given deference. </w:t>
      </w:r>
    </w:p>
    <w:p w14:paraId="34713633" w14:textId="77777777" w:rsidR="004F7C45" w:rsidRDefault="0070226A">
      <w:pPr>
        <w:numPr>
          <w:ilvl w:val="0"/>
          <w:numId w:val="6"/>
        </w:numPr>
        <w:spacing w:after="200" w:line="360" w:lineRule="auto"/>
      </w:pPr>
      <w:r>
        <w:t xml:space="preserve">As a result, the court should defer to the trial justice’s use of the GHD and their assessment of weight that the GHD should be afforded, and thereby restore the trial justice’s conviction.  </w:t>
      </w:r>
    </w:p>
    <w:p w14:paraId="76390549" w14:textId="77777777" w:rsidR="004F7C45" w:rsidRDefault="0070226A">
      <w:pPr>
        <w:pStyle w:val="Heading2"/>
        <w:numPr>
          <w:ilvl w:val="1"/>
          <w:numId w:val="5"/>
        </w:numPr>
        <w:spacing w:before="0" w:after="200" w:line="360" w:lineRule="auto"/>
      </w:pPr>
      <w:bookmarkStart w:id="10" w:name="_heading=h.m2890kcyb66w" w:colFirst="0" w:colLast="0"/>
      <w:bookmarkEnd w:id="10"/>
      <w:r>
        <w:rPr>
          <w:rFonts w:ascii="Times New Roman" w:eastAsia="Times New Roman" w:hAnsi="Times New Roman" w:cs="Times New Roman"/>
          <w:i w:val="0"/>
          <w:iCs w:val="0"/>
          <w:sz w:val="24"/>
          <w:szCs w:val="24"/>
        </w:rPr>
        <w:t>The OCJ Erred by Failing to Give Effect to Indirect Dependence</w:t>
      </w:r>
    </w:p>
    <w:p w14:paraId="048CBBA8" w14:textId="77777777" w:rsidR="004F7C45" w:rsidRDefault="0070226A">
      <w:pPr>
        <w:numPr>
          <w:ilvl w:val="0"/>
          <w:numId w:val="6"/>
        </w:numPr>
        <w:spacing w:line="360" w:lineRule="auto"/>
      </w:pPr>
      <w:r>
        <w:t>The OCJ appeal justice erred by either failing to consider if, or otherwise impermissibly reweighing evidence that the Blanding’s turtles depended indirectly on the site to carry on its life processes. The OCJ appeal decision reversed the OCJ decision that the site was “habitat” based on evidence that no existing members of Blanding’s turtles were sighted in the area during the period of work, and expert testimony which indicated the site in question had the “potential for habitat”. Neither of these factors</w:t>
      </w:r>
      <w:r>
        <w:t xml:space="preserve"> preclude the possibility that Blanding’s turtles depend indirectly on the site to carry on their life processes –a possibility which the </w:t>
      </w:r>
      <w:r>
        <w:rPr>
          <w:i/>
          <w:iCs/>
        </w:rPr>
        <w:t>ESA</w:t>
      </w:r>
      <w:r>
        <w:t xml:space="preserve"> definition of habitat directly contemplates –and evidence of the turtles’ indirect dependence on the site was not addressed. This was an error in law. </w:t>
      </w:r>
    </w:p>
    <w:p w14:paraId="2607D282" w14:textId="77777777" w:rsidR="004F7C45" w:rsidRDefault="0070226A">
      <w:pPr>
        <w:pStyle w:val="Heading3"/>
        <w:numPr>
          <w:ilvl w:val="2"/>
          <w:numId w:val="5"/>
        </w:numPr>
        <w:rPr>
          <w:b w:val="0"/>
          <w:bCs w:val="0"/>
          <w:sz w:val="24"/>
          <w:szCs w:val="24"/>
        </w:rPr>
      </w:pPr>
      <w:bookmarkStart w:id="11" w:name="_heading=h.xofo5cyb9tzp" w:colFirst="0" w:colLast="0"/>
      <w:bookmarkEnd w:id="11"/>
      <w:r>
        <w:rPr>
          <w:rFonts w:ascii="Times New Roman" w:eastAsia="Times New Roman" w:hAnsi="Times New Roman" w:cs="Times New Roman"/>
          <w:b w:val="0"/>
          <w:bCs w:val="0"/>
          <w:sz w:val="24"/>
          <w:szCs w:val="24"/>
          <w:u w:val="single"/>
        </w:rPr>
        <w:t>The OCJ Decision was Decided Based on Insufficient Use and/or Occupancy of the Site</w:t>
      </w:r>
    </w:p>
    <w:p w14:paraId="15237ABA" w14:textId="77777777" w:rsidR="004F7C45" w:rsidRDefault="0070226A">
      <w:pPr>
        <w:numPr>
          <w:ilvl w:val="0"/>
          <w:numId w:val="6"/>
        </w:numPr>
        <w:spacing w:before="240" w:after="240" w:line="360" w:lineRule="auto"/>
      </w:pPr>
      <w:r>
        <w:t xml:space="preserve">While the OCJ appeal justice correctly set out the statutory definition of habitat, she unduly narrowed this definition in his reasoning by considering only whether the site was direct habitat rather than contemplating whether the turtles depended indirectly on the site as permitted by the </w:t>
      </w:r>
      <w:r>
        <w:rPr>
          <w:i/>
          <w:iCs/>
        </w:rPr>
        <w:t>ESA</w:t>
      </w:r>
      <w:r>
        <w:t>.</w:t>
      </w:r>
    </w:p>
    <w:p w14:paraId="0D27FF93" w14:textId="77777777" w:rsidR="004F7C45" w:rsidRDefault="0070226A">
      <w:pPr>
        <w:numPr>
          <w:ilvl w:val="0"/>
          <w:numId w:val="6"/>
        </w:numPr>
        <w:spacing w:before="240" w:after="240" w:line="360" w:lineRule="auto"/>
      </w:pPr>
      <w:r>
        <w:lastRenderedPageBreak/>
        <w:t xml:space="preserve">In reversing the trial justice’s ruling, the OCJ appeal decision relied “specifically” on s. 2(2) of the </w:t>
      </w:r>
      <w:r>
        <w:rPr>
          <w:i/>
          <w:iCs/>
        </w:rPr>
        <w:t>ESA</w:t>
      </w:r>
      <w:r>
        <w:t xml:space="preserve">: “the definition of ‘habitat’ … does not include an area where the species formerly occurred or has the potential to be reintroduced unless existing members of the species depend on that area to carry on their life processes.” </w:t>
      </w:r>
    </w:p>
    <w:p w14:paraId="52846140" w14:textId="77777777" w:rsidR="004F7C45" w:rsidRDefault="0070226A">
      <w:pPr>
        <w:spacing w:before="240" w:after="240" w:line="360" w:lineRule="auto"/>
        <w:ind w:firstLine="720"/>
      </w:pPr>
      <w:r>
        <w:rPr>
          <w:i/>
          <w:iCs/>
          <w:sz w:val="20"/>
          <w:szCs w:val="20"/>
        </w:rPr>
        <w:t xml:space="preserve">OCJ Appeal </w:t>
      </w:r>
      <w:r>
        <w:rPr>
          <w:sz w:val="20"/>
          <w:szCs w:val="20"/>
        </w:rPr>
        <w:t>at p 15, lines 6-8</w:t>
      </w:r>
      <w:r>
        <w:rPr>
          <w:i/>
          <w:iCs/>
          <w:sz w:val="20"/>
          <w:szCs w:val="20"/>
        </w:rPr>
        <w:t>.</w:t>
      </w:r>
    </w:p>
    <w:p w14:paraId="3B93AC97" w14:textId="77777777" w:rsidR="004F7C45" w:rsidRDefault="0070226A">
      <w:pPr>
        <w:numPr>
          <w:ilvl w:val="0"/>
          <w:numId w:val="6"/>
        </w:numPr>
        <w:spacing w:before="240" w:after="240" w:line="360" w:lineRule="auto"/>
      </w:pPr>
      <w:r>
        <w:t>The OCJ appeal decision considered four pieces of evidence which indicated the turtles did not directly use the property in question:</w:t>
      </w:r>
    </w:p>
    <w:p w14:paraId="2B50FC9E" w14:textId="77777777" w:rsidR="004F7C45" w:rsidRDefault="0070226A">
      <w:pPr>
        <w:numPr>
          <w:ilvl w:val="0"/>
          <w:numId w:val="8"/>
        </w:numPr>
        <w:spacing w:line="360" w:lineRule="auto"/>
      </w:pPr>
      <w:r>
        <w:t>The testimony of Mr. Snell that the property had “the potential for habitat” and that Mr. Snell had no “confirmation or proof that it [the property] was utilized for travel purposes, nesting, or thermogenic activities by Blanding’s turtles”;</w:t>
      </w:r>
    </w:p>
    <w:p w14:paraId="5CF7F21E" w14:textId="77777777" w:rsidR="004F7C45" w:rsidRDefault="0070226A">
      <w:pPr>
        <w:numPr>
          <w:ilvl w:val="0"/>
          <w:numId w:val="8"/>
        </w:numPr>
        <w:spacing w:line="360" w:lineRule="auto"/>
      </w:pPr>
      <w:r>
        <w:t xml:space="preserve">The regulation officer’s description of the site as having “the potential for Blanding’s turtles”, and failure to identify “the lands a Blanding’s turtles’ habitat” on June 12th, 2018;  </w:t>
      </w:r>
    </w:p>
    <w:p w14:paraId="2F1055FF" w14:textId="77777777" w:rsidR="004F7C45" w:rsidRDefault="0070226A">
      <w:pPr>
        <w:numPr>
          <w:ilvl w:val="0"/>
          <w:numId w:val="8"/>
        </w:numPr>
        <w:spacing w:line="360" w:lineRule="auto"/>
      </w:pPr>
      <w:r>
        <w:t>The trial justice’s reliance on sightings of Blanding’s Turtles at Circle Lake “approximate to”, but not within, the property in question; and</w:t>
      </w:r>
    </w:p>
    <w:p w14:paraId="20BFDD19" w14:textId="77777777" w:rsidR="004F7C45" w:rsidRDefault="0070226A">
      <w:pPr>
        <w:numPr>
          <w:ilvl w:val="0"/>
          <w:numId w:val="8"/>
        </w:numPr>
        <w:spacing w:line="360" w:lineRule="auto"/>
      </w:pPr>
      <w:r>
        <w:t>The Scope Site Environmental Impact Study Report which found there was no evidence of use, or observations of the turtles within 120m of the site during the investigation.</w:t>
      </w:r>
    </w:p>
    <w:p w14:paraId="7B91CA2A" w14:textId="77777777" w:rsidR="004F7C45" w:rsidRDefault="0070226A">
      <w:pPr>
        <w:spacing w:before="240" w:after="240" w:line="360" w:lineRule="auto"/>
        <w:ind w:firstLine="720"/>
      </w:pPr>
      <w:r>
        <w:rPr>
          <w:i/>
          <w:iCs/>
          <w:sz w:val="20"/>
          <w:szCs w:val="20"/>
        </w:rPr>
        <w:t xml:space="preserve">OCJ Appeal </w:t>
      </w:r>
      <w:r>
        <w:rPr>
          <w:sz w:val="20"/>
          <w:szCs w:val="20"/>
        </w:rPr>
        <w:t>at pp 11-14</w:t>
      </w:r>
      <w:r>
        <w:rPr>
          <w:i/>
          <w:iCs/>
          <w:sz w:val="20"/>
          <w:szCs w:val="20"/>
        </w:rPr>
        <w:t>.</w:t>
      </w:r>
    </w:p>
    <w:p w14:paraId="2305B568" w14:textId="77777777" w:rsidR="004F7C45" w:rsidRDefault="0070226A">
      <w:pPr>
        <w:numPr>
          <w:ilvl w:val="0"/>
          <w:numId w:val="6"/>
        </w:numPr>
        <w:spacing w:before="240" w:after="240" w:line="360" w:lineRule="auto"/>
      </w:pPr>
      <w:r>
        <w:t xml:space="preserve">Although not expressly articulated in his reasoning, both the evidence cited as well as the "specific" reliance on ss.2(2) make clear that the OCJ appeal justice decided the impugned site was not habitat because she believed there was insufficient evidence the area actually contained or was directly used by Blanding’s turtles rather than possessing the mere “potential” for such containment or use. As discussed below, this reading of habitat is narrower than that contemplated under the </w:t>
      </w:r>
      <w:r>
        <w:rPr>
          <w:i/>
          <w:iCs/>
        </w:rPr>
        <w:t>ESA</w:t>
      </w:r>
      <w:r>
        <w:t xml:space="preserve">. </w:t>
      </w:r>
    </w:p>
    <w:p w14:paraId="2D0D0BE8" w14:textId="77777777" w:rsidR="004F7C45" w:rsidRDefault="0070226A">
      <w:pPr>
        <w:pStyle w:val="Heading3"/>
        <w:numPr>
          <w:ilvl w:val="2"/>
          <w:numId w:val="5"/>
        </w:numPr>
        <w:spacing w:after="240" w:line="360" w:lineRule="auto"/>
        <w:rPr>
          <w:b w:val="0"/>
          <w:bCs w:val="0"/>
        </w:rPr>
      </w:pPr>
      <w:bookmarkStart w:id="12" w:name="_heading=h.uhjsb5qao14" w:colFirst="0" w:colLast="0"/>
      <w:bookmarkEnd w:id="12"/>
      <w:r>
        <w:rPr>
          <w:rFonts w:ascii="Times New Roman" w:eastAsia="Times New Roman" w:hAnsi="Times New Roman" w:cs="Times New Roman"/>
          <w:b w:val="0"/>
          <w:bCs w:val="0"/>
          <w:sz w:val="24"/>
          <w:szCs w:val="24"/>
          <w:u w:val="single"/>
        </w:rPr>
        <w:t xml:space="preserve">The </w:t>
      </w:r>
      <w:r>
        <w:rPr>
          <w:rFonts w:ascii="Times New Roman" w:eastAsia="Times New Roman" w:hAnsi="Times New Roman" w:cs="Times New Roman"/>
          <w:b w:val="0"/>
          <w:bCs w:val="0"/>
          <w:i/>
          <w:iCs/>
          <w:sz w:val="24"/>
          <w:szCs w:val="24"/>
          <w:u w:val="single"/>
        </w:rPr>
        <w:t>ESA</w:t>
      </w:r>
      <w:r>
        <w:rPr>
          <w:rFonts w:ascii="Times New Roman" w:eastAsia="Times New Roman" w:hAnsi="Times New Roman" w:cs="Times New Roman"/>
          <w:b w:val="0"/>
          <w:bCs w:val="0"/>
          <w:sz w:val="24"/>
          <w:szCs w:val="24"/>
          <w:u w:val="single"/>
        </w:rPr>
        <w:t xml:space="preserve"> Definition of Indirect Dependence does Not Require Use or Occupancy</w:t>
      </w:r>
    </w:p>
    <w:p w14:paraId="688E94CD" w14:textId="77777777" w:rsidR="004F7C45" w:rsidRDefault="0070226A">
      <w:pPr>
        <w:numPr>
          <w:ilvl w:val="0"/>
          <w:numId w:val="6"/>
        </w:numPr>
        <w:spacing w:before="240" w:after="240" w:line="360" w:lineRule="auto"/>
      </w:pPr>
      <w:r>
        <w:t xml:space="preserve">The </w:t>
      </w:r>
      <w:r>
        <w:rPr>
          <w:i/>
          <w:iCs/>
        </w:rPr>
        <w:t xml:space="preserve">ESA </w:t>
      </w:r>
      <w:r>
        <w:t xml:space="preserve">defines habitat as “an area on which the species depends, directly or indirectly, to carry on its life processes”.  Protection of habitat as contemplated by the </w:t>
      </w:r>
      <w:r>
        <w:rPr>
          <w:i/>
          <w:iCs/>
        </w:rPr>
        <w:t>ESA</w:t>
      </w:r>
      <w:r>
        <w:t xml:space="preserve"> therefore </w:t>
      </w:r>
      <w:r>
        <w:lastRenderedPageBreak/>
        <w:t>extends past areas which are directly occupied for the purposes of carrying on life processes, to encompass areas which support either the suitability of occupied habitat or the species itself indirectly.</w:t>
      </w:r>
    </w:p>
    <w:p w14:paraId="40EF6E4A" w14:textId="77777777" w:rsidR="004F7C45" w:rsidRDefault="0070226A">
      <w:pPr>
        <w:spacing w:before="240" w:after="240" w:line="360" w:lineRule="auto"/>
        <w:ind w:left="720"/>
        <w:jc w:val="both"/>
        <w:rPr>
          <w:sz w:val="20"/>
          <w:szCs w:val="20"/>
        </w:rPr>
      </w:pPr>
      <w:r>
        <w:rPr>
          <w:i/>
          <w:iCs/>
          <w:sz w:val="20"/>
          <w:szCs w:val="20"/>
        </w:rPr>
        <w:t>ESA</w:t>
      </w:r>
      <w:r>
        <w:rPr>
          <w:sz w:val="20"/>
          <w:szCs w:val="20"/>
        </w:rPr>
        <w:t xml:space="preserve"> at s 2.</w:t>
      </w:r>
    </w:p>
    <w:p w14:paraId="3C66E35A" w14:textId="77777777" w:rsidR="004F7C45" w:rsidRDefault="0070226A">
      <w:pPr>
        <w:numPr>
          <w:ilvl w:val="0"/>
          <w:numId w:val="4"/>
        </w:numPr>
        <w:spacing w:after="240" w:line="360" w:lineRule="auto"/>
      </w:pPr>
      <w:r>
        <w:rPr>
          <w:u w:val="single"/>
        </w:rPr>
        <w:t>MNRF Bulletin Supports Indirect Dependence</w:t>
      </w:r>
    </w:p>
    <w:p w14:paraId="522CBEB3" w14:textId="77777777" w:rsidR="004F7C45" w:rsidRDefault="0070226A">
      <w:pPr>
        <w:numPr>
          <w:ilvl w:val="0"/>
          <w:numId w:val="6"/>
        </w:numPr>
        <w:spacing w:before="240" w:after="240" w:line="360" w:lineRule="auto"/>
      </w:pPr>
      <w:r>
        <w:t xml:space="preserve">An internal bulletin published by the MNRF indicates that an area on which a species depends “indirectly” is not captured under s.2(2), and does not rely on evidence of “use” to be considered habitat. </w:t>
      </w:r>
    </w:p>
    <w:p w14:paraId="199CAC0D" w14:textId="77777777" w:rsidR="004F7C45" w:rsidRDefault="0070226A">
      <w:pPr>
        <w:numPr>
          <w:ilvl w:val="0"/>
          <w:numId w:val="6"/>
        </w:numPr>
        <w:spacing w:before="240" w:after="240" w:line="360" w:lineRule="auto"/>
      </w:pPr>
      <w:r>
        <w:t xml:space="preserve">This bulletin was not considered in the lower decisions. However, it may be accepted as a credible and reliable authority under the public document exception to the hearsay rule as discussed in Issue 2. The bulletin was published by the Ministry in discharge of a public duty. It was intended to serve as a permanent record for how officers should interpret the “key terms related to identifying and describing habitat” under the </w:t>
      </w:r>
      <w:r>
        <w:rPr>
          <w:i/>
          <w:iCs/>
        </w:rPr>
        <w:t>ESA</w:t>
      </w:r>
      <w:r>
        <w:t xml:space="preserve">, and it is publicly available. </w:t>
      </w:r>
    </w:p>
    <w:p w14:paraId="2A812C17" w14:textId="77777777" w:rsidR="004F7C45" w:rsidRDefault="0070226A">
      <w:pPr>
        <w:spacing w:before="240" w:after="240" w:line="360" w:lineRule="auto"/>
        <w:ind w:left="720"/>
      </w:pPr>
      <w:r>
        <w:rPr>
          <w:sz w:val="20"/>
          <w:szCs w:val="20"/>
        </w:rPr>
        <w:t xml:space="preserve">Ontario, Ministry of Natural Resources, </w:t>
      </w:r>
      <w:r>
        <w:rPr>
          <w:i/>
          <w:iCs/>
          <w:sz w:val="20"/>
          <w:szCs w:val="20"/>
        </w:rPr>
        <w:t xml:space="preserve">Explanation of key terms relating to habitat identification, description and protection under the Endangered Species Act, 2007, </w:t>
      </w:r>
      <w:r>
        <w:rPr>
          <w:sz w:val="20"/>
          <w:szCs w:val="20"/>
        </w:rPr>
        <w:t>(SAR Bulletin 4.2, 2008) [</w:t>
      </w:r>
      <w:r>
        <w:rPr>
          <w:i/>
          <w:iCs/>
          <w:sz w:val="20"/>
          <w:szCs w:val="20"/>
        </w:rPr>
        <w:t>MNRF Bulletin</w:t>
      </w:r>
      <w:r>
        <w:rPr>
          <w:sz w:val="20"/>
          <w:szCs w:val="20"/>
        </w:rPr>
        <w:t>] at p 1.</w:t>
      </w:r>
    </w:p>
    <w:p w14:paraId="38853F21" w14:textId="77777777" w:rsidR="004F7C45" w:rsidRDefault="0070226A">
      <w:pPr>
        <w:numPr>
          <w:ilvl w:val="0"/>
          <w:numId w:val="6"/>
        </w:numPr>
        <w:spacing w:before="240" w:after="240" w:line="360" w:lineRule="auto"/>
      </w:pPr>
      <w:r>
        <w:t>Within the bulletin, the Ministry specifically clarifies that ss.2(2) was not meant to preclude areas upon which species depend indirectly “by providing essential resources or environmental conditions on which members of the species depend to carry out their life processes”. It further clarifies that “use alone is not always a criterion for defining habitat” and that “an area on which a species depends indirectly … means those areas on which a species depends that are functionally linked to the area occupie</w:t>
      </w:r>
      <w:r>
        <w:t xml:space="preserve">d by a species, but may lie outside of the occupied area”. </w:t>
      </w:r>
    </w:p>
    <w:p w14:paraId="6AD3A77B" w14:textId="77777777" w:rsidR="004F7C45" w:rsidRDefault="0070226A">
      <w:pPr>
        <w:spacing w:before="240" w:after="240" w:line="360" w:lineRule="auto"/>
        <w:ind w:left="720"/>
      </w:pPr>
      <w:r>
        <w:rPr>
          <w:i/>
          <w:iCs/>
          <w:sz w:val="20"/>
          <w:szCs w:val="20"/>
        </w:rPr>
        <w:t xml:space="preserve">MNRF Bulletin </w:t>
      </w:r>
      <w:r>
        <w:rPr>
          <w:sz w:val="20"/>
          <w:szCs w:val="20"/>
        </w:rPr>
        <w:t>at pp 1, 3, 4.</w:t>
      </w:r>
    </w:p>
    <w:p w14:paraId="54CD195C" w14:textId="77777777" w:rsidR="004F7C45" w:rsidRDefault="0070226A">
      <w:pPr>
        <w:numPr>
          <w:ilvl w:val="0"/>
          <w:numId w:val="6"/>
        </w:numPr>
        <w:spacing w:before="240" w:after="240" w:line="360" w:lineRule="auto"/>
      </w:pPr>
      <w:r>
        <w:t xml:space="preserve">The bulletin lists several examples of function and processes within a site which could foster a species’ indirect independence, such as the existence of "physical, chemical, and biological materials in and/or nearby areas that either support ecological processes … or supply </w:t>
      </w:r>
      <w:r>
        <w:lastRenderedPageBreak/>
        <w:t xml:space="preserve">resources that are transported to the habitat where the species lives”. The former encompasses areas which support succession and production of prey; the latter encompasses areas which supply water to downstream locations necessary for habitat maintenance.  </w:t>
      </w:r>
    </w:p>
    <w:p w14:paraId="5B52CC0A" w14:textId="77777777" w:rsidR="004F7C45" w:rsidRDefault="0070226A">
      <w:pPr>
        <w:spacing w:before="240" w:after="240" w:line="360" w:lineRule="auto"/>
        <w:ind w:left="720"/>
      </w:pPr>
      <w:r>
        <w:rPr>
          <w:i/>
          <w:iCs/>
          <w:sz w:val="20"/>
          <w:szCs w:val="20"/>
        </w:rPr>
        <w:t>MNRF Bulletin</w:t>
      </w:r>
      <w:r>
        <w:rPr>
          <w:sz w:val="20"/>
          <w:szCs w:val="20"/>
        </w:rPr>
        <w:t xml:space="preserve"> at p 5.</w:t>
      </w:r>
    </w:p>
    <w:p w14:paraId="126A91DF" w14:textId="77777777" w:rsidR="004F7C45" w:rsidRDefault="0070226A">
      <w:pPr>
        <w:spacing w:before="240" w:after="240" w:line="360" w:lineRule="auto"/>
        <w:ind w:left="720"/>
        <w:rPr>
          <w:u w:val="single"/>
        </w:rPr>
      </w:pPr>
      <w:r>
        <w:t xml:space="preserve">b.   </w:t>
      </w:r>
      <w:r>
        <w:rPr>
          <w:u w:val="single"/>
        </w:rPr>
        <w:t>Case Law Supports Indirect Dependence</w:t>
      </w:r>
    </w:p>
    <w:p w14:paraId="1D6AE39E" w14:textId="77777777" w:rsidR="004F7C45" w:rsidRDefault="0070226A">
      <w:pPr>
        <w:numPr>
          <w:ilvl w:val="0"/>
          <w:numId w:val="6"/>
        </w:numPr>
        <w:spacing w:before="240" w:after="240" w:line="360" w:lineRule="auto"/>
      </w:pPr>
      <w:r>
        <w:t>While the bulletin acknowledges that final interpretation of the key terms is the responsibility of the courts, this interpretation of the</w:t>
      </w:r>
      <w:r>
        <w:rPr>
          <w:i/>
          <w:iCs/>
        </w:rPr>
        <w:t xml:space="preserve"> ESA</w:t>
      </w:r>
      <w:r>
        <w:t xml:space="preserve"> has been implicitly upheld by ONCA. In </w:t>
      </w:r>
      <w:r>
        <w:rPr>
          <w:i/>
          <w:iCs/>
        </w:rPr>
        <w:t>SBP</w:t>
      </w:r>
      <w:r>
        <w:t xml:space="preserve">, the ONCA accepted expert evidence that the work to the north area of a beach would harm Plover habitat by, among other things, “lowering the beach grade and loosening soil, which leads to flooding and erosion, degrading the overall ecosystem that Piping Plover rely on” and “negatively impacting the invertebrate species that Plover eat by disturbing the soil substrate in which they live”. Neither of these effects make reference to disturbing the land the Plovers occupy directly. </w:t>
      </w:r>
    </w:p>
    <w:p w14:paraId="28AAE271" w14:textId="77777777" w:rsidR="004F7C45" w:rsidRDefault="0070226A">
      <w:pPr>
        <w:ind w:left="720"/>
        <w:rPr>
          <w:i/>
          <w:iCs/>
          <w:sz w:val="20"/>
          <w:szCs w:val="20"/>
        </w:rPr>
      </w:pPr>
      <w:r>
        <w:rPr>
          <w:i/>
          <w:iCs/>
          <w:sz w:val="20"/>
          <w:szCs w:val="20"/>
        </w:rPr>
        <w:t xml:space="preserve">MNRF Bulletin </w:t>
      </w:r>
      <w:r>
        <w:rPr>
          <w:sz w:val="20"/>
          <w:szCs w:val="20"/>
        </w:rPr>
        <w:t>at p 1.</w:t>
      </w:r>
    </w:p>
    <w:p w14:paraId="3EBDCBD0" w14:textId="77777777" w:rsidR="004F7C45" w:rsidRDefault="0070226A">
      <w:pPr>
        <w:ind w:left="720" w:right="720"/>
        <w:rPr>
          <w:sz w:val="20"/>
          <w:szCs w:val="20"/>
        </w:rPr>
      </w:pPr>
      <w:r>
        <w:rPr>
          <w:i/>
          <w:iCs/>
          <w:sz w:val="20"/>
          <w:szCs w:val="20"/>
        </w:rPr>
        <w:t xml:space="preserve">SBP </w:t>
      </w:r>
      <w:r>
        <w:rPr>
          <w:sz w:val="20"/>
          <w:szCs w:val="20"/>
        </w:rPr>
        <w:t xml:space="preserve">at para 11. </w:t>
      </w:r>
    </w:p>
    <w:p w14:paraId="1240BE56" w14:textId="77777777" w:rsidR="004F7C45" w:rsidRDefault="004F7C45">
      <w:pPr>
        <w:ind w:right="720"/>
        <w:rPr>
          <w:sz w:val="20"/>
          <w:szCs w:val="20"/>
        </w:rPr>
      </w:pPr>
    </w:p>
    <w:p w14:paraId="58D29F90" w14:textId="77777777" w:rsidR="004F7C45" w:rsidRDefault="0070226A">
      <w:pPr>
        <w:numPr>
          <w:ilvl w:val="0"/>
          <w:numId w:val="6"/>
        </w:numPr>
        <w:spacing w:before="240" w:after="240" w:line="360" w:lineRule="auto"/>
      </w:pPr>
      <w:r>
        <w:t xml:space="preserve"> The bulletin and </w:t>
      </w:r>
      <w:r>
        <w:rPr>
          <w:i/>
          <w:iCs/>
        </w:rPr>
        <w:t>SBP</w:t>
      </w:r>
      <w:r>
        <w:t xml:space="preserve"> give light to a dimension of the definition of habitat which encompasses areas not strictly occupied by the species in question. The OCJ therefore erred by considering and giving effect to only part of a broader definition of habitat available under the </w:t>
      </w:r>
      <w:r>
        <w:rPr>
          <w:i/>
          <w:iCs/>
        </w:rPr>
        <w:t>ESA</w:t>
      </w:r>
      <w:r>
        <w:t xml:space="preserve">.  </w:t>
      </w:r>
    </w:p>
    <w:p w14:paraId="23404B9A" w14:textId="77777777" w:rsidR="004F7C45" w:rsidRDefault="0070226A">
      <w:pPr>
        <w:pStyle w:val="Heading3"/>
        <w:numPr>
          <w:ilvl w:val="2"/>
          <w:numId w:val="5"/>
        </w:numPr>
        <w:spacing w:after="240" w:line="360" w:lineRule="auto"/>
        <w:rPr>
          <w:b w:val="0"/>
          <w:bCs w:val="0"/>
          <w:sz w:val="24"/>
          <w:szCs w:val="24"/>
        </w:rPr>
      </w:pPr>
      <w:bookmarkStart w:id="13" w:name="_heading=h.ukcyzmmnklks" w:colFirst="0" w:colLast="0"/>
      <w:bookmarkEnd w:id="13"/>
      <w:r>
        <w:rPr>
          <w:rFonts w:ascii="Times New Roman" w:eastAsia="Times New Roman" w:hAnsi="Times New Roman" w:cs="Times New Roman"/>
          <w:b w:val="0"/>
          <w:bCs w:val="0"/>
          <w:sz w:val="24"/>
          <w:szCs w:val="24"/>
          <w:u w:val="single"/>
        </w:rPr>
        <w:t>The Blanding’s turtles Depend Indirectly on the Site</w:t>
      </w:r>
    </w:p>
    <w:p w14:paraId="74A1292F" w14:textId="77777777" w:rsidR="004F7C45" w:rsidRDefault="0070226A">
      <w:pPr>
        <w:numPr>
          <w:ilvl w:val="0"/>
          <w:numId w:val="6"/>
        </w:numPr>
        <w:spacing w:before="240" w:after="240" w:line="360" w:lineRule="auto"/>
      </w:pPr>
      <w:r>
        <w:t xml:space="preserve"> The OCJ appeal decision focused on Mr. Snell’s concession that the site had the “potential” to be used or occupied by Blanding’s turtles, but failed to consider, or alternatively impermissibly reweighed evidence within Mr. Snell’s testimony, that the impugned site “contributes to the function of the habitat of the wetland” so much so that he, “would go as far as to say that it is functioning habitat”. At trial, Mr. Snell listed three indirect ways in which the work would affect the surrounding wetlands occ</w:t>
      </w:r>
      <w:r>
        <w:t xml:space="preserve">upied by the Blanding’s turtles: the work would block water flow to the and diminish water supply in a “critical area for the species”; the work would remove vegetation that filters and absorbs nutrients from pollutants such as fertilizers that </w:t>
      </w:r>
      <w:r>
        <w:lastRenderedPageBreak/>
        <w:t xml:space="preserve">negatively affect wetland; and the work would reduce the food supply for the primary prey species of Blanding’s turtles. </w:t>
      </w:r>
    </w:p>
    <w:p w14:paraId="65B5F2E6" w14:textId="77777777" w:rsidR="004F7C45" w:rsidRDefault="0070226A">
      <w:pPr>
        <w:ind w:firstLine="720"/>
        <w:rPr>
          <w:sz w:val="20"/>
          <w:szCs w:val="20"/>
        </w:rPr>
      </w:pPr>
      <w:r>
        <w:rPr>
          <w:i/>
          <w:iCs/>
          <w:sz w:val="20"/>
          <w:szCs w:val="20"/>
        </w:rPr>
        <w:t xml:space="preserve">OCJ Appeal </w:t>
      </w:r>
      <w:r>
        <w:rPr>
          <w:sz w:val="20"/>
          <w:szCs w:val="20"/>
        </w:rPr>
        <w:t>at p 14, lines 12-14.</w:t>
      </w:r>
    </w:p>
    <w:p w14:paraId="10344117" w14:textId="77777777" w:rsidR="004F7C45" w:rsidRDefault="0070226A">
      <w:pPr>
        <w:ind w:firstLine="720"/>
        <w:rPr>
          <w:i/>
          <w:iCs/>
          <w:sz w:val="20"/>
          <w:szCs w:val="20"/>
        </w:rPr>
      </w:pPr>
      <w:r>
        <w:rPr>
          <w:i/>
          <w:iCs/>
          <w:sz w:val="20"/>
          <w:szCs w:val="20"/>
        </w:rPr>
        <w:t xml:space="preserve">Trial Reasons </w:t>
      </w:r>
      <w:r>
        <w:rPr>
          <w:sz w:val="20"/>
          <w:szCs w:val="20"/>
        </w:rPr>
        <w:t xml:space="preserve">at p 7, lines 1-30. </w:t>
      </w:r>
    </w:p>
    <w:p w14:paraId="3FB1D989" w14:textId="77777777" w:rsidR="004F7C45" w:rsidRDefault="0070226A">
      <w:pPr>
        <w:numPr>
          <w:ilvl w:val="0"/>
          <w:numId w:val="6"/>
        </w:numPr>
        <w:spacing w:before="240" w:after="240" w:line="360" w:lineRule="auto"/>
      </w:pPr>
      <w:r>
        <w:t>The language of “contributes the function of the habitat of the wetland” is very similar to the language of “functionally linked” within the bulletin. The three uses described by Mr. Snell also fit within the examples provided of physical and biological materials in nearby areas that support ecological process—the site protects the inhabited wetlands by absorbing nutrients from pollutants, it contributes to a critical water supply, and it contains flora the Blanding’s turtles’ prey depend on. Therefore, und</w:t>
      </w:r>
      <w:r>
        <w:t xml:space="preserve">er a correct interpretation of habitat, the trial justice could have reasonably found the area indirectly contributed to the life process of reproduction and feeding of the Blanding’s turtles. In reversing this finding, the OCJ appeal decision either impermissibly reweighed the evidence before the trial justice without finding overriding and palpable error, or failed to give light to the full definition of habitat contemplated under the </w:t>
      </w:r>
      <w:r>
        <w:rPr>
          <w:i/>
          <w:iCs/>
        </w:rPr>
        <w:t xml:space="preserve">ESA. </w:t>
      </w:r>
    </w:p>
    <w:p w14:paraId="24F32FDE" w14:textId="77777777" w:rsidR="004F7C45" w:rsidRDefault="0070226A">
      <w:pPr>
        <w:numPr>
          <w:ilvl w:val="0"/>
          <w:numId w:val="6"/>
        </w:numPr>
        <w:spacing w:before="240" w:after="240" w:line="360" w:lineRule="auto"/>
      </w:pPr>
      <w:r>
        <w:t xml:space="preserve">The Respondents may argue that OCJ did not ‘fail to consider’ that the habitat may be used indirectly, but rather correctly responded to Crown’s argument put forward at Trial that the habitat was being used directly for “mating, basking, hiding, nesting, foraging, thermal regulation, and as a travel corridor”. However, this would not relieve the OCJ appeal justice of his obligation to read the </w:t>
      </w:r>
      <w:r>
        <w:rPr>
          <w:i/>
          <w:iCs/>
        </w:rPr>
        <w:t>ESA</w:t>
      </w:r>
      <w:r>
        <w:t xml:space="preserve"> generously in light of its objective of environmental protection. </w:t>
      </w:r>
    </w:p>
    <w:p w14:paraId="20801BFC" w14:textId="77777777" w:rsidR="004F7C45" w:rsidRDefault="0070226A">
      <w:pPr>
        <w:spacing w:before="240" w:after="240" w:line="360" w:lineRule="auto"/>
        <w:ind w:left="720"/>
      </w:pPr>
      <w:r>
        <w:rPr>
          <w:i/>
          <w:iCs/>
          <w:sz w:val="20"/>
          <w:szCs w:val="20"/>
        </w:rPr>
        <w:t xml:space="preserve">Trial Reasons </w:t>
      </w:r>
      <w:r>
        <w:rPr>
          <w:sz w:val="20"/>
          <w:szCs w:val="20"/>
        </w:rPr>
        <w:t xml:space="preserve">at p 7, lines 1-5. </w:t>
      </w:r>
    </w:p>
    <w:p w14:paraId="6DBE5F32" w14:textId="77777777" w:rsidR="004F7C45" w:rsidRDefault="0070226A">
      <w:pPr>
        <w:numPr>
          <w:ilvl w:val="0"/>
          <w:numId w:val="6"/>
        </w:numPr>
        <w:spacing w:before="240" w:after="240" w:line="360" w:lineRule="auto"/>
      </w:pPr>
      <w:r>
        <w:t xml:space="preserve">Further, a purposive reading of the </w:t>
      </w:r>
      <w:r>
        <w:rPr>
          <w:i/>
          <w:iCs/>
        </w:rPr>
        <w:t>ESA</w:t>
      </w:r>
      <w:r>
        <w:t xml:space="preserve">, would support a reading which best promotes “the protection of species that are at risk and their habitats”, including employing the precautionary principle to act swiftly in avoiding threats to reduction of biological diversity even where there is a “lack of full scientific certainty”. The SCC has consistently and recently reaffirmed the relevance of the purposive approach to statutory interpretation. Under a purposive reading of the </w:t>
      </w:r>
      <w:r>
        <w:rPr>
          <w:i/>
          <w:iCs/>
        </w:rPr>
        <w:t>ESA</w:t>
      </w:r>
      <w:r>
        <w:t>, it would have been incorrect to only consider habitat as direct</w:t>
      </w:r>
      <w:r>
        <w:t xml:space="preserve"> dependence when the Crown also brought forward evidence of indirect dependence, even if this was the primary argument contended by the Crown. Using this approach, the Court has an obligation to </w:t>
      </w:r>
      <w:r>
        <w:lastRenderedPageBreak/>
        <w:t xml:space="preserve">interpret habitat in a way which minimizes the threat of harming or destroying endangered species and their habitats, even without full scientific certainty. </w:t>
      </w:r>
    </w:p>
    <w:p w14:paraId="3B56FA66" w14:textId="77777777" w:rsidR="004F7C45" w:rsidRDefault="0070226A">
      <w:pPr>
        <w:ind w:left="720"/>
        <w:rPr>
          <w:sz w:val="20"/>
          <w:szCs w:val="20"/>
        </w:rPr>
      </w:pPr>
      <w:r>
        <w:rPr>
          <w:i/>
          <w:iCs/>
          <w:sz w:val="20"/>
          <w:szCs w:val="20"/>
        </w:rPr>
        <w:t xml:space="preserve">ESA </w:t>
      </w:r>
      <w:r>
        <w:rPr>
          <w:sz w:val="20"/>
          <w:szCs w:val="20"/>
        </w:rPr>
        <w:t xml:space="preserve">at s 1. </w:t>
      </w:r>
    </w:p>
    <w:p w14:paraId="12D0F100" w14:textId="77777777" w:rsidR="004F7C45" w:rsidRDefault="0070226A">
      <w:pPr>
        <w:ind w:left="720"/>
        <w:rPr>
          <w:i/>
          <w:iCs/>
          <w:sz w:val="20"/>
          <w:szCs w:val="20"/>
        </w:rPr>
      </w:pPr>
      <w:r>
        <w:rPr>
          <w:i/>
          <w:iCs/>
          <w:sz w:val="20"/>
          <w:szCs w:val="20"/>
        </w:rPr>
        <w:t xml:space="preserve">ESA </w:t>
      </w:r>
      <w:r>
        <w:rPr>
          <w:sz w:val="20"/>
          <w:szCs w:val="20"/>
        </w:rPr>
        <w:t>at Preamble.</w:t>
      </w:r>
    </w:p>
    <w:p w14:paraId="74BA4D96" w14:textId="77777777" w:rsidR="004F7C45" w:rsidRDefault="0070226A">
      <w:pPr>
        <w:ind w:firstLine="720"/>
        <w:rPr>
          <w:sz w:val="20"/>
          <w:szCs w:val="20"/>
        </w:rPr>
      </w:pPr>
      <w:r>
        <w:rPr>
          <w:i/>
          <w:iCs/>
          <w:sz w:val="20"/>
          <w:szCs w:val="20"/>
        </w:rPr>
        <w:t xml:space="preserve">R v Wilson, 2025 SCC 32 </w:t>
      </w:r>
      <w:r>
        <w:rPr>
          <w:sz w:val="20"/>
          <w:szCs w:val="20"/>
        </w:rPr>
        <w:t>at paras 133-135</w:t>
      </w:r>
      <w:r>
        <w:rPr>
          <w:i/>
          <w:iCs/>
          <w:sz w:val="20"/>
          <w:szCs w:val="20"/>
        </w:rPr>
        <w:t>.</w:t>
      </w:r>
    </w:p>
    <w:p w14:paraId="2A3F635D" w14:textId="77777777" w:rsidR="004F7C45" w:rsidRDefault="0070226A">
      <w:pPr>
        <w:numPr>
          <w:ilvl w:val="0"/>
          <w:numId w:val="6"/>
        </w:numPr>
        <w:spacing w:before="240" w:after="240" w:line="360" w:lineRule="auto"/>
      </w:pPr>
      <w:r>
        <w:t xml:space="preserve">Alternatively, the Respondents may argue that the OCJ appeal justice was not convinced Blanding’s turtles existed in the area at all, including Circle Lake. However, as addressed above, the OCJ appeal decision was not entitled to reverse the trial justice’s factual findings without evidence of overriding and palpable error. </w:t>
      </w:r>
    </w:p>
    <w:p w14:paraId="5CD3A19A" w14:textId="77777777" w:rsidR="004F7C45" w:rsidRDefault="0070226A">
      <w:pPr>
        <w:pStyle w:val="Heading2"/>
        <w:numPr>
          <w:ilvl w:val="1"/>
          <w:numId w:val="5"/>
        </w:numPr>
        <w:spacing w:line="360" w:lineRule="auto"/>
        <w:rPr>
          <w:sz w:val="24"/>
          <w:szCs w:val="24"/>
        </w:rPr>
      </w:pPr>
      <w:bookmarkStart w:id="14" w:name="_heading=h.4za120j3qmaa" w:colFirst="0" w:colLast="0"/>
      <w:bookmarkEnd w:id="14"/>
      <w:r>
        <w:rPr>
          <w:rFonts w:ascii="Times New Roman" w:eastAsia="Times New Roman" w:hAnsi="Times New Roman" w:cs="Times New Roman"/>
          <w:i w:val="0"/>
          <w:iCs w:val="0"/>
          <w:sz w:val="24"/>
          <w:szCs w:val="24"/>
        </w:rPr>
        <w:t>CHL would have been convicted even under the new, narrow definition of habitat</w:t>
      </w:r>
    </w:p>
    <w:p w14:paraId="3DEB8157" w14:textId="77777777" w:rsidR="004F7C45" w:rsidRDefault="0070226A">
      <w:pPr>
        <w:numPr>
          <w:ilvl w:val="0"/>
          <w:numId w:val="6"/>
        </w:numPr>
        <w:spacing w:before="240" w:after="240" w:line="360" w:lineRule="auto"/>
      </w:pPr>
      <w:r>
        <w:t>Even under the amended definition of “habitat,” the trial should have been decided in favour of the Crown. On the facts accepted at trial, the impugned site was immediately surrounding and essential to a Blanding’s turtle dwelling-place. The narrowing of the definition does not change the legal result.</w:t>
      </w:r>
    </w:p>
    <w:p w14:paraId="0ECDABC5" w14:textId="77777777" w:rsidR="004F7C45" w:rsidRDefault="0070226A">
      <w:pPr>
        <w:numPr>
          <w:ilvl w:val="0"/>
          <w:numId w:val="6"/>
        </w:numPr>
        <w:spacing w:before="240" w:after="240" w:line="360" w:lineRule="auto"/>
      </w:pPr>
      <w:r>
        <w:t xml:space="preserve">The amended definition of habitat narrows the protection of areas relied on by species through use requirements, but preserves nesting sites integral to breeding and rearing and the immediate surroundings essential to these functions. </w:t>
      </w:r>
    </w:p>
    <w:p w14:paraId="03434AC9" w14:textId="77777777" w:rsidR="004F7C45" w:rsidRDefault="0070226A">
      <w:pPr>
        <w:spacing w:before="240" w:after="240" w:line="360" w:lineRule="auto"/>
        <w:ind w:right="720"/>
        <w:jc w:val="center"/>
        <w:rPr>
          <w:b/>
          <w:bCs/>
          <w:i/>
          <w:iCs/>
          <w:sz w:val="22"/>
          <w:szCs w:val="22"/>
        </w:rPr>
      </w:pPr>
      <w:r>
        <w:rPr>
          <w:b/>
          <w:bCs/>
          <w:i/>
          <w:iCs/>
          <w:sz w:val="22"/>
          <w:szCs w:val="22"/>
        </w:rPr>
        <w:t>Figure 1. Comparison of Definitions</w:t>
      </w:r>
    </w:p>
    <w:p w14:paraId="4798A68F" w14:textId="77777777" w:rsidR="004F7C45" w:rsidRDefault="0070226A">
      <w:pPr>
        <w:spacing w:before="240" w:after="240" w:line="360" w:lineRule="auto"/>
        <w:ind w:right="720"/>
        <w:rPr>
          <w:b/>
          <w:bCs/>
          <w:i/>
          <w:iCs/>
          <w:sz w:val="22"/>
          <w:szCs w:val="22"/>
        </w:rPr>
      </w:pPr>
      <w:r>
        <w:rPr>
          <w:b/>
          <w:bCs/>
          <w:i/>
          <w:iCs/>
          <w:sz w:val="22"/>
          <w:szCs w:val="22"/>
        </w:rPr>
        <w:t>Old Definition:</w:t>
      </w:r>
    </w:p>
    <w:p w14:paraId="463A95DE" w14:textId="77777777" w:rsidR="004F7C45" w:rsidRDefault="0070226A">
      <w:pPr>
        <w:spacing w:after="200"/>
        <w:ind w:left="720"/>
        <w:rPr>
          <w:sz w:val="22"/>
          <w:szCs w:val="22"/>
        </w:rPr>
      </w:pPr>
      <w:r>
        <w:rPr>
          <w:sz w:val="22"/>
          <w:szCs w:val="22"/>
        </w:rPr>
        <w:t xml:space="preserve">…an area on which the species depends, directly or indirectly, to carry on its life processes, including life processes such as reproduction, rearing, </w:t>
      </w:r>
      <w:r>
        <w:rPr>
          <w:sz w:val="22"/>
          <w:szCs w:val="22"/>
        </w:rPr>
        <w:t>hibernation, migration or feeding,</w:t>
      </w:r>
    </w:p>
    <w:p w14:paraId="50942EED" w14:textId="77777777" w:rsidR="004F7C45" w:rsidRDefault="0070226A">
      <w:pPr>
        <w:spacing w:after="200"/>
        <w:rPr>
          <w:sz w:val="20"/>
          <w:szCs w:val="20"/>
        </w:rPr>
      </w:pPr>
      <w:r>
        <w:rPr>
          <w:sz w:val="22"/>
          <w:szCs w:val="22"/>
        </w:rPr>
        <w:tab/>
      </w:r>
      <w:r>
        <w:rPr>
          <w:sz w:val="22"/>
          <w:szCs w:val="22"/>
        </w:rPr>
        <w:tab/>
      </w:r>
      <w:r>
        <w:rPr>
          <w:i/>
          <w:iCs/>
          <w:sz w:val="20"/>
          <w:szCs w:val="20"/>
        </w:rPr>
        <w:t xml:space="preserve">ESA </w:t>
      </w:r>
      <w:r>
        <w:rPr>
          <w:sz w:val="20"/>
          <w:szCs w:val="20"/>
        </w:rPr>
        <w:t xml:space="preserve">at s 2. </w:t>
      </w:r>
    </w:p>
    <w:p w14:paraId="5FD92CA9" w14:textId="77777777" w:rsidR="004F7C45" w:rsidRDefault="0070226A">
      <w:pPr>
        <w:spacing w:after="200"/>
        <w:rPr>
          <w:b/>
          <w:bCs/>
          <w:i/>
          <w:iCs/>
          <w:sz w:val="22"/>
          <w:szCs w:val="22"/>
        </w:rPr>
      </w:pPr>
      <w:r>
        <w:rPr>
          <w:b/>
          <w:bCs/>
          <w:i/>
          <w:iCs/>
          <w:sz w:val="22"/>
          <w:szCs w:val="22"/>
        </w:rPr>
        <w:t>New Definition:</w:t>
      </w:r>
    </w:p>
    <w:p w14:paraId="2993452F" w14:textId="77777777" w:rsidR="004F7C45" w:rsidRDefault="0070226A">
      <w:pPr>
        <w:ind w:left="720" w:right="720"/>
        <w:rPr>
          <w:sz w:val="22"/>
          <w:szCs w:val="22"/>
        </w:rPr>
      </w:pPr>
      <w:r>
        <w:rPr>
          <w:sz w:val="22"/>
          <w:szCs w:val="22"/>
        </w:rPr>
        <w:t>(i) a dwelling-place, such as a den, nest or other similar place, that is occupied or habitually occupied by one or more members of a species for the purposes of breeding, rearing, staging, wintering or hibernating, and</w:t>
      </w:r>
    </w:p>
    <w:p w14:paraId="11D1E43C" w14:textId="77777777" w:rsidR="004F7C45" w:rsidRDefault="004F7C45">
      <w:pPr>
        <w:ind w:left="2160" w:right="720"/>
        <w:rPr>
          <w:sz w:val="22"/>
          <w:szCs w:val="22"/>
        </w:rPr>
      </w:pPr>
    </w:p>
    <w:p w14:paraId="3C2D8233" w14:textId="77777777" w:rsidR="004F7C45" w:rsidRDefault="0070226A">
      <w:pPr>
        <w:ind w:left="720" w:right="720"/>
        <w:rPr>
          <w:sz w:val="22"/>
          <w:szCs w:val="22"/>
        </w:rPr>
      </w:pPr>
      <w:r>
        <w:rPr>
          <w:sz w:val="22"/>
          <w:szCs w:val="22"/>
        </w:rPr>
        <w:t>(ii) the area immediately around a dwelling place described in subclause (i) that is essential for the purposes set out in that subclause.</w:t>
      </w:r>
    </w:p>
    <w:p w14:paraId="38E8C568" w14:textId="77777777" w:rsidR="004F7C45" w:rsidRDefault="0070226A">
      <w:pPr>
        <w:spacing w:before="240" w:after="240" w:line="360" w:lineRule="auto"/>
        <w:ind w:left="720" w:right="720" w:firstLine="720"/>
      </w:pPr>
      <w:r>
        <w:rPr>
          <w:i/>
          <w:iCs/>
          <w:sz w:val="20"/>
          <w:szCs w:val="20"/>
        </w:rPr>
        <w:t>Protecting Ontario by Unleashing our Economy Act</w:t>
      </w:r>
      <w:r>
        <w:rPr>
          <w:sz w:val="20"/>
          <w:szCs w:val="20"/>
        </w:rPr>
        <w:t>, 2025, SO 2025, c2, Sched 2, s 2(3).</w:t>
      </w:r>
    </w:p>
    <w:p w14:paraId="54E9E951" w14:textId="77777777" w:rsidR="004F7C45" w:rsidRDefault="0070226A">
      <w:pPr>
        <w:numPr>
          <w:ilvl w:val="0"/>
          <w:numId w:val="6"/>
        </w:numPr>
        <w:spacing w:before="240" w:after="240" w:line="360" w:lineRule="auto"/>
      </w:pPr>
      <w:r>
        <w:lastRenderedPageBreak/>
        <w:t xml:space="preserve">As seen in </w:t>
      </w:r>
      <w:r>
        <w:rPr>
          <w:i/>
          <w:iCs/>
        </w:rPr>
        <w:t>Figure 1</w:t>
      </w:r>
      <w:r>
        <w:t xml:space="preserve">, occupied habitat has been narrowed from an area on which a species relies directly to a “dwelling place” such as a den or nest, and further constrained by specific use and occupation standards—a “dwelling place” must be at least habitually occupied, and used for “breeding, rearing, staging, wintering or hibernating”. </w:t>
      </w:r>
    </w:p>
    <w:p w14:paraId="2CA8ADA8" w14:textId="77777777" w:rsidR="004F7C45" w:rsidRDefault="0070226A">
      <w:pPr>
        <w:numPr>
          <w:ilvl w:val="0"/>
          <w:numId w:val="6"/>
        </w:numPr>
        <w:spacing w:before="240" w:after="240" w:line="360" w:lineRule="auto"/>
      </w:pPr>
      <w:r>
        <w:t xml:space="preserve">Unoccupied habitat has been narrowed from an area on which a species relies indirectly to areas “immediately around” such dwelling places that are “essential” to the listed purposes. </w:t>
      </w:r>
    </w:p>
    <w:p w14:paraId="5E1AC8B7" w14:textId="77777777" w:rsidR="004F7C45" w:rsidRDefault="0070226A">
      <w:pPr>
        <w:numPr>
          <w:ilvl w:val="0"/>
          <w:numId w:val="6"/>
        </w:numPr>
        <w:spacing w:before="240" w:after="240" w:line="360" w:lineRule="auto"/>
      </w:pPr>
      <w:r>
        <w:t>The inclusion of places “habitually occupied” for breeding or wintering expressly contemplates seasonal and recurring use rather than continuous presence.</w:t>
      </w:r>
    </w:p>
    <w:p w14:paraId="449307A5" w14:textId="77777777" w:rsidR="004F7C45" w:rsidRDefault="0070226A">
      <w:pPr>
        <w:numPr>
          <w:ilvl w:val="0"/>
          <w:numId w:val="6"/>
        </w:numPr>
        <w:spacing w:before="240" w:after="240" w:line="360" w:lineRule="auto"/>
      </w:pPr>
      <w:r>
        <w:t>On the evidence accepted at trial, the disturbed area was immediately surrounding and essential to dwelling places in the wetland, falling within the s. 2(1)(a)(ii) of the amended definition. Therefore, even under the amended definition, the conduct proven at trial constituted damage to habitat, and a conviction under s. 10(1)(a) would still follow.</w:t>
      </w:r>
    </w:p>
    <w:p w14:paraId="579925BF" w14:textId="77777777" w:rsidR="004F7C45" w:rsidRDefault="0070226A">
      <w:pPr>
        <w:spacing w:before="240" w:after="240" w:line="360" w:lineRule="auto"/>
        <w:ind w:left="720"/>
        <w:rPr>
          <w:i/>
          <w:iCs/>
        </w:rPr>
      </w:pPr>
      <w:r>
        <w:rPr>
          <w:i/>
          <w:iCs/>
        </w:rPr>
        <w:t>i) The Site Was Immediately Around a Dwelling Place</w:t>
      </w:r>
    </w:p>
    <w:p w14:paraId="294A044D" w14:textId="77777777" w:rsidR="004F7C45" w:rsidRDefault="0070226A">
      <w:pPr>
        <w:numPr>
          <w:ilvl w:val="0"/>
          <w:numId w:val="6"/>
        </w:numPr>
        <w:spacing w:before="240" w:after="240" w:line="360" w:lineRule="auto"/>
      </w:pPr>
      <w:r>
        <w:t xml:space="preserve">During trial, Mr. Snell stated that Blanding’s turtles used the area around the impugned site for various functions, including nesting. Thus, though it is unclear whether the Blanding’s turtle habitually or at the time of grubbing had nests within the impugned site, expert testimony accepted at trial indicates that turtles nested in the immediate surrounding area. </w:t>
      </w:r>
    </w:p>
    <w:p w14:paraId="1793D7BD" w14:textId="77777777" w:rsidR="004F7C45" w:rsidRDefault="0070226A">
      <w:pPr>
        <w:spacing w:before="240" w:after="240" w:line="360" w:lineRule="auto"/>
        <w:ind w:firstLine="720"/>
      </w:pPr>
      <w:r>
        <w:rPr>
          <w:i/>
          <w:iCs/>
          <w:sz w:val="20"/>
          <w:szCs w:val="20"/>
        </w:rPr>
        <w:t xml:space="preserve">Trial Reasons </w:t>
      </w:r>
      <w:r>
        <w:rPr>
          <w:sz w:val="20"/>
          <w:szCs w:val="20"/>
        </w:rPr>
        <w:t>at p 7, lines 1-5.</w:t>
      </w:r>
    </w:p>
    <w:p w14:paraId="1DC8385E" w14:textId="77777777" w:rsidR="004F7C45" w:rsidRDefault="0070226A">
      <w:pPr>
        <w:numPr>
          <w:ilvl w:val="0"/>
          <w:numId w:val="6"/>
        </w:numPr>
        <w:spacing w:before="240" w:after="240" w:line="360" w:lineRule="auto"/>
      </w:pPr>
      <w:r>
        <w:t xml:space="preserve">It should not matter that the precise location of nests outside the impugned site are unknown. Despite the amendments, the </w:t>
      </w:r>
      <w:r>
        <w:rPr>
          <w:i/>
          <w:iCs/>
        </w:rPr>
        <w:t xml:space="preserve">ESA </w:t>
      </w:r>
      <w:r>
        <w:t xml:space="preserve">is still environmental protection legislation. The </w:t>
      </w:r>
      <w:r>
        <w:rPr>
          <w:i/>
          <w:iCs/>
        </w:rPr>
        <w:t>ESA</w:t>
      </w:r>
      <w:r>
        <w:t xml:space="preserve"> must continue to be interpreted generously and purposively in favour of species protection, even when lacking full scientific certainty. </w:t>
      </w:r>
    </w:p>
    <w:p w14:paraId="2527254C" w14:textId="77777777" w:rsidR="004F7C45" w:rsidRDefault="0070226A">
      <w:pPr>
        <w:spacing w:before="240" w:after="240" w:line="360" w:lineRule="auto"/>
        <w:ind w:firstLine="720"/>
        <w:rPr>
          <w:i/>
          <w:iCs/>
        </w:rPr>
      </w:pPr>
      <w:r>
        <w:rPr>
          <w:i/>
          <w:iCs/>
        </w:rPr>
        <w:t xml:space="preserve">ii) The Site Was Essential </w:t>
      </w:r>
    </w:p>
    <w:p w14:paraId="69CEA275" w14:textId="77777777" w:rsidR="004F7C45" w:rsidRDefault="0070226A">
      <w:pPr>
        <w:numPr>
          <w:ilvl w:val="0"/>
          <w:numId w:val="6"/>
        </w:numPr>
        <w:spacing w:before="240" w:after="240" w:line="360" w:lineRule="auto"/>
      </w:pPr>
      <w:r>
        <w:t xml:space="preserve">Mr. Snell further outlined the ways in which the impugned site was essential to the breeding and rearing of Blanding’s turtles that nested near the site. Mr. Snell testified that vegetation and soils in this zone provide thermal regulation, concealment from predators, and </w:t>
      </w:r>
      <w:r>
        <w:lastRenderedPageBreak/>
        <w:t>safe movement for hatchlings travelling from nests to the wetland. The removal of vegetation and root systems eliminated those functions and rendered the nesting area less valuable to the turtles, even if the precise nest cavities lay outside the disturbed footprint.</w:t>
      </w:r>
    </w:p>
    <w:p w14:paraId="373B5824" w14:textId="77777777" w:rsidR="004F7C45" w:rsidRDefault="0070226A">
      <w:pPr>
        <w:spacing w:before="240" w:after="240" w:line="360" w:lineRule="auto"/>
      </w:pPr>
      <w:r>
        <w:tab/>
      </w:r>
      <w:r>
        <w:rPr>
          <w:i/>
          <w:iCs/>
          <w:sz w:val="20"/>
          <w:szCs w:val="20"/>
        </w:rPr>
        <w:t xml:space="preserve">Trial Reasons </w:t>
      </w:r>
      <w:r>
        <w:rPr>
          <w:sz w:val="20"/>
          <w:szCs w:val="20"/>
        </w:rPr>
        <w:t>at p 7, lines 1-32.</w:t>
      </w:r>
    </w:p>
    <w:p w14:paraId="7AB13DA8" w14:textId="77777777" w:rsidR="004F7C45" w:rsidRDefault="0070226A">
      <w:pPr>
        <w:numPr>
          <w:ilvl w:val="0"/>
          <w:numId w:val="6"/>
        </w:numPr>
        <w:spacing w:before="240" w:after="240" w:line="360" w:lineRule="auto"/>
      </w:pPr>
      <w:r>
        <w:t xml:space="preserve">The destruction of that adjacent upland therefore constituted damage to habitat under the amended definition. Section 2(1)(a)(ii) requires that a site be close to a dwelling-place and necessary for its functions; by clearing land immediately adjacent to an active seasonal nesting area, CHL impaired the conditions necessary for breeding success and juvenile survival. </w:t>
      </w:r>
    </w:p>
    <w:p w14:paraId="7C975B66" w14:textId="77777777" w:rsidR="004F7C45" w:rsidRDefault="0070226A">
      <w:pPr>
        <w:numPr>
          <w:ilvl w:val="0"/>
          <w:numId w:val="6"/>
        </w:numPr>
        <w:spacing w:before="240" w:after="240" w:line="360" w:lineRule="auto"/>
      </w:pPr>
      <w:r>
        <w:t>In the alternative, if the evidential record is found insufficient to support a finding that the impugned site was habitat under s. 2(1)(a)(ii), a new trial should be ordered. A new trial or determination may be ordered when “a legal test has been materially changed since the trial, with the result that the parties did not have a chance at trial to adduce evidence responsive to it”.  Whether or not the site was specifically adjacent to nests, habitually and specifically used for the purposes of breeding, re</w:t>
      </w:r>
      <w:r>
        <w:t xml:space="preserve">aring, staging, wintering or hibernating is a materially different question from whether or not the site was relied on indirectly or directly by the turtles to carry on life processes. If specific evidentiary requirements such as sightings of nests in adjacent areas are required, the Crown should be allowed to adduce additional evidence to meet these requirements. </w:t>
      </w:r>
    </w:p>
    <w:p w14:paraId="559A648B" w14:textId="77777777" w:rsidR="004F7C45" w:rsidRDefault="0070226A">
      <w:pPr>
        <w:spacing w:before="240" w:after="240" w:line="360" w:lineRule="auto"/>
        <w:ind w:firstLine="720"/>
      </w:pPr>
      <w:r>
        <w:rPr>
          <w:i/>
          <w:iCs/>
          <w:sz w:val="20"/>
          <w:szCs w:val="20"/>
        </w:rPr>
        <w:t>Pfizer Canada Inc v Teva Canada Limited</w:t>
      </w:r>
      <w:r>
        <w:rPr>
          <w:sz w:val="20"/>
          <w:szCs w:val="20"/>
        </w:rPr>
        <w:t>, 2016 FCA 161 (CanLII), [2016] 4 FCR D13 at para 160.</w:t>
      </w:r>
    </w:p>
    <w:p w14:paraId="1F101884" w14:textId="77777777" w:rsidR="004F7C45" w:rsidRDefault="0070226A">
      <w:pPr>
        <w:pStyle w:val="Heading1"/>
        <w:numPr>
          <w:ilvl w:val="0"/>
          <w:numId w:val="5"/>
        </w:numPr>
        <w:spacing w:after="240" w:line="360" w:lineRule="auto"/>
        <w:ind w:left="720" w:hanging="720"/>
        <w:rPr>
          <w:rFonts w:ascii="Times New Roman" w:eastAsia="Times New Roman" w:hAnsi="Times New Roman" w:cs="Times New Roman"/>
          <w:sz w:val="24"/>
          <w:szCs w:val="24"/>
        </w:rPr>
      </w:pPr>
      <w:bookmarkStart w:id="15" w:name="_heading=h.7k3exwpslo6d" w:colFirst="0" w:colLast="0"/>
      <w:bookmarkEnd w:id="15"/>
      <w:r>
        <w:rPr>
          <w:rFonts w:ascii="Times New Roman" w:eastAsia="Times New Roman" w:hAnsi="Times New Roman" w:cs="Times New Roman"/>
          <w:sz w:val="24"/>
          <w:szCs w:val="24"/>
        </w:rPr>
        <w:t>SUBMISSIONS IN SUPPORT OF COSTS</w:t>
      </w:r>
    </w:p>
    <w:p w14:paraId="478948A2" w14:textId="77777777" w:rsidR="004F7C45" w:rsidRDefault="0070226A">
      <w:pPr>
        <w:numPr>
          <w:ilvl w:val="0"/>
          <w:numId w:val="6"/>
        </w:numPr>
        <w:spacing w:before="240" w:after="240" w:line="360" w:lineRule="auto"/>
      </w:pPr>
      <w:r>
        <w:t xml:space="preserve">The Appellant asks for its costs in this appeal to be awarded in accordance with the </w:t>
      </w:r>
      <w:r>
        <w:rPr>
          <w:i/>
          <w:iCs/>
        </w:rPr>
        <w:t xml:space="preserve">Rules </w:t>
      </w:r>
      <w:r>
        <w:t>of the Supreme Environmental Moot Court of Canada.</w:t>
      </w:r>
    </w:p>
    <w:p w14:paraId="78B45008" w14:textId="77777777" w:rsidR="004F7C45" w:rsidRDefault="0070226A">
      <w:pPr>
        <w:pStyle w:val="Heading1"/>
        <w:numPr>
          <w:ilvl w:val="0"/>
          <w:numId w:val="5"/>
        </w:numPr>
        <w:spacing w:after="240" w:line="360" w:lineRule="auto"/>
        <w:ind w:left="720" w:hanging="720"/>
        <w:rPr>
          <w:rFonts w:ascii="Times New Roman" w:eastAsia="Times New Roman" w:hAnsi="Times New Roman" w:cs="Times New Roman"/>
          <w:sz w:val="24"/>
          <w:szCs w:val="24"/>
        </w:rPr>
      </w:pPr>
      <w:bookmarkStart w:id="16" w:name="_heading=h.rba5rioqvnj2" w:colFirst="0" w:colLast="0"/>
      <w:bookmarkEnd w:id="16"/>
      <w:r>
        <w:rPr>
          <w:rFonts w:ascii="Times New Roman" w:eastAsia="Times New Roman" w:hAnsi="Times New Roman" w:cs="Times New Roman"/>
          <w:sz w:val="24"/>
          <w:szCs w:val="24"/>
        </w:rPr>
        <w:t>ORDER SOUGHT</w:t>
      </w:r>
    </w:p>
    <w:p w14:paraId="386F334D" w14:textId="77777777" w:rsidR="004F7C45" w:rsidRDefault="0070226A">
      <w:pPr>
        <w:numPr>
          <w:ilvl w:val="0"/>
          <w:numId w:val="6"/>
        </w:numPr>
        <w:spacing w:before="240" w:after="240" w:line="360" w:lineRule="auto"/>
      </w:pPr>
      <w:r>
        <w:t>The Appellants respectfully request that this Honourable Court allow the appeal, overturn the OCJ decision, and restore the conviction entered by the trial court.</w:t>
      </w:r>
    </w:p>
    <w:p w14:paraId="1D0FD622" w14:textId="77777777" w:rsidR="004F7C45" w:rsidRDefault="004F7C45">
      <w:pPr>
        <w:spacing w:line="360" w:lineRule="auto"/>
      </w:pPr>
    </w:p>
    <w:p w14:paraId="0396A2EF" w14:textId="77777777" w:rsidR="004F7C45" w:rsidRDefault="004F7C45">
      <w:pPr>
        <w:spacing w:line="360" w:lineRule="auto"/>
      </w:pPr>
    </w:p>
    <w:p w14:paraId="44F5505D" w14:textId="77777777" w:rsidR="004F7C45" w:rsidRDefault="004F7C45">
      <w:pPr>
        <w:spacing w:line="360" w:lineRule="auto"/>
      </w:pPr>
    </w:p>
    <w:p w14:paraId="1218D9B4" w14:textId="77777777" w:rsidR="004F7C45" w:rsidRDefault="0070226A">
      <w:pPr>
        <w:spacing w:line="360" w:lineRule="auto"/>
      </w:pPr>
      <w:r>
        <w:t>ALL OF WHICH IS RESPECTFULLY SUBMITTED thi</w:t>
      </w:r>
      <w:bookmarkStart w:id="17" w:name="bookmark=id.k94mgs2bwro9" w:colFirst="0" w:colLast="0"/>
      <w:bookmarkEnd w:id="17"/>
      <w:r>
        <w:t>s 9th day o</w:t>
      </w:r>
      <w:bookmarkStart w:id="18" w:name="bookmark=id.t6ry65g4vluc" w:colFirst="0" w:colLast="0"/>
      <w:bookmarkEnd w:id="18"/>
      <w:r>
        <w:t>f January, 2026.</w:t>
      </w:r>
    </w:p>
    <w:p w14:paraId="5E6480AA" w14:textId="77777777" w:rsidR="004F7C45" w:rsidRDefault="004F7C45">
      <w:pPr>
        <w:spacing w:line="360" w:lineRule="auto"/>
      </w:pPr>
    </w:p>
    <w:p w14:paraId="50A8F564" w14:textId="77777777" w:rsidR="004F7C45" w:rsidRDefault="0070226A">
      <w:pPr>
        <w:jc w:val="right"/>
      </w:pPr>
      <w:r>
        <w:t>_______________________________</w:t>
      </w:r>
    </w:p>
    <w:p w14:paraId="7CDACBED" w14:textId="77777777" w:rsidR="004F7C45" w:rsidRDefault="0070226A">
      <w:pPr>
        <w:jc w:val="right"/>
      </w:pPr>
      <w:r>
        <w:t>Francis Dugga</w:t>
      </w:r>
      <w:bookmarkStart w:id="19" w:name="bookmark=id.3vn00zs1r6p2" w:colFirst="0" w:colLast="0"/>
      <w:bookmarkEnd w:id="19"/>
      <w:r>
        <w:t>n</w:t>
      </w:r>
    </w:p>
    <w:p w14:paraId="70CE31B0" w14:textId="77777777" w:rsidR="004F7C45" w:rsidRDefault="004F7C45">
      <w:pPr>
        <w:jc w:val="right"/>
      </w:pPr>
    </w:p>
    <w:p w14:paraId="3155310A" w14:textId="77777777" w:rsidR="004F7C45" w:rsidRDefault="0070226A">
      <w:pPr>
        <w:jc w:val="right"/>
      </w:pPr>
      <w:r>
        <w:t>_______________________________</w:t>
      </w:r>
    </w:p>
    <w:p w14:paraId="2C47091A" w14:textId="77777777" w:rsidR="004F7C45" w:rsidRDefault="0070226A">
      <w:pPr>
        <w:jc w:val="right"/>
      </w:pPr>
      <w:r>
        <w:t>   Natasha Cvitkovic</w:t>
      </w:r>
    </w:p>
    <w:p w14:paraId="3C34F453" w14:textId="77777777" w:rsidR="004F7C45" w:rsidRDefault="004F7C45">
      <w:pPr>
        <w:jc w:val="right"/>
      </w:pPr>
    </w:p>
    <w:p w14:paraId="568DF1BD" w14:textId="77777777" w:rsidR="004F7C45" w:rsidRDefault="0070226A">
      <w:pPr>
        <w:jc w:val="right"/>
      </w:pPr>
      <w:r>
        <w:t>_______________________________</w:t>
      </w:r>
    </w:p>
    <w:p w14:paraId="1E7FB47B" w14:textId="77777777" w:rsidR="004F7C45" w:rsidRDefault="0070226A">
      <w:pPr>
        <w:jc w:val="right"/>
      </w:pPr>
      <w:r>
        <w:t>     Jackson Kemmis</w:t>
      </w:r>
    </w:p>
    <w:p w14:paraId="243B9DD7" w14:textId="77777777" w:rsidR="004F7C45" w:rsidRDefault="004F7C45">
      <w:pPr>
        <w:jc w:val="right"/>
      </w:pPr>
    </w:p>
    <w:p w14:paraId="1E22FBB4" w14:textId="77777777" w:rsidR="004F7C45" w:rsidRDefault="0070226A">
      <w:pPr>
        <w:jc w:val="right"/>
      </w:pPr>
      <w:r>
        <w:t>Counsel for the Appellant</w:t>
      </w:r>
    </w:p>
    <w:p w14:paraId="3F1EDD84" w14:textId="77777777" w:rsidR="004F7C45" w:rsidRDefault="0070226A">
      <w:pPr>
        <w:jc w:val="right"/>
      </w:pPr>
      <w:r>
        <w:t>His Majesty The King</w:t>
      </w:r>
    </w:p>
    <w:p w14:paraId="1E24E27A" w14:textId="77777777" w:rsidR="004F7C45" w:rsidRDefault="0070226A">
      <w:pPr>
        <w:pStyle w:val="Heading1"/>
        <w:numPr>
          <w:ilvl w:val="0"/>
          <w:numId w:val="5"/>
        </w:numPr>
        <w:spacing w:before="0" w:after="0"/>
        <w:ind w:left="720" w:hanging="720"/>
        <w:rPr>
          <w:rFonts w:ascii="Times New Roman" w:eastAsia="Times New Roman" w:hAnsi="Times New Roman" w:cs="Times New Roman"/>
          <w:sz w:val="24"/>
          <w:szCs w:val="24"/>
        </w:rPr>
      </w:pPr>
      <w:bookmarkStart w:id="20" w:name="_heading=h.802rgu2eyrut" w:colFirst="0" w:colLast="0"/>
      <w:bookmarkEnd w:id="20"/>
      <w:r>
        <w:br w:type="page"/>
      </w:r>
      <w:r>
        <w:rPr>
          <w:rFonts w:ascii="Times New Roman" w:eastAsia="Times New Roman" w:hAnsi="Times New Roman" w:cs="Times New Roman"/>
          <w:sz w:val="24"/>
          <w:szCs w:val="24"/>
        </w:rPr>
        <w:lastRenderedPageBreak/>
        <w:t>TABLE OF AUTHORITIES</w:t>
      </w:r>
    </w:p>
    <w:p w14:paraId="08112DC7" w14:textId="77777777" w:rsidR="004F7C45" w:rsidRDefault="0070226A">
      <w:pPr>
        <w:spacing w:line="360" w:lineRule="auto"/>
        <w:jc w:val="right"/>
        <w:rPr>
          <w:b/>
          <w:bCs/>
        </w:rPr>
      </w:pPr>
      <w:r>
        <w:rPr>
          <w:b/>
          <w:bCs/>
        </w:rPr>
        <w:t>Paragraph No.</w:t>
      </w:r>
    </w:p>
    <w:p w14:paraId="1615DB66" w14:textId="77777777" w:rsidR="004F7C45" w:rsidRDefault="0070226A">
      <w:pPr>
        <w:spacing w:after="200" w:line="360" w:lineRule="auto"/>
        <w:rPr>
          <w:i/>
          <w:iCs/>
        </w:rPr>
      </w:pPr>
      <w:r>
        <w:rPr>
          <w:b/>
          <w:bCs/>
        </w:rPr>
        <w:t>Case Law</w:t>
      </w:r>
    </w:p>
    <w:p w14:paraId="5F8EA30E" w14:textId="77777777" w:rsidR="004F7C45" w:rsidRDefault="0070226A">
      <w:pPr>
        <w:widowControl w:val="0"/>
        <w:spacing w:after="200"/>
      </w:pPr>
      <w:r>
        <w:rPr>
          <w:i/>
          <w:iCs/>
        </w:rPr>
        <w:t xml:space="preserve">Castonguay Blasting Ltd v </w:t>
      </w:r>
      <w:r>
        <w:rPr>
          <w:i/>
          <w:iCs/>
        </w:rPr>
        <w:t>Ontario (Environment)</w:t>
      </w:r>
      <w:r>
        <w:t>, 2013 SCC 52 …………………………….. 23</w:t>
      </w:r>
    </w:p>
    <w:p w14:paraId="7E124977" w14:textId="77777777" w:rsidR="004F7C45" w:rsidRDefault="0070226A">
      <w:pPr>
        <w:widowControl w:val="0"/>
      </w:pPr>
      <w:r>
        <w:rPr>
          <w:i/>
          <w:iCs/>
        </w:rPr>
        <w:t>Housen v Nikolaisen</w:t>
      </w:r>
      <w:r>
        <w:t>, 2002 SCC 33............................................................................. 22, 29-33, 45</w:t>
      </w:r>
    </w:p>
    <w:p w14:paraId="1E996453" w14:textId="77777777" w:rsidR="004F7C45" w:rsidRDefault="004F7C45">
      <w:pPr>
        <w:widowControl w:val="0"/>
      </w:pPr>
    </w:p>
    <w:p w14:paraId="7DAA94FF" w14:textId="77777777" w:rsidR="004F7C45" w:rsidRDefault="0070226A">
      <w:pPr>
        <w:widowControl w:val="0"/>
      </w:pPr>
      <w:r>
        <w:rPr>
          <w:i/>
          <w:iCs/>
        </w:rPr>
        <w:t>JN v CG</w:t>
      </w:r>
      <w:r>
        <w:t>, 2023 ONCA 77............................................................................................................. 41</w:t>
      </w:r>
    </w:p>
    <w:p w14:paraId="1422FA78" w14:textId="77777777" w:rsidR="004F7C45" w:rsidRDefault="004F7C45">
      <w:pPr>
        <w:widowControl w:val="0"/>
      </w:pPr>
    </w:p>
    <w:p w14:paraId="1CEF7C94" w14:textId="77777777" w:rsidR="004F7C45" w:rsidRDefault="0070226A">
      <w:pPr>
        <w:widowControl w:val="0"/>
        <w:spacing w:after="200"/>
      </w:pPr>
      <w:r>
        <w:rPr>
          <w:i/>
          <w:iCs/>
        </w:rPr>
        <w:t>Ontario (Natural Resources and Forestry) v South Bruce Peninsula (Town)</w:t>
      </w:r>
      <w:r>
        <w:t>, 2022 ONCA 315..................................................................................................................................... 23, 24, 58</w:t>
      </w:r>
    </w:p>
    <w:p w14:paraId="2A8AE8F9" w14:textId="77777777" w:rsidR="004F7C45" w:rsidRDefault="0070226A">
      <w:pPr>
        <w:spacing w:before="240" w:after="240"/>
      </w:pPr>
      <w:r>
        <w:rPr>
          <w:i/>
          <w:iCs/>
        </w:rPr>
        <w:t>Pfizer Canada Inc v Teva Canada Limited</w:t>
      </w:r>
      <w:r>
        <w:t>, 2016 FCA 161 (CanLII), [2016] 4 FCR D13…….. 75</w:t>
      </w:r>
    </w:p>
    <w:p w14:paraId="2E185C91" w14:textId="77777777" w:rsidR="004F7C45" w:rsidRDefault="0070226A">
      <w:pPr>
        <w:widowControl w:val="0"/>
        <w:spacing w:after="200"/>
      </w:pPr>
      <w:r>
        <w:rPr>
          <w:i/>
          <w:iCs/>
        </w:rPr>
        <w:t>R v AP</w:t>
      </w:r>
      <w:r>
        <w:t>, 1996 CanLII 871, 92 OAC 376 (ONCA)........................................................................ 42</w:t>
      </w:r>
    </w:p>
    <w:p w14:paraId="77A404C8" w14:textId="77777777" w:rsidR="004F7C45" w:rsidRDefault="0070226A">
      <w:pPr>
        <w:widowControl w:val="0"/>
        <w:spacing w:after="200"/>
      </w:pPr>
      <w:r>
        <w:rPr>
          <w:i/>
          <w:iCs/>
        </w:rPr>
        <w:t>R v Burns</w:t>
      </w:r>
      <w:r>
        <w:t>, 1994 CanLII 127, [1994] 1 SCR 656 (SCC)............................................................... 38</w:t>
      </w:r>
    </w:p>
    <w:p w14:paraId="6A587240" w14:textId="77777777" w:rsidR="004F7C45" w:rsidRDefault="0070226A">
      <w:pPr>
        <w:widowControl w:val="0"/>
        <w:spacing w:after="200"/>
      </w:pPr>
      <w:r>
        <w:rPr>
          <w:i/>
          <w:iCs/>
        </w:rPr>
        <w:t>R v Consolidated Homes Ltd</w:t>
      </w:r>
      <w:r>
        <w:t>., 2025 ONCA 41 ...................................................16, 20, 26, 27, 31</w:t>
      </w:r>
    </w:p>
    <w:p w14:paraId="5E23FC5B" w14:textId="77777777" w:rsidR="004F7C45" w:rsidRDefault="0070226A">
      <w:pPr>
        <w:widowControl w:val="0"/>
        <w:spacing w:after="200"/>
      </w:pPr>
      <w:r>
        <w:rPr>
          <w:i/>
          <w:iCs/>
        </w:rPr>
        <w:t>R v Consolidated Homes Ltd.</w:t>
      </w:r>
      <w:r>
        <w:t xml:space="preserve"> (20 August 2024), North Bay (OCJ) ... 9, 12, 16, 17, 19, 21, 25, 26, 33, 35, 50, 51, 60, </w:t>
      </w:r>
    </w:p>
    <w:p w14:paraId="2595199C" w14:textId="77777777" w:rsidR="004F7C45" w:rsidRDefault="0070226A">
      <w:pPr>
        <w:widowControl w:val="0"/>
        <w:spacing w:after="200"/>
      </w:pPr>
      <w:r>
        <w:rPr>
          <w:i/>
          <w:iCs/>
        </w:rPr>
        <w:t xml:space="preserve">R v Consolidated Homes Ltd. </w:t>
      </w:r>
      <w:r>
        <w:t>(12 October 2022), North Bay (OCJ) ... 11-18, 26, 27, 31, 34, 60, 62, 71, 73</w:t>
      </w:r>
    </w:p>
    <w:p w14:paraId="64043463" w14:textId="77777777" w:rsidR="004F7C45" w:rsidRDefault="0070226A">
      <w:pPr>
        <w:widowControl w:val="0"/>
      </w:pPr>
      <w:r>
        <w:rPr>
          <w:i/>
          <w:iCs/>
        </w:rPr>
        <w:t>R v Doodnaught</w:t>
      </w:r>
      <w:r>
        <w:t>, 2017 ONCA 781............................................................................................... 39</w:t>
      </w:r>
    </w:p>
    <w:p w14:paraId="105A9515" w14:textId="77777777" w:rsidR="004F7C45" w:rsidRDefault="004F7C45">
      <w:pPr>
        <w:widowControl w:val="0"/>
      </w:pPr>
    </w:p>
    <w:p w14:paraId="7E15F54E" w14:textId="77777777" w:rsidR="004F7C45" w:rsidRDefault="0070226A">
      <w:pPr>
        <w:widowControl w:val="0"/>
      </w:pPr>
      <w:r>
        <w:rPr>
          <w:i/>
          <w:iCs/>
        </w:rPr>
        <w:t>R v Millar</w:t>
      </w:r>
      <w:r>
        <w:t>, 1989 CanLII 7151, 49 CCC (3d) 193 (SCC).............................................................. 39</w:t>
      </w:r>
    </w:p>
    <w:p w14:paraId="2B70B7C2" w14:textId="77777777" w:rsidR="004F7C45" w:rsidRDefault="004F7C45">
      <w:pPr>
        <w:widowControl w:val="0"/>
      </w:pPr>
    </w:p>
    <w:p w14:paraId="1E466239" w14:textId="77777777" w:rsidR="004F7C45" w:rsidRDefault="0070226A">
      <w:pPr>
        <w:widowControl w:val="0"/>
      </w:pPr>
      <w:r>
        <w:rPr>
          <w:i/>
          <w:iCs/>
        </w:rPr>
        <w:t>R v SAB</w:t>
      </w:r>
      <w:r>
        <w:t>, 2003 SCC 60………………………………………………………………………….. 38</w:t>
      </w:r>
    </w:p>
    <w:p w14:paraId="0D32E8E5" w14:textId="77777777" w:rsidR="004F7C45" w:rsidRDefault="004F7C45">
      <w:pPr>
        <w:widowControl w:val="0"/>
      </w:pPr>
    </w:p>
    <w:p w14:paraId="751D57E7" w14:textId="77777777" w:rsidR="004F7C45" w:rsidRDefault="0070226A">
      <w:pPr>
        <w:widowControl w:val="0"/>
      </w:pPr>
      <w:r>
        <w:rPr>
          <w:i/>
          <w:iCs/>
        </w:rPr>
        <w:t>R v Sheppard</w:t>
      </w:r>
      <w:r>
        <w:t>, 2002 SCC 26…………………………………………………………………..… 45</w:t>
      </w:r>
    </w:p>
    <w:p w14:paraId="01C23A66" w14:textId="77777777" w:rsidR="004F7C45" w:rsidRDefault="004F7C45">
      <w:pPr>
        <w:widowControl w:val="0"/>
        <w:rPr>
          <w:i/>
          <w:iCs/>
        </w:rPr>
      </w:pPr>
    </w:p>
    <w:p w14:paraId="134709BD" w14:textId="77777777" w:rsidR="004F7C45" w:rsidRDefault="0070226A">
      <w:pPr>
        <w:widowControl w:val="0"/>
      </w:pPr>
      <w:r>
        <w:rPr>
          <w:i/>
          <w:iCs/>
        </w:rPr>
        <w:t>R v Villaroman,</w:t>
      </w:r>
      <w:r>
        <w:t xml:space="preserve"> 2016 SCC 33 ................................................................................................ 27</w:t>
      </w:r>
    </w:p>
    <w:p w14:paraId="274D515C" w14:textId="77777777" w:rsidR="004F7C45" w:rsidRDefault="004F7C45">
      <w:pPr>
        <w:widowControl w:val="0"/>
      </w:pPr>
    </w:p>
    <w:p w14:paraId="5C36FBA7" w14:textId="77777777" w:rsidR="004F7C45" w:rsidRDefault="0070226A">
      <w:pPr>
        <w:widowControl w:val="0"/>
      </w:pPr>
      <w:r>
        <w:rPr>
          <w:i/>
          <w:iCs/>
        </w:rPr>
        <w:t>R v Wilson</w:t>
      </w:r>
      <w:r>
        <w:t>, 2025 SCC 32……………………………………………………………………….. 63</w:t>
      </w:r>
    </w:p>
    <w:p w14:paraId="44612F94" w14:textId="77777777" w:rsidR="004F7C45" w:rsidRDefault="004F7C45">
      <w:pPr>
        <w:widowControl w:val="0"/>
      </w:pPr>
    </w:p>
    <w:p w14:paraId="5F6B088C" w14:textId="77777777" w:rsidR="004F7C45" w:rsidRDefault="0070226A">
      <w:pPr>
        <w:spacing w:line="360" w:lineRule="auto"/>
        <w:rPr>
          <w:b/>
          <w:bCs/>
        </w:rPr>
      </w:pPr>
      <w:r>
        <w:rPr>
          <w:b/>
          <w:bCs/>
        </w:rPr>
        <w:t>Legislation</w:t>
      </w:r>
    </w:p>
    <w:p w14:paraId="2833BD26" w14:textId="77777777" w:rsidR="004F7C45" w:rsidRDefault="0070226A">
      <w:r>
        <w:rPr>
          <w:i/>
          <w:iCs/>
        </w:rPr>
        <w:t>Endangered Species Act</w:t>
      </w:r>
      <w:r>
        <w:t>, 2007, SO 2007, c 6, as it appeared between 5 June 2008 and 4 June 2019, https://www.ontario.ca/laws/statute/07e06/v2 ……………………10, 21, 24, 25, 26,  44, 53, 63, 66</w:t>
      </w:r>
    </w:p>
    <w:p w14:paraId="63EC2FEC" w14:textId="77777777" w:rsidR="004F7C45" w:rsidRDefault="004F7C45">
      <w:pPr>
        <w:rPr>
          <w:i/>
          <w:iCs/>
        </w:rPr>
      </w:pPr>
    </w:p>
    <w:p w14:paraId="76F757C2" w14:textId="77777777" w:rsidR="004F7C45" w:rsidRDefault="0070226A">
      <w:r>
        <w:rPr>
          <w:i/>
          <w:iCs/>
        </w:rPr>
        <w:t>Protecting Ontario by Unleashing our Economy Act, 2025, SO 2025, c2, Sched 2, s2(3).</w:t>
      </w:r>
      <w:r>
        <w:t>…….. 66</w:t>
      </w:r>
    </w:p>
    <w:p w14:paraId="09EEA451" w14:textId="77777777" w:rsidR="004F7C45" w:rsidRDefault="004F7C45"/>
    <w:p w14:paraId="23226E33" w14:textId="77777777" w:rsidR="004F7C45" w:rsidRDefault="004F7C45">
      <w:pPr>
        <w:spacing w:line="360" w:lineRule="auto"/>
        <w:rPr>
          <w:b/>
          <w:bCs/>
        </w:rPr>
      </w:pPr>
    </w:p>
    <w:p w14:paraId="7AEA6BE5" w14:textId="77777777" w:rsidR="004F7C45" w:rsidRDefault="0070226A">
      <w:pPr>
        <w:spacing w:line="360" w:lineRule="auto"/>
        <w:rPr>
          <w:b/>
          <w:bCs/>
        </w:rPr>
      </w:pPr>
      <w:r>
        <w:rPr>
          <w:b/>
          <w:bCs/>
        </w:rPr>
        <w:t>Secondary Sources</w:t>
      </w:r>
    </w:p>
    <w:p w14:paraId="0E3A3A70" w14:textId="77777777" w:rsidR="004F7C45" w:rsidRDefault="0070226A">
      <w:pPr>
        <w:widowControl w:val="0"/>
      </w:pPr>
      <w:r>
        <w:t xml:space="preserve">Ontario, Ministry of Natural Resources, </w:t>
      </w:r>
      <w:r>
        <w:rPr>
          <w:i/>
          <w:iCs/>
        </w:rPr>
        <w:t>Explanation of key terms relating to habitat identification, description and protection under the Endangered Species Act</w:t>
      </w:r>
      <w:r>
        <w:t>, 2007, (SAR Bulletin 4.2, 2008)................................................................................................................... 55-58</w:t>
      </w:r>
      <w:r>
        <w:br w:type="page"/>
      </w:r>
      <w:r>
        <w:lastRenderedPageBreak/>
        <w:t>LEGISLATION AT ISSUE</w:t>
      </w:r>
    </w:p>
    <w:p w14:paraId="6AE0931B" w14:textId="77777777" w:rsidR="004F7C45" w:rsidRDefault="004F7C45">
      <w:pPr>
        <w:spacing w:after="200" w:line="360" w:lineRule="auto"/>
        <w:jc w:val="both"/>
        <w:rPr>
          <w:b/>
          <w:bCs/>
          <w:sz w:val="22"/>
          <w:szCs w:val="22"/>
          <w:u w:val="single"/>
        </w:rPr>
      </w:pPr>
    </w:p>
    <w:p w14:paraId="44786A65" w14:textId="77777777" w:rsidR="004F7C45" w:rsidRDefault="0070226A">
      <w:pPr>
        <w:spacing w:after="200" w:line="360" w:lineRule="auto"/>
        <w:jc w:val="both"/>
        <w:rPr>
          <w:b/>
          <w:bCs/>
          <w:sz w:val="22"/>
          <w:szCs w:val="22"/>
          <w:u w:val="single"/>
        </w:rPr>
      </w:pPr>
      <w:r>
        <w:rPr>
          <w:b/>
          <w:bCs/>
          <w:sz w:val="22"/>
          <w:szCs w:val="22"/>
          <w:u w:val="single"/>
        </w:rPr>
        <w:t>Endangered Species Act, 2007, SO 2007, c 6, as it appeared between 5 June 2008 and 4 June 2019, https://www.ontario.ca/laws/statute/07e06/v2</w:t>
      </w:r>
    </w:p>
    <w:p w14:paraId="5A967AA2" w14:textId="77777777" w:rsidR="004F7C45" w:rsidRDefault="0070226A">
      <w:pPr>
        <w:spacing w:after="200" w:line="360" w:lineRule="auto"/>
        <w:jc w:val="both"/>
        <w:rPr>
          <w:b/>
          <w:bCs/>
          <w:sz w:val="22"/>
          <w:szCs w:val="22"/>
        </w:rPr>
      </w:pPr>
      <w:r>
        <w:rPr>
          <w:b/>
          <w:bCs/>
          <w:sz w:val="22"/>
          <w:szCs w:val="22"/>
        </w:rPr>
        <w:t>Preamble</w:t>
      </w:r>
    </w:p>
    <w:p w14:paraId="59EB7FCD" w14:textId="77777777" w:rsidR="004F7C45" w:rsidRDefault="0070226A">
      <w:pPr>
        <w:spacing w:after="200" w:line="360" w:lineRule="auto"/>
        <w:jc w:val="both"/>
        <w:rPr>
          <w:sz w:val="22"/>
          <w:szCs w:val="22"/>
        </w:rPr>
      </w:pPr>
      <w:r>
        <w:rPr>
          <w:sz w:val="22"/>
          <w:szCs w:val="22"/>
        </w:rPr>
        <w:t>…The United Nations Convention on Biological Diversity takes note of the precautionary principle, which, as described in the Convention, states that, where there is a threat of significant reduction or loss of biological diversity, lack of full scientific certainty should not be used as a reason for postponing measures to avoid or minimize such a threat ..</w:t>
      </w:r>
    </w:p>
    <w:p w14:paraId="3A92CB57" w14:textId="77777777" w:rsidR="004F7C45" w:rsidRDefault="0070226A">
      <w:pPr>
        <w:spacing w:after="200" w:line="360" w:lineRule="auto"/>
        <w:jc w:val="both"/>
        <w:rPr>
          <w:b/>
          <w:bCs/>
          <w:sz w:val="22"/>
          <w:szCs w:val="22"/>
        </w:rPr>
      </w:pPr>
      <w:r>
        <w:rPr>
          <w:b/>
          <w:bCs/>
          <w:sz w:val="22"/>
          <w:szCs w:val="22"/>
        </w:rPr>
        <w:t>Purposes</w:t>
      </w:r>
    </w:p>
    <w:p w14:paraId="2C8FA9B7" w14:textId="77777777" w:rsidR="004F7C45" w:rsidRDefault="0070226A">
      <w:pPr>
        <w:numPr>
          <w:ilvl w:val="0"/>
          <w:numId w:val="1"/>
        </w:numPr>
        <w:spacing w:after="200" w:line="360" w:lineRule="auto"/>
        <w:jc w:val="both"/>
        <w:rPr>
          <w:sz w:val="22"/>
          <w:szCs w:val="22"/>
        </w:rPr>
      </w:pPr>
      <w:r>
        <w:rPr>
          <w:sz w:val="22"/>
          <w:szCs w:val="22"/>
        </w:rPr>
        <w:t>The purposes of this Act are:</w:t>
      </w:r>
    </w:p>
    <w:p w14:paraId="1E6E948B" w14:textId="77777777" w:rsidR="004F7C45" w:rsidRDefault="0070226A">
      <w:pPr>
        <w:spacing w:after="200" w:line="360" w:lineRule="auto"/>
        <w:ind w:left="720"/>
        <w:jc w:val="both"/>
        <w:rPr>
          <w:sz w:val="22"/>
          <w:szCs w:val="22"/>
        </w:rPr>
      </w:pPr>
      <w:r>
        <w:rPr>
          <w:sz w:val="22"/>
          <w:szCs w:val="22"/>
        </w:rPr>
        <w:t>1.  To identify species at risk based on the best available scientific information, including information obtained from community knowledge and Indigenous traditional knowledge.</w:t>
      </w:r>
    </w:p>
    <w:p w14:paraId="134561C7" w14:textId="77777777" w:rsidR="004F7C45" w:rsidRDefault="0070226A">
      <w:pPr>
        <w:spacing w:after="200" w:line="360" w:lineRule="auto"/>
        <w:ind w:left="720"/>
        <w:jc w:val="both"/>
        <w:rPr>
          <w:sz w:val="22"/>
          <w:szCs w:val="22"/>
        </w:rPr>
      </w:pPr>
      <w:r>
        <w:rPr>
          <w:sz w:val="22"/>
          <w:szCs w:val="22"/>
        </w:rPr>
        <w:t>2.  To provide for the protection and conservation of species at risk while taking into account social and economic considerations including the need for sustainable economic growth in Ontario.</w:t>
      </w:r>
    </w:p>
    <w:p w14:paraId="67C4DB7E" w14:textId="77777777" w:rsidR="004F7C45" w:rsidRDefault="0070226A">
      <w:pPr>
        <w:spacing w:after="200" w:line="360" w:lineRule="auto"/>
        <w:jc w:val="both"/>
        <w:rPr>
          <w:b/>
          <w:bCs/>
          <w:sz w:val="22"/>
          <w:szCs w:val="22"/>
        </w:rPr>
      </w:pPr>
      <w:r>
        <w:rPr>
          <w:b/>
          <w:bCs/>
          <w:sz w:val="22"/>
          <w:szCs w:val="22"/>
        </w:rPr>
        <w:t>Definitions</w:t>
      </w:r>
    </w:p>
    <w:p w14:paraId="06256691" w14:textId="77777777" w:rsidR="004F7C45" w:rsidRDefault="0070226A">
      <w:pPr>
        <w:spacing w:after="200" w:line="360" w:lineRule="auto"/>
        <w:jc w:val="both"/>
        <w:rPr>
          <w:sz w:val="22"/>
          <w:szCs w:val="22"/>
        </w:rPr>
      </w:pPr>
      <w:r>
        <w:rPr>
          <w:b/>
          <w:bCs/>
          <w:sz w:val="22"/>
          <w:szCs w:val="22"/>
        </w:rPr>
        <w:t>2</w:t>
      </w:r>
      <w:r>
        <w:rPr>
          <w:sz w:val="22"/>
          <w:szCs w:val="22"/>
        </w:rPr>
        <w:t>(1) In this Act,</w:t>
      </w:r>
    </w:p>
    <w:p w14:paraId="63DC6A77" w14:textId="77777777" w:rsidR="004F7C45" w:rsidRDefault="0070226A">
      <w:pPr>
        <w:spacing w:after="200" w:line="360" w:lineRule="auto"/>
        <w:jc w:val="both"/>
        <w:rPr>
          <w:sz w:val="22"/>
          <w:szCs w:val="22"/>
        </w:rPr>
      </w:pPr>
      <w:r>
        <w:rPr>
          <w:sz w:val="22"/>
          <w:szCs w:val="22"/>
        </w:rPr>
        <w:t>“habitat” means,</w:t>
      </w:r>
    </w:p>
    <w:p w14:paraId="19ED545D" w14:textId="77777777" w:rsidR="004F7C45" w:rsidRDefault="0070226A">
      <w:pPr>
        <w:numPr>
          <w:ilvl w:val="0"/>
          <w:numId w:val="3"/>
        </w:numPr>
        <w:spacing w:line="360" w:lineRule="auto"/>
        <w:jc w:val="both"/>
        <w:rPr>
          <w:sz w:val="22"/>
          <w:szCs w:val="22"/>
        </w:rPr>
      </w:pPr>
      <w:r>
        <w:rPr>
          <w:sz w:val="22"/>
          <w:szCs w:val="22"/>
        </w:rPr>
        <w:t>with respect to a species of animal, plant or other organism for which a regulation made under clause 55 (1) (a) is in force, the area prescribed by that regulation as the habitat of the species, or</w:t>
      </w:r>
    </w:p>
    <w:p w14:paraId="40CA344C" w14:textId="77777777" w:rsidR="004F7C45" w:rsidRDefault="0070226A">
      <w:pPr>
        <w:numPr>
          <w:ilvl w:val="0"/>
          <w:numId w:val="3"/>
        </w:numPr>
        <w:spacing w:after="200" w:line="360" w:lineRule="auto"/>
        <w:jc w:val="both"/>
        <w:rPr>
          <w:sz w:val="22"/>
          <w:szCs w:val="22"/>
        </w:rPr>
      </w:pPr>
      <w:r>
        <w:rPr>
          <w:sz w:val="22"/>
          <w:szCs w:val="22"/>
        </w:rPr>
        <w:t>with respect to any other species of animal, plant or other organism, an area on which the species depends, directly or indirectly, to carry on its life processes, including life processes such as reproduction, rearing, hibernation, migration or feeding,</w:t>
      </w:r>
    </w:p>
    <w:p w14:paraId="28453083" w14:textId="77777777" w:rsidR="004F7C45" w:rsidRDefault="0070226A">
      <w:pPr>
        <w:spacing w:after="200" w:line="360" w:lineRule="auto"/>
        <w:jc w:val="both"/>
        <w:rPr>
          <w:sz w:val="22"/>
          <w:szCs w:val="22"/>
        </w:rPr>
      </w:pPr>
      <w:r>
        <w:rPr>
          <w:b/>
          <w:bCs/>
          <w:sz w:val="22"/>
          <w:szCs w:val="22"/>
        </w:rPr>
        <w:t>Definition of “habitat”, cl. (b)</w:t>
      </w:r>
    </w:p>
    <w:p w14:paraId="0162D075" w14:textId="77777777" w:rsidR="004F7C45" w:rsidRDefault="0070226A">
      <w:pPr>
        <w:spacing w:after="200" w:line="360" w:lineRule="auto"/>
        <w:jc w:val="both"/>
        <w:rPr>
          <w:sz w:val="22"/>
          <w:szCs w:val="22"/>
        </w:rPr>
      </w:pPr>
      <w:r>
        <w:rPr>
          <w:sz w:val="22"/>
          <w:szCs w:val="22"/>
        </w:rPr>
        <w:t>(2)  For greater certainty, clause (b) of the definition of “habitat” in subsection (1) does not include an area where the species formerly occurred or has the potential to be reintroduced unless existing members of the species depend on that area to carry on their life processes. 2007, c. 6, s. 2 (2).</w:t>
      </w:r>
    </w:p>
    <w:p w14:paraId="46E3DB31" w14:textId="77777777" w:rsidR="004F7C45" w:rsidRDefault="0070226A">
      <w:pPr>
        <w:spacing w:after="200" w:line="360" w:lineRule="auto"/>
        <w:jc w:val="both"/>
        <w:rPr>
          <w:b/>
          <w:bCs/>
          <w:sz w:val="22"/>
          <w:szCs w:val="22"/>
        </w:rPr>
      </w:pPr>
      <w:r>
        <w:rPr>
          <w:b/>
          <w:bCs/>
          <w:sz w:val="22"/>
          <w:szCs w:val="22"/>
        </w:rPr>
        <w:lastRenderedPageBreak/>
        <w:t>Prohibition on damage to habitat, etc.</w:t>
      </w:r>
    </w:p>
    <w:p w14:paraId="2E5CB39B" w14:textId="77777777" w:rsidR="004F7C45" w:rsidRDefault="0070226A">
      <w:pPr>
        <w:spacing w:after="200" w:line="360" w:lineRule="auto"/>
        <w:jc w:val="both"/>
        <w:rPr>
          <w:sz w:val="22"/>
          <w:szCs w:val="22"/>
        </w:rPr>
      </w:pPr>
      <w:r>
        <w:rPr>
          <w:b/>
          <w:bCs/>
          <w:sz w:val="22"/>
          <w:szCs w:val="22"/>
        </w:rPr>
        <w:t>10</w:t>
      </w:r>
      <w:r>
        <w:rPr>
          <w:sz w:val="22"/>
          <w:szCs w:val="22"/>
        </w:rPr>
        <w:t xml:space="preserve"> (1) No person shall damage or destroy the habitat of,</w:t>
      </w:r>
    </w:p>
    <w:p w14:paraId="35630738" w14:textId="77777777" w:rsidR="004F7C45" w:rsidRDefault="0070226A">
      <w:pPr>
        <w:numPr>
          <w:ilvl w:val="0"/>
          <w:numId w:val="2"/>
        </w:numPr>
        <w:spacing w:line="360" w:lineRule="auto"/>
        <w:jc w:val="both"/>
        <w:rPr>
          <w:sz w:val="22"/>
          <w:szCs w:val="22"/>
        </w:rPr>
      </w:pPr>
      <w:r>
        <w:rPr>
          <w:sz w:val="22"/>
          <w:szCs w:val="22"/>
        </w:rPr>
        <w:t xml:space="preserve"> a species that is listed on the Species at Risk in Ontario List as an endangered or threatened species; or</w:t>
      </w:r>
    </w:p>
    <w:p w14:paraId="3318B4E1" w14:textId="77777777" w:rsidR="004F7C45" w:rsidRDefault="0070226A">
      <w:pPr>
        <w:numPr>
          <w:ilvl w:val="0"/>
          <w:numId w:val="2"/>
        </w:numPr>
        <w:spacing w:after="200" w:line="360" w:lineRule="auto"/>
        <w:jc w:val="both"/>
        <w:rPr>
          <w:sz w:val="22"/>
          <w:szCs w:val="22"/>
        </w:rPr>
      </w:pPr>
      <w:r>
        <w:rPr>
          <w:sz w:val="22"/>
          <w:szCs w:val="22"/>
        </w:rPr>
        <w:t>a species that is listed on the Species at Risk in Ontario List as an extirpated species, if the species is prescribed by the regulations for the purpose of this clause.  2007, c. 6, s. 10 (1).</w:t>
      </w:r>
    </w:p>
    <w:p w14:paraId="55DFE4CB" w14:textId="77777777" w:rsidR="004F7C45" w:rsidRDefault="0070226A">
      <w:pPr>
        <w:spacing w:after="200" w:line="360" w:lineRule="auto"/>
        <w:jc w:val="both"/>
        <w:rPr>
          <w:b/>
          <w:bCs/>
          <w:sz w:val="22"/>
          <w:szCs w:val="22"/>
          <w:u w:val="single"/>
        </w:rPr>
      </w:pPr>
      <w:r>
        <w:rPr>
          <w:b/>
          <w:bCs/>
          <w:sz w:val="22"/>
          <w:szCs w:val="22"/>
          <w:u w:val="single"/>
        </w:rPr>
        <w:t xml:space="preserve">Protecting Ontario by Unleashing our Economy Act, 2025, S.O. 2025, c. 2, Sched. 2, s. 2(3). </w:t>
      </w:r>
    </w:p>
    <w:p w14:paraId="09591D69" w14:textId="77777777" w:rsidR="004F7C45" w:rsidRDefault="0070226A">
      <w:pPr>
        <w:spacing w:after="200" w:line="360" w:lineRule="auto"/>
        <w:jc w:val="both"/>
        <w:rPr>
          <w:b/>
          <w:bCs/>
          <w:sz w:val="22"/>
          <w:szCs w:val="22"/>
        </w:rPr>
      </w:pPr>
      <w:r>
        <w:rPr>
          <w:b/>
          <w:bCs/>
          <w:sz w:val="22"/>
          <w:szCs w:val="22"/>
        </w:rPr>
        <w:t>Definitions</w:t>
      </w:r>
    </w:p>
    <w:p w14:paraId="3AC9FA92" w14:textId="77777777" w:rsidR="004F7C45" w:rsidRDefault="0070226A">
      <w:pPr>
        <w:spacing w:after="200" w:line="360" w:lineRule="auto"/>
        <w:jc w:val="both"/>
        <w:rPr>
          <w:b/>
          <w:bCs/>
          <w:sz w:val="22"/>
          <w:szCs w:val="22"/>
          <w:u w:val="single"/>
        </w:rPr>
      </w:pPr>
      <w:r>
        <w:rPr>
          <w:b/>
          <w:bCs/>
          <w:sz w:val="22"/>
          <w:szCs w:val="22"/>
        </w:rPr>
        <w:t>2</w:t>
      </w:r>
      <w:r>
        <w:rPr>
          <w:sz w:val="22"/>
          <w:szCs w:val="22"/>
        </w:rPr>
        <w:t>(1) In this Act,</w:t>
      </w:r>
    </w:p>
    <w:p w14:paraId="719E7A12" w14:textId="77777777" w:rsidR="004F7C45" w:rsidRDefault="0070226A">
      <w:pPr>
        <w:spacing w:after="200" w:line="360" w:lineRule="auto"/>
        <w:jc w:val="both"/>
        <w:rPr>
          <w:sz w:val="22"/>
          <w:szCs w:val="22"/>
        </w:rPr>
      </w:pPr>
      <w:r>
        <w:rPr>
          <w:sz w:val="22"/>
          <w:szCs w:val="22"/>
        </w:rPr>
        <w:t>“habitat” means, subject to subsection (3),</w:t>
      </w:r>
    </w:p>
    <w:p w14:paraId="67BDE5DE" w14:textId="77777777" w:rsidR="004F7C45" w:rsidRDefault="0070226A">
      <w:pPr>
        <w:spacing w:after="200" w:line="360" w:lineRule="auto"/>
        <w:jc w:val="both"/>
        <w:rPr>
          <w:sz w:val="22"/>
          <w:szCs w:val="22"/>
        </w:rPr>
      </w:pPr>
      <w:r>
        <w:rPr>
          <w:sz w:val="22"/>
          <w:szCs w:val="22"/>
        </w:rPr>
        <w:t>(a)  in respect of an animal species,</w:t>
      </w:r>
    </w:p>
    <w:p w14:paraId="7B28740D" w14:textId="77777777" w:rsidR="004F7C45" w:rsidRDefault="0070226A">
      <w:pPr>
        <w:spacing w:after="200" w:line="360" w:lineRule="auto"/>
        <w:ind w:left="720"/>
        <w:jc w:val="both"/>
        <w:rPr>
          <w:sz w:val="22"/>
          <w:szCs w:val="22"/>
        </w:rPr>
      </w:pPr>
      <w:r>
        <w:rPr>
          <w:sz w:val="22"/>
          <w:szCs w:val="22"/>
        </w:rPr>
        <w:t>(i) a dwelling-place, such as a den, nest or other similar place, that is occupied or habitually occupied by one or more members of a species for the purposes of breeding, rearing, staging, wintering or hibernating, and</w:t>
      </w:r>
    </w:p>
    <w:p w14:paraId="59F900F8" w14:textId="77777777" w:rsidR="004F7C45" w:rsidRDefault="0070226A">
      <w:pPr>
        <w:spacing w:after="200" w:line="360" w:lineRule="auto"/>
        <w:ind w:left="720"/>
        <w:jc w:val="both"/>
        <w:rPr>
          <w:b/>
          <w:bCs/>
          <w:u w:val="single"/>
        </w:rPr>
        <w:sectPr w:rsidR="004F7C45">
          <w:headerReference w:type="default" r:id="rId16"/>
          <w:headerReference w:type="first" r:id="rId17"/>
          <w:pgSz w:w="12240" w:h="15840"/>
          <w:pgMar w:top="1440" w:right="1440" w:bottom="1440" w:left="1440" w:header="720" w:footer="720" w:gutter="0"/>
          <w:pgNumType w:start="1"/>
          <w:cols w:space="720"/>
          <w:titlePg/>
        </w:sectPr>
      </w:pPr>
      <w:r>
        <w:rPr>
          <w:sz w:val="22"/>
          <w:szCs w:val="22"/>
        </w:rPr>
        <w:t xml:space="preserve">(ii) the area immediately around a dwelling place described in subclause (i) that is </w:t>
      </w:r>
      <w:r>
        <w:rPr>
          <w:sz w:val="22"/>
          <w:szCs w:val="22"/>
        </w:rPr>
        <w:t>essential for the purposes set out in that subclause.</w:t>
      </w:r>
    </w:p>
    <w:p w14:paraId="40A719D0" w14:textId="77777777" w:rsidR="004F7C45" w:rsidRDefault="004F7C45">
      <w:pPr>
        <w:widowControl w:val="0"/>
        <w:pBdr>
          <w:top w:val="nil"/>
          <w:left w:val="nil"/>
          <w:bottom w:val="nil"/>
          <w:right w:val="nil"/>
          <w:between w:val="nil"/>
        </w:pBdr>
        <w:spacing w:line="276" w:lineRule="auto"/>
      </w:pPr>
    </w:p>
    <w:tbl>
      <w:tblPr>
        <w:tblStyle w:val="a"/>
        <w:tblW w:w="12960" w:type="dxa"/>
        <w:tblLayout w:type="fixed"/>
        <w:tblLook w:val="0000" w:firstRow="0" w:lastRow="0" w:firstColumn="0" w:lastColumn="0" w:noHBand="0" w:noVBand="0"/>
      </w:tblPr>
      <w:tblGrid>
        <w:gridCol w:w="5941"/>
        <w:gridCol w:w="1105"/>
        <w:gridCol w:w="5914"/>
      </w:tblGrid>
      <w:tr w:rsidR="004F7C45" w14:paraId="08195592" w14:textId="77777777">
        <w:tc>
          <w:tcPr>
            <w:tcW w:w="5941" w:type="dxa"/>
            <w:tcBorders>
              <w:top w:val="nil"/>
              <w:left w:val="nil"/>
              <w:bottom w:val="nil"/>
              <w:right w:val="nil"/>
            </w:tcBorders>
          </w:tcPr>
          <w:p w14:paraId="659613BB" w14:textId="77777777" w:rsidR="004F7C45" w:rsidRDefault="0070226A">
            <w:pPr>
              <w:rPr>
                <w:b/>
                <w:bCs/>
              </w:rPr>
            </w:pPr>
            <w:r>
              <w:rPr>
                <w:b/>
                <w:bCs/>
              </w:rPr>
              <w:t>HIS MAJESTY THE KING</w:t>
            </w:r>
          </w:p>
        </w:tc>
        <w:tc>
          <w:tcPr>
            <w:tcW w:w="1105" w:type="dxa"/>
            <w:tcBorders>
              <w:top w:val="nil"/>
              <w:left w:val="nil"/>
              <w:bottom w:val="nil"/>
              <w:right w:val="nil"/>
            </w:tcBorders>
          </w:tcPr>
          <w:p w14:paraId="497FDE99" w14:textId="77777777" w:rsidR="004F7C45" w:rsidRDefault="0070226A">
            <w:pPr>
              <w:ind w:left="-479"/>
              <w:jc w:val="center"/>
              <w:rPr>
                <w:b/>
                <w:bCs/>
              </w:rPr>
            </w:pPr>
            <w:r>
              <w:rPr>
                <w:b/>
                <w:bCs/>
              </w:rPr>
              <w:t>-and-</w:t>
            </w:r>
          </w:p>
        </w:tc>
        <w:tc>
          <w:tcPr>
            <w:tcW w:w="5914" w:type="dxa"/>
            <w:tcBorders>
              <w:top w:val="nil"/>
              <w:left w:val="nil"/>
              <w:bottom w:val="nil"/>
              <w:right w:val="nil"/>
            </w:tcBorders>
          </w:tcPr>
          <w:p w14:paraId="498B827A" w14:textId="77777777" w:rsidR="004F7C45" w:rsidRDefault="0070226A">
            <w:pPr>
              <w:jc w:val="right"/>
              <w:rPr>
                <w:b/>
                <w:bCs/>
              </w:rPr>
            </w:pPr>
            <w:r>
              <w:rPr>
                <w:b/>
                <w:bCs/>
              </w:rPr>
              <w:t>CONSOLIDATED HOMES LTD.</w:t>
            </w:r>
          </w:p>
        </w:tc>
      </w:tr>
      <w:tr w:rsidR="004F7C45" w14:paraId="1B7302B4" w14:textId="77777777">
        <w:tc>
          <w:tcPr>
            <w:tcW w:w="5941" w:type="dxa"/>
            <w:tcBorders>
              <w:top w:val="nil"/>
              <w:left w:val="nil"/>
              <w:bottom w:val="nil"/>
              <w:right w:val="nil"/>
            </w:tcBorders>
          </w:tcPr>
          <w:p w14:paraId="4EF46DF2" w14:textId="77777777" w:rsidR="004F7C45" w:rsidRDefault="0070226A">
            <w:r>
              <w:t>APPELLANT</w:t>
            </w:r>
            <w:r>
              <w:br/>
            </w:r>
          </w:p>
        </w:tc>
        <w:tc>
          <w:tcPr>
            <w:tcW w:w="1105" w:type="dxa"/>
            <w:tcBorders>
              <w:top w:val="nil"/>
              <w:left w:val="nil"/>
              <w:bottom w:val="nil"/>
              <w:right w:val="nil"/>
            </w:tcBorders>
          </w:tcPr>
          <w:p w14:paraId="122AC7B1" w14:textId="77777777" w:rsidR="004F7C45" w:rsidRDefault="004F7C45">
            <w:pPr>
              <w:jc w:val="center"/>
            </w:pPr>
          </w:p>
        </w:tc>
        <w:tc>
          <w:tcPr>
            <w:tcW w:w="5914" w:type="dxa"/>
            <w:tcBorders>
              <w:top w:val="nil"/>
              <w:left w:val="nil"/>
              <w:bottom w:val="nil"/>
              <w:right w:val="nil"/>
            </w:tcBorders>
          </w:tcPr>
          <w:p w14:paraId="0E3B7E90" w14:textId="77777777" w:rsidR="004F7C45" w:rsidRDefault="0070226A">
            <w:pPr>
              <w:jc w:val="right"/>
            </w:pPr>
            <w:r>
              <w:t xml:space="preserve">RESPONDENT </w:t>
            </w:r>
          </w:p>
        </w:tc>
      </w:tr>
    </w:tbl>
    <w:p w14:paraId="263B6332" w14:textId="77777777" w:rsidR="004F7C45" w:rsidRDefault="0070226A">
      <w:pPr>
        <w:spacing w:before="240"/>
        <w:jc w:val="right"/>
      </w:pPr>
      <w:r>
        <w:t>S.E.M.C.C. File Number: 02-14-2026</w:t>
      </w:r>
    </w:p>
    <w:tbl>
      <w:tblPr>
        <w:tblStyle w:val="a0"/>
        <w:tblW w:w="13396" w:type="dxa"/>
        <w:tblInd w:w="-187" w:type="dxa"/>
        <w:tblLayout w:type="fixed"/>
        <w:tblLook w:val="0000" w:firstRow="0" w:lastRow="0" w:firstColumn="0" w:lastColumn="0" w:noHBand="0" w:noVBand="0"/>
      </w:tblPr>
      <w:tblGrid>
        <w:gridCol w:w="8838"/>
        <w:gridCol w:w="4558"/>
      </w:tblGrid>
      <w:tr w:rsidR="004F7C45" w14:paraId="4F366A1D" w14:textId="77777777">
        <w:trPr>
          <w:cantSplit/>
          <w:trHeight w:val="1074"/>
        </w:trPr>
        <w:tc>
          <w:tcPr>
            <w:tcW w:w="8838" w:type="dxa"/>
            <w:vMerge w:val="restart"/>
            <w:tcBorders>
              <w:top w:val="single" w:sz="6" w:space="0" w:color="000000"/>
              <w:left w:val="nil"/>
              <w:bottom w:val="nil"/>
              <w:right w:val="nil"/>
            </w:tcBorders>
          </w:tcPr>
          <w:p w14:paraId="4F594AA8" w14:textId="77777777" w:rsidR="004F7C45" w:rsidRDefault="004F7C45"/>
          <w:p w14:paraId="2F91F28A" w14:textId="77777777" w:rsidR="004F7C45" w:rsidRDefault="004F7C45"/>
        </w:tc>
        <w:tc>
          <w:tcPr>
            <w:tcW w:w="4558" w:type="dxa"/>
            <w:tcBorders>
              <w:top w:val="single" w:sz="6" w:space="0" w:color="000000"/>
              <w:left w:val="single" w:sz="6" w:space="0" w:color="000000"/>
              <w:bottom w:val="single" w:sz="4" w:space="0" w:color="000000"/>
              <w:right w:val="nil"/>
            </w:tcBorders>
          </w:tcPr>
          <w:p w14:paraId="0D125401" w14:textId="77777777" w:rsidR="004F7C45" w:rsidRDefault="004F7C45">
            <w:pPr>
              <w:jc w:val="center"/>
            </w:pPr>
          </w:p>
          <w:p w14:paraId="132D62DD" w14:textId="77777777" w:rsidR="004F7C45" w:rsidRDefault="0070226A">
            <w:pPr>
              <w:pBdr>
                <w:top w:val="nil"/>
                <w:left w:val="nil"/>
                <w:bottom w:val="nil"/>
                <w:right w:val="nil"/>
                <w:between w:val="nil"/>
              </w:pBdr>
              <w:jc w:val="center"/>
            </w:pPr>
            <w:r>
              <w:t>SUPREME ENVIRONMENTAL MOOT COURT OF CANADA</w:t>
            </w:r>
          </w:p>
        </w:tc>
      </w:tr>
      <w:tr w:rsidR="004F7C45" w14:paraId="20EA765B" w14:textId="77777777">
        <w:trPr>
          <w:cantSplit/>
          <w:trHeight w:val="1581"/>
        </w:trPr>
        <w:tc>
          <w:tcPr>
            <w:tcW w:w="8838" w:type="dxa"/>
            <w:vMerge/>
            <w:tcBorders>
              <w:top w:val="single" w:sz="6" w:space="0" w:color="000000"/>
              <w:left w:val="nil"/>
              <w:bottom w:val="nil"/>
              <w:right w:val="nil"/>
            </w:tcBorders>
          </w:tcPr>
          <w:p w14:paraId="7591AC5B" w14:textId="77777777" w:rsidR="004F7C45" w:rsidRDefault="004F7C45">
            <w:pPr>
              <w:widowControl w:val="0"/>
              <w:pBdr>
                <w:top w:val="nil"/>
                <w:left w:val="nil"/>
                <w:bottom w:val="nil"/>
                <w:right w:val="nil"/>
                <w:between w:val="nil"/>
              </w:pBdr>
              <w:spacing w:line="276" w:lineRule="auto"/>
            </w:pPr>
          </w:p>
        </w:tc>
        <w:tc>
          <w:tcPr>
            <w:tcW w:w="4558" w:type="dxa"/>
            <w:tcBorders>
              <w:top w:val="single" w:sz="4" w:space="0" w:color="000000"/>
              <w:left w:val="single" w:sz="6" w:space="0" w:color="000000"/>
              <w:bottom w:val="single" w:sz="4" w:space="0" w:color="000000"/>
              <w:right w:val="nil"/>
            </w:tcBorders>
          </w:tcPr>
          <w:p w14:paraId="708E0662" w14:textId="77777777" w:rsidR="004F7C45" w:rsidRDefault="004F7C45">
            <w:pPr>
              <w:jc w:val="center"/>
              <w:rPr>
                <w:b/>
                <w:bCs/>
              </w:rPr>
            </w:pPr>
          </w:p>
          <w:p w14:paraId="1397CA07" w14:textId="77777777" w:rsidR="004F7C45" w:rsidRDefault="0070226A">
            <w:pPr>
              <w:jc w:val="center"/>
              <w:rPr>
                <w:b/>
                <w:bCs/>
              </w:rPr>
            </w:pPr>
            <w:r>
              <w:rPr>
                <w:b/>
                <w:bCs/>
              </w:rPr>
              <w:t>FACTUM OF THE APPELLANT</w:t>
            </w:r>
          </w:p>
          <w:p w14:paraId="412E1BBA" w14:textId="77777777" w:rsidR="004F7C45" w:rsidRDefault="0070226A">
            <w:pPr>
              <w:jc w:val="center"/>
            </w:pPr>
            <w:r>
              <w:rPr>
                <w:b/>
                <w:bCs/>
              </w:rPr>
              <w:t xml:space="preserve">HIS </w:t>
            </w:r>
            <w:r>
              <w:rPr>
                <w:b/>
                <w:bCs/>
              </w:rPr>
              <w:t>MAJESTY THE KING</w:t>
            </w:r>
          </w:p>
        </w:tc>
      </w:tr>
      <w:tr w:rsidR="004F7C45" w14:paraId="5009C7E7" w14:textId="77777777">
        <w:trPr>
          <w:trHeight w:val="4173"/>
        </w:trPr>
        <w:tc>
          <w:tcPr>
            <w:tcW w:w="8838" w:type="dxa"/>
            <w:vMerge/>
            <w:tcBorders>
              <w:top w:val="single" w:sz="6" w:space="0" w:color="000000"/>
              <w:left w:val="nil"/>
              <w:bottom w:val="nil"/>
              <w:right w:val="nil"/>
            </w:tcBorders>
          </w:tcPr>
          <w:p w14:paraId="5DCB34FB" w14:textId="77777777" w:rsidR="004F7C45" w:rsidRDefault="004F7C45">
            <w:pPr>
              <w:widowControl w:val="0"/>
              <w:pBdr>
                <w:top w:val="nil"/>
                <w:left w:val="nil"/>
                <w:bottom w:val="nil"/>
                <w:right w:val="nil"/>
                <w:between w:val="nil"/>
              </w:pBdr>
              <w:spacing w:line="276" w:lineRule="auto"/>
            </w:pPr>
          </w:p>
        </w:tc>
        <w:tc>
          <w:tcPr>
            <w:tcW w:w="4558" w:type="dxa"/>
            <w:tcBorders>
              <w:top w:val="single" w:sz="4" w:space="0" w:color="000000"/>
              <w:left w:val="single" w:sz="6" w:space="0" w:color="000000"/>
              <w:bottom w:val="nil"/>
              <w:right w:val="nil"/>
            </w:tcBorders>
          </w:tcPr>
          <w:p w14:paraId="57BC7CAA" w14:textId="77777777" w:rsidR="004F7C45" w:rsidRDefault="004F7C45">
            <w:pPr>
              <w:pBdr>
                <w:top w:val="nil"/>
                <w:left w:val="nil"/>
                <w:bottom w:val="nil"/>
                <w:right w:val="nil"/>
                <w:between w:val="nil"/>
              </w:pBdr>
              <w:spacing w:before="120" w:after="120" w:line="360" w:lineRule="auto"/>
              <w:jc w:val="center"/>
            </w:pPr>
          </w:p>
          <w:p w14:paraId="75076CC8" w14:textId="0499A069" w:rsidR="004F7C45" w:rsidRDefault="0070226A">
            <w:pPr>
              <w:widowControl w:val="0"/>
              <w:ind w:left="96"/>
              <w:jc w:val="center"/>
              <w:rPr>
                <w:b/>
                <w:bCs/>
              </w:rPr>
            </w:pPr>
            <w:r>
              <w:rPr>
                <w:b/>
                <w:bCs/>
              </w:rPr>
              <w:t xml:space="preserve">   TEAM #2026-09</w:t>
            </w:r>
            <w:bookmarkStart w:id="21" w:name="bookmark=id.60q8coibo6or" w:colFirst="0" w:colLast="0"/>
            <w:bookmarkEnd w:id="21"/>
            <w:r>
              <w:rPr>
                <w:b/>
                <w:bCs/>
              </w:rPr>
              <w:t>     </w:t>
            </w:r>
          </w:p>
          <w:p w14:paraId="38E52B7E" w14:textId="77777777" w:rsidR="004F7C45" w:rsidRDefault="004F7C45">
            <w:pPr>
              <w:widowControl w:val="0"/>
              <w:ind w:left="96"/>
              <w:jc w:val="center"/>
              <w:rPr>
                <w:b/>
                <w:bCs/>
              </w:rPr>
            </w:pPr>
          </w:p>
          <w:p w14:paraId="4AC25DE9" w14:textId="77777777" w:rsidR="004F7C45" w:rsidRDefault="0070226A">
            <w:pPr>
              <w:widowControl w:val="0"/>
              <w:ind w:left="96"/>
              <w:jc w:val="center"/>
              <w:rPr>
                <w:b/>
                <w:bCs/>
              </w:rPr>
            </w:pPr>
            <w:r>
              <w:rPr>
                <w:b/>
                <w:bCs/>
              </w:rPr>
              <w:t>Francis Duggan</w:t>
            </w:r>
          </w:p>
          <w:p w14:paraId="1D998505" w14:textId="77777777" w:rsidR="004F7C45" w:rsidRDefault="0070226A">
            <w:pPr>
              <w:widowControl w:val="0"/>
              <w:ind w:left="96"/>
              <w:jc w:val="center"/>
              <w:rPr>
                <w:b/>
                <w:bCs/>
              </w:rPr>
            </w:pPr>
            <w:r>
              <w:rPr>
                <w:b/>
                <w:bCs/>
              </w:rPr>
              <w:t>Natasha Cvitkovic</w:t>
            </w:r>
          </w:p>
          <w:p w14:paraId="2590CE56" w14:textId="77777777" w:rsidR="004F7C45" w:rsidRDefault="0070226A">
            <w:pPr>
              <w:widowControl w:val="0"/>
              <w:ind w:left="96"/>
              <w:jc w:val="center"/>
              <w:rPr>
                <w:b/>
                <w:bCs/>
              </w:rPr>
            </w:pPr>
            <w:r>
              <w:rPr>
                <w:b/>
                <w:bCs/>
              </w:rPr>
              <w:t>Jackson Kemmis</w:t>
            </w:r>
          </w:p>
          <w:p w14:paraId="3F487197" w14:textId="77777777" w:rsidR="004F7C45" w:rsidRDefault="004F7C45">
            <w:pPr>
              <w:widowControl w:val="0"/>
              <w:ind w:left="96"/>
              <w:rPr>
                <w:b/>
                <w:bCs/>
              </w:rPr>
            </w:pPr>
          </w:p>
          <w:p w14:paraId="593A781C" w14:textId="77777777" w:rsidR="004F7C45" w:rsidRDefault="0070226A">
            <w:pPr>
              <w:widowControl w:val="0"/>
              <w:ind w:left="96"/>
              <w:jc w:val="center"/>
            </w:pPr>
            <w:r>
              <w:rPr>
                <w:b/>
                <w:bCs/>
              </w:rPr>
              <w:t>       </w:t>
            </w:r>
          </w:p>
          <w:p w14:paraId="331EA43D" w14:textId="77777777" w:rsidR="004F7C45" w:rsidRDefault="0070226A">
            <w:pPr>
              <w:widowControl w:val="0"/>
              <w:ind w:left="96"/>
              <w:jc w:val="center"/>
            </w:pPr>
            <w:r>
              <w:t xml:space="preserve">Counsel for the Appellant, </w:t>
            </w:r>
            <w:r>
              <w:br/>
              <w:t>His Majesty The King</w:t>
            </w:r>
          </w:p>
          <w:p w14:paraId="398F7860" w14:textId="77777777" w:rsidR="004F7C45" w:rsidRDefault="004F7C45">
            <w:pPr>
              <w:widowControl w:val="0"/>
              <w:ind w:left="96"/>
              <w:jc w:val="center"/>
            </w:pPr>
          </w:p>
        </w:tc>
      </w:tr>
    </w:tbl>
    <w:p w14:paraId="2246B845" w14:textId="3976A466" w:rsidR="004F7C45" w:rsidRDefault="0070226A">
      <w:pPr>
        <w:pBdr>
          <w:top w:val="nil"/>
          <w:left w:val="nil"/>
          <w:bottom w:val="nil"/>
          <w:right w:val="nil"/>
          <w:between w:val="nil"/>
        </w:pBdr>
        <w:spacing w:before="20"/>
        <w:rPr>
          <w:rFonts w:ascii="Arial" w:eastAsia="Arial" w:hAnsi="Arial" w:cs="Arial"/>
          <w:sz w:val="16"/>
          <w:szCs w:val="16"/>
        </w:rPr>
      </w:pPr>
      <w:bookmarkStart w:id="22" w:name="bookmark=id.rj109akydepk" w:colFirst="0" w:colLast="0"/>
      <w:bookmarkEnd w:id="22"/>
      <w:r>
        <w:rPr>
          <w:rFonts w:ascii="Arial" w:eastAsia="Arial" w:hAnsi="Arial" w:cs="Arial"/>
          <w:sz w:val="16"/>
          <w:szCs w:val="16"/>
        </w:rPr>
        <w:t>Document #:</w:t>
      </w:r>
    </w:p>
    <w:p w14:paraId="4C51BA55" w14:textId="2366A6FD" w:rsidR="0070226A" w:rsidRDefault="0070226A" w:rsidP="0070226A">
      <w:pPr>
        <w:pBdr>
          <w:top w:val="nil"/>
          <w:left w:val="nil"/>
          <w:bottom w:val="nil"/>
          <w:right w:val="nil"/>
          <w:between w:val="nil"/>
        </w:pBdr>
        <w:spacing w:line="180" w:lineRule="exact"/>
        <w:rPr>
          <w:rFonts w:ascii="Arial" w:eastAsia="Arial" w:hAnsi="Arial" w:cs="Arial"/>
          <w:sz w:val="16"/>
          <w:szCs w:val="16"/>
        </w:rPr>
      </w:pPr>
      <w:r>
        <w:rPr>
          <w:rFonts w:ascii="Arial" w:eastAsia="Arial" w:hAnsi="Arial" w:cs="Arial"/>
          <w:sz w:val="16"/>
        </w:rPr>
        <w:fldChar w:fldCharType="begin"/>
      </w:r>
      <w:r>
        <w:rPr>
          <w:rFonts w:ascii="Arial" w:eastAsia="Arial" w:hAnsi="Arial" w:cs="Arial"/>
          <w:sz w:val="16"/>
        </w:rPr>
        <w:instrText xml:space="preserve"> DOCVARIABLE ndGeneratedStamp \* MERGEFORMAT </w:instrText>
      </w:r>
      <w:r>
        <w:rPr>
          <w:rFonts w:ascii="Arial" w:eastAsia="Arial" w:hAnsi="Arial" w:cs="Arial"/>
          <w:sz w:val="16"/>
        </w:rPr>
        <w:fldChar w:fldCharType="separate"/>
      </w:r>
      <w:r>
        <w:rPr>
          <w:rFonts w:ascii="Arial" w:eastAsia="Arial" w:hAnsi="Arial" w:cs="Arial"/>
          <w:sz w:val="16"/>
        </w:rPr>
        <w:t>1391-2795-1387, v. 1</w:t>
      </w:r>
      <w:r>
        <w:rPr>
          <w:rFonts w:ascii="Arial" w:eastAsia="Arial" w:hAnsi="Arial" w:cs="Arial"/>
          <w:sz w:val="16"/>
        </w:rPr>
        <w:fldChar w:fldCharType="end"/>
      </w:r>
    </w:p>
    <w:sectPr w:rsidR="0070226A">
      <w:pgSz w:w="15840" w:h="12240"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D24D53" w14:textId="77777777" w:rsidR="00A23085" w:rsidRDefault="00A23085">
      <w:r>
        <w:separator/>
      </w:r>
    </w:p>
  </w:endnote>
  <w:endnote w:type="continuationSeparator" w:id="0">
    <w:p w14:paraId="19C7B290" w14:textId="77777777" w:rsidR="00A23085" w:rsidRDefault="00A230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B3397844-C40A-4E47-92EE-7EF1E422E3A9}"/>
    <w:embedBold r:id="rId2" w:fontKey="{E79E3DC6-9425-4239-AD32-D81DAD256494}"/>
    <w:embedBoldItalic r:id="rId3" w:fontKey="{C1C5BB7C-8D53-42F1-9A03-739EDDD7002E}"/>
  </w:font>
  <w:font w:name="Calibri">
    <w:panose1 w:val="020F0502020204030204"/>
    <w:charset w:val="00"/>
    <w:family w:val="swiss"/>
    <w:pitch w:val="variable"/>
    <w:sig w:usb0="E4002EFF" w:usb1="C200247B" w:usb2="00000009" w:usb3="00000000" w:csb0="000001FF" w:csb1="00000000"/>
    <w:embedRegular r:id="rId4" w:fontKey="{6A5DEAF3-5B70-446F-B488-B48D6A8AEA6B}"/>
    <w:embedBold r:id="rId5" w:fontKey="{059121AD-4229-4C59-9CBD-2516ABBEACE3}"/>
    <w:embedItalic r:id="rId6" w:fontKey="{0E91C6B8-5A4B-42F1-BC6B-D00BFA08D6C8}"/>
    <w:embedBoldItalic r:id="rId7" w:fontKey="{8A9B23B4-210A-4C27-B531-9B1773D55CA2}"/>
  </w:font>
  <w:font w:name="Tahoma">
    <w:panose1 w:val="020B0604030504040204"/>
    <w:charset w:val="00"/>
    <w:family w:val="swiss"/>
    <w:pitch w:val="variable"/>
    <w:sig w:usb0="E1002EFF" w:usb1="C000605B" w:usb2="00000029" w:usb3="00000000" w:csb0="000101FF" w:csb1="00000000"/>
    <w:embedRegular r:id="rId8" w:fontKey="{C9FAE703-22D8-46A2-8A85-6144755CFF59}"/>
  </w:font>
  <w:font w:name="Georgia">
    <w:panose1 w:val="02040502050405020303"/>
    <w:charset w:val="00"/>
    <w:family w:val="roman"/>
    <w:pitch w:val="variable"/>
    <w:sig w:usb0="00000287" w:usb1="00000000" w:usb2="00000000" w:usb3="00000000" w:csb0="0000009F" w:csb1="00000000"/>
    <w:embedItalic r:id="rId9" w:fontKey="{0A89226F-0D06-479A-AF35-C34B7CA85B5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57D55" w14:textId="77777777" w:rsidR="0070226A" w:rsidRDefault="007022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1DB47" w14:textId="77777777" w:rsidR="004F7C45" w:rsidRDefault="004F7C45">
    <w:pPr>
      <w:pBdr>
        <w:top w:val="nil"/>
        <w:left w:val="nil"/>
        <w:bottom w:val="nil"/>
        <w:right w:val="nil"/>
        <w:between w:val="nil"/>
      </w:pBdr>
      <w:tabs>
        <w:tab w:val="center" w:pos="4513"/>
        <w:tab w:val="right" w:pos="9026"/>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34EBE" w14:textId="77777777" w:rsidR="004F7C45" w:rsidRDefault="004F7C4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8DA08C" w14:textId="77777777" w:rsidR="00A23085" w:rsidRDefault="00A23085">
      <w:r>
        <w:separator/>
      </w:r>
    </w:p>
  </w:footnote>
  <w:footnote w:type="continuationSeparator" w:id="0">
    <w:p w14:paraId="2F5BE747" w14:textId="77777777" w:rsidR="00A23085" w:rsidRDefault="00A230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F90A4" w14:textId="77777777" w:rsidR="0070226A" w:rsidRDefault="007022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AFDA2" w14:textId="77777777" w:rsidR="004F7C45" w:rsidRDefault="0070226A">
    <w:pPr>
      <w:jc w:val="center"/>
    </w:pPr>
    <w:r>
      <w:t>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C9ACE" w14:textId="77777777" w:rsidR="004F7C45" w:rsidRDefault="004F7C45">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B42AD" w14:textId="77777777" w:rsidR="004F7C45" w:rsidRDefault="0070226A">
    <w:pPr>
      <w:jc w:val="center"/>
    </w:pPr>
    <w:r>
      <w:t>i</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54375" w14:textId="41357D38" w:rsidR="004F7C45" w:rsidRDefault="0070226A">
    <w:pPr>
      <w:jc w:val="center"/>
    </w:pPr>
    <w:r>
      <w:fldChar w:fldCharType="begin"/>
    </w:r>
    <w:r>
      <w:instrText>PAGE</w:instrText>
    </w:r>
    <w:r>
      <w:fldChar w:fldCharType="separate"/>
    </w:r>
    <w:r w:rsidR="00A76B62">
      <w:rPr>
        <w:noProof/>
      </w:rPr>
      <w:t>2</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4430F" w14:textId="6F7D9E79" w:rsidR="004F7C45" w:rsidRDefault="0070226A">
    <w:pPr>
      <w:jc w:val="center"/>
    </w:pPr>
    <w:r>
      <w:fldChar w:fldCharType="begin"/>
    </w:r>
    <w:r>
      <w:instrText>PAGE</w:instrText>
    </w:r>
    <w:r>
      <w:fldChar w:fldCharType="separate"/>
    </w:r>
    <w:r w:rsidR="00A76B62">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B87C15"/>
    <w:multiLevelType w:val="multilevel"/>
    <w:tmpl w:val="0CD008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4133818"/>
    <w:multiLevelType w:val="multilevel"/>
    <w:tmpl w:val="52D2A76A"/>
    <w:lvl w:ilvl="0">
      <w:start w:val="1"/>
      <w:numFmt w:val="lowerLetter"/>
      <w:pStyle w:val="WSParaNum"/>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15:restartNumberingAfterBreak="0">
    <w:nsid w:val="32745755"/>
    <w:multiLevelType w:val="multilevel"/>
    <w:tmpl w:val="4DB20A9E"/>
    <w:lvl w:ilvl="0">
      <w:start w:val="1"/>
      <w:numFmt w:val="lowerLetter"/>
      <w:pStyle w:val="WSFourthLevelParaNum"/>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3FBD793A"/>
    <w:multiLevelType w:val="multilevel"/>
    <w:tmpl w:val="DB9C78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pStyle w:val="Heading7"/>
      <w:lvlText w:val="%7."/>
      <w:lvlJc w:val="left"/>
      <w:pPr>
        <w:ind w:left="5040" w:hanging="360"/>
      </w:pPr>
      <w:rPr>
        <w:u w:val="none"/>
      </w:rPr>
    </w:lvl>
    <w:lvl w:ilvl="7">
      <w:start w:val="1"/>
      <w:numFmt w:val="lowerLetter"/>
      <w:pStyle w:val="Heading8"/>
      <w:lvlText w:val="%8."/>
      <w:lvlJc w:val="left"/>
      <w:pPr>
        <w:ind w:left="5760" w:hanging="360"/>
      </w:pPr>
      <w:rPr>
        <w:u w:val="none"/>
      </w:rPr>
    </w:lvl>
    <w:lvl w:ilvl="8">
      <w:start w:val="1"/>
      <w:numFmt w:val="lowerRoman"/>
      <w:pStyle w:val="Heading9"/>
      <w:lvlText w:val="%9."/>
      <w:lvlJc w:val="right"/>
      <w:pPr>
        <w:ind w:left="6480" w:hanging="360"/>
      </w:pPr>
      <w:rPr>
        <w:u w:val="none"/>
      </w:rPr>
    </w:lvl>
  </w:abstractNum>
  <w:abstractNum w:abstractNumId="4" w15:restartNumberingAfterBreak="0">
    <w:nsid w:val="3FF2568E"/>
    <w:multiLevelType w:val="multilevel"/>
    <w:tmpl w:val="B4A80432"/>
    <w:lvl w:ilvl="0">
      <w:start w:val="1"/>
      <w:numFmt w:val="decimal"/>
      <w:lvlText w:val="%1"/>
      <w:lvlJc w:val="left"/>
      <w:pPr>
        <w:ind w:left="0" w:firstLine="0"/>
      </w:pPr>
      <w:rPr>
        <w:u w:val="no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54143A52"/>
    <w:multiLevelType w:val="multilevel"/>
    <w:tmpl w:val="1D3E5220"/>
    <w:lvl w:ilvl="0">
      <w:start w:val="1"/>
      <w:numFmt w:val="upperRoman"/>
      <w:lvlText w:val="PART %1 -- "/>
      <w:lvlJc w:val="left"/>
      <w:pPr>
        <w:ind w:left="0" w:firstLine="0"/>
      </w:pPr>
      <w:rPr>
        <w:rFonts w:ascii="Times New Roman" w:eastAsia="Times New Roman" w:hAnsi="Times New Roman" w:cs="Times New Roman"/>
        <w:b/>
        <w:bCs/>
        <w:i w:val="0"/>
        <w:iCs w:val="0"/>
        <w:sz w:val="24"/>
        <w:szCs w:val="24"/>
      </w:rPr>
    </w:lvl>
    <w:lvl w:ilvl="1">
      <w:start w:val="1"/>
      <w:numFmt w:val="upperLetter"/>
      <w:lvlText w:val="%2."/>
      <w:lvlJc w:val="left"/>
      <w:pPr>
        <w:ind w:left="720" w:hanging="720"/>
      </w:pPr>
      <w:rPr>
        <w:rFonts w:ascii="Times New Roman" w:eastAsia="Times New Roman" w:hAnsi="Times New Roman" w:cs="Times New Roman"/>
        <w:b/>
        <w:bCs/>
        <w:i w:val="0"/>
        <w:iCs w:val="0"/>
        <w:sz w:val="28"/>
        <w:szCs w:val="28"/>
      </w:rPr>
    </w:lvl>
    <w:lvl w:ilvl="2">
      <w:start w:val="1"/>
      <w:numFmt w:val="lowerRoman"/>
      <w:lvlText w:val="(%3)"/>
      <w:lvlJc w:val="left"/>
      <w:pPr>
        <w:ind w:left="1286" w:hanging="720"/>
      </w:pPr>
      <w:rPr>
        <w:rFonts w:ascii="Times New Roman" w:eastAsia="Times New Roman" w:hAnsi="Times New Roman" w:cs="Times New Roman"/>
        <w:b w:val="0"/>
        <w:bCs w:val="0"/>
        <w:i w:val="0"/>
        <w:iCs w:val="0"/>
        <w:sz w:val="26"/>
        <w:szCs w:val="26"/>
      </w:rPr>
    </w:lvl>
    <w:lvl w:ilvl="3">
      <w:start w:val="1"/>
      <w:numFmt w:val="lowerLetter"/>
      <w:lvlText w:val="(%4)"/>
      <w:lvlJc w:val="left"/>
      <w:pPr>
        <w:ind w:left="720" w:hanging="720"/>
      </w:pPr>
      <w:rPr>
        <w:rFonts w:ascii="Times New Roman" w:eastAsia="Times New Roman" w:hAnsi="Times New Roman" w:cs="Times New Roman"/>
        <w:b w:val="0"/>
        <w:bCs w:val="0"/>
        <w:i/>
        <w:iCs/>
        <w:sz w:val="24"/>
        <w:szCs w:val="24"/>
      </w:r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6" w15:restartNumberingAfterBreak="0">
    <w:nsid w:val="69BC1742"/>
    <w:multiLevelType w:val="multilevel"/>
    <w:tmpl w:val="CF8812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E300079"/>
    <w:multiLevelType w:val="multilevel"/>
    <w:tmpl w:val="A28C7CA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510485342">
    <w:abstractNumId w:val="3"/>
  </w:num>
  <w:num w:numId="2" w16cid:durableId="607541772">
    <w:abstractNumId w:val="7"/>
  </w:num>
  <w:num w:numId="3" w16cid:durableId="453406514">
    <w:abstractNumId w:val="2"/>
  </w:num>
  <w:num w:numId="4" w16cid:durableId="659190490">
    <w:abstractNumId w:val="1"/>
  </w:num>
  <w:num w:numId="5" w16cid:durableId="688723615">
    <w:abstractNumId w:val="5"/>
  </w:num>
  <w:num w:numId="6" w16cid:durableId="69667345">
    <w:abstractNumId w:val="4"/>
  </w:num>
  <w:num w:numId="7" w16cid:durableId="1404597361">
    <w:abstractNumId w:val="0"/>
  </w:num>
  <w:num w:numId="8" w16cid:durableId="4081144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ndGeneratedStamp" w:val="1391-2795-1387, v. 1"/>
    <w:docVar w:name="ndGeneratedStampLocation" w:val="LastPage"/>
  </w:docVars>
  <w:rsids>
    <w:rsidRoot w:val="004F7C45"/>
    <w:rsid w:val="00477C23"/>
    <w:rsid w:val="004D3847"/>
    <w:rsid w:val="004F7C45"/>
    <w:rsid w:val="0070226A"/>
    <w:rsid w:val="00A23085"/>
    <w:rsid w:val="00A76B6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01475"/>
  <w15:docId w15:val="{08788562-B5D5-4908-9231-2C84F47A0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before="240" w:after="60"/>
      <w:outlineLvl w:val="0"/>
    </w:pPr>
    <w:rPr>
      <w:rFonts w:ascii="Cambria" w:eastAsia="Cambria" w:hAnsi="Cambria" w:cs="Cambria"/>
      <w:b/>
      <w:bCs/>
      <w:sz w:val="32"/>
      <w:szCs w:val="32"/>
    </w:rPr>
  </w:style>
  <w:style w:type="paragraph" w:styleId="Heading2">
    <w:name w:val="heading 2"/>
    <w:basedOn w:val="Normal"/>
    <w:next w:val="Normal"/>
    <w:link w:val="Heading2Char"/>
    <w:uiPriority w:val="9"/>
    <w:unhideWhenUsed/>
    <w:qFormat/>
    <w:pPr>
      <w:keepNext/>
      <w:spacing w:before="240" w:after="60"/>
      <w:ind w:left="720" w:hanging="720"/>
      <w:outlineLvl w:val="1"/>
    </w:pPr>
    <w:rPr>
      <w:rFonts w:ascii="Cambria" w:eastAsia="Cambria" w:hAnsi="Cambria" w:cs="Cambria"/>
      <w:b/>
      <w:bCs/>
      <w:i/>
      <w:iCs/>
      <w:sz w:val="28"/>
      <w:szCs w:val="28"/>
    </w:rPr>
  </w:style>
  <w:style w:type="paragraph" w:styleId="Heading3">
    <w:name w:val="heading 3"/>
    <w:basedOn w:val="Normal"/>
    <w:next w:val="Normal"/>
    <w:link w:val="Heading3Char"/>
    <w:uiPriority w:val="9"/>
    <w:unhideWhenUsed/>
    <w:qFormat/>
    <w:pPr>
      <w:keepNext/>
      <w:spacing w:before="240" w:after="60"/>
      <w:ind w:left="720" w:hanging="720"/>
      <w:outlineLvl w:val="2"/>
    </w:pPr>
    <w:rPr>
      <w:rFonts w:ascii="Cambria" w:eastAsia="Cambria" w:hAnsi="Cambria" w:cs="Cambria"/>
      <w:b/>
      <w:bCs/>
      <w:sz w:val="26"/>
      <w:szCs w:val="26"/>
    </w:rPr>
  </w:style>
  <w:style w:type="paragraph" w:styleId="Heading4">
    <w:name w:val="heading 4"/>
    <w:basedOn w:val="Normal"/>
    <w:next w:val="Normal"/>
    <w:link w:val="Heading4Char"/>
    <w:uiPriority w:val="9"/>
    <w:semiHidden/>
    <w:unhideWhenUsed/>
    <w:qFormat/>
    <w:pPr>
      <w:keepNext/>
      <w:spacing w:before="240" w:after="60"/>
      <w:ind w:left="720" w:hanging="720"/>
      <w:outlineLvl w:val="3"/>
    </w:pPr>
    <w:rPr>
      <w:rFonts w:ascii="Calibri" w:eastAsia="Calibri" w:hAnsi="Calibri" w:cs="Calibri"/>
      <w:b/>
      <w:bCs/>
      <w:sz w:val="28"/>
      <w:szCs w:val="28"/>
    </w:rPr>
  </w:style>
  <w:style w:type="paragraph" w:styleId="Heading5">
    <w:name w:val="heading 5"/>
    <w:basedOn w:val="Normal"/>
    <w:next w:val="Normal"/>
    <w:link w:val="Heading5Char"/>
    <w:uiPriority w:val="9"/>
    <w:semiHidden/>
    <w:unhideWhenUsed/>
    <w:qFormat/>
    <w:pPr>
      <w:spacing w:before="240" w:after="60"/>
      <w:ind w:left="2880"/>
      <w:outlineLvl w:val="4"/>
    </w:pPr>
    <w:rPr>
      <w:rFonts w:ascii="Calibri" w:eastAsia="Calibri" w:hAnsi="Calibri" w:cs="Calibri"/>
      <w:b/>
      <w:bCs/>
      <w:i/>
      <w:iCs/>
      <w:sz w:val="26"/>
      <w:szCs w:val="26"/>
    </w:rPr>
  </w:style>
  <w:style w:type="paragraph" w:styleId="Heading6">
    <w:name w:val="heading 6"/>
    <w:basedOn w:val="Normal"/>
    <w:next w:val="Normal"/>
    <w:link w:val="Heading6Char"/>
    <w:uiPriority w:val="9"/>
    <w:semiHidden/>
    <w:unhideWhenUsed/>
    <w:qFormat/>
    <w:pPr>
      <w:spacing w:before="240" w:after="60"/>
      <w:ind w:left="3600"/>
      <w:outlineLvl w:val="5"/>
    </w:pPr>
    <w:rPr>
      <w:rFonts w:ascii="Calibri" w:eastAsia="Calibri" w:hAnsi="Calibri" w:cs="Calibri"/>
      <w:b/>
      <w:bCs/>
      <w:sz w:val="22"/>
      <w:szCs w:val="22"/>
    </w:rPr>
  </w:style>
  <w:style w:type="paragraph" w:styleId="Heading7">
    <w:name w:val="heading 7"/>
    <w:basedOn w:val="Normal"/>
    <w:next w:val="Normal"/>
    <w:link w:val="Heading7Char"/>
    <w:uiPriority w:val="9"/>
    <w:semiHidden/>
    <w:unhideWhenUsed/>
    <w:qFormat/>
    <w:rsid w:val="00A85602"/>
    <w:pPr>
      <w:numPr>
        <w:ilvl w:val="6"/>
        <w:numId w:val="1"/>
      </w:numPr>
      <w:spacing w:before="240" w:after="60"/>
      <w:outlineLvl w:val="6"/>
    </w:pPr>
    <w:rPr>
      <w:rFonts w:ascii="Calibri" w:hAnsi="Calibri"/>
    </w:rPr>
  </w:style>
  <w:style w:type="paragraph" w:styleId="Heading8">
    <w:name w:val="heading 8"/>
    <w:basedOn w:val="Normal"/>
    <w:next w:val="Normal"/>
    <w:link w:val="Heading8Char"/>
    <w:uiPriority w:val="9"/>
    <w:semiHidden/>
    <w:unhideWhenUsed/>
    <w:qFormat/>
    <w:rsid w:val="00A85602"/>
    <w:pPr>
      <w:numPr>
        <w:ilvl w:val="7"/>
        <w:numId w:val="1"/>
      </w:numPr>
      <w:spacing w:before="240" w:after="60"/>
      <w:outlineLvl w:val="7"/>
    </w:pPr>
    <w:rPr>
      <w:rFonts w:ascii="Calibri" w:hAnsi="Calibri"/>
      <w:i/>
      <w:iCs/>
    </w:rPr>
  </w:style>
  <w:style w:type="paragraph" w:styleId="Heading9">
    <w:name w:val="heading 9"/>
    <w:basedOn w:val="Normal"/>
    <w:next w:val="Normal"/>
    <w:link w:val="Heading9Char"/>
    <w:uiPriority w:val="9"/>
    <w:semiHidden/>
    <w:unhideWhenUsed/>
    <w:qFormat/>
    <w:rsid w:val="00A85602"/>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FC1F68"/>
    <w:pPr>
      <w:tabs>
        <w:tab w:val="center" w:pos="4513"/>
        <w:tab w:val="right" w:pos="9026"/>
      </w:tabs>
    </w:pPr>
  </w:style>
  <w:style w:type="paragraph" w:styleId="TOC1">
    <w:name w:val="toc 1"/>
    <w:basedOn w:val="Normal"/>
    <w:next w:val="Normal"/>
    <w:autoRedefine/>
    <w:uiPriority w:val="39"/>
    <w:unhideWhenUsed/>
    <w:rsid w:val="00175CAE"/>
  </w:style>
  <w:style w:type="character" w:customStyle="1" w:styleId="HeaderChar">
    <w:name w:val="Header Char"/>
    <w:link w:val="Header"/>
    <w:uiPriority w:val="99"/>
    <w:rsid w:val="00FC1F68"/>
    <w:rPr>
      <w:sz w:val="24"/>
      <w:szCs w:val="24"/>
      <w:lang w:val="en-US" w:eastAsia="en-US"/>
    </w:rPr>
  </w:style>
  <w:style w:type="paragraph" w:styleId="Footer">
    <w:name w:val="footer"/>
    <w:basedOn w:val="Normal"/>
    <w:link w:val="FooterChar"/>
    <w:uiPriority w:val="99"/>
    <w:unhideWhenUsed/>
    <w:rsid w:val="00FC1F68"/>
    <w:pPr>
      <w:tabs>
        <w:tab w:val="center" w:pos="4513"/>
        <w:tab w:val="right" w:pos="9026"/>
      </w:tabs>
    </w:pPr>
  </w:style>
  <w:style w:type="character" w:customStyle="1" w:styleId="FooterChar">
    <w:name w:val="Footer Char"/>
    <w:link w:val="Footer"/>
    <w:uiPriority w:val="99"/>
    <w:rsid w:val="00FC1F68"/>
    <w:rPr>
      <w:sz w:val="24"/>
      <w:szCs w:val="24"/>
      <w:lang w:val="en-US" w:eastAsia="en-US"/>
    </w:rPr>
  </w:style>
  <w:style w:type="character" w:customStyle="1" w:styleId="Heading1Char">
    <w:name w:val="Heading 1 Char"/>
    <w:link w:val="Heading1"/>
    <w:uiPriority w:val="9"/>
    <w:rsid w:val="00A85602"/>
    <w:rPr>
      <w:rFonts w:ascii="Cambria" w:hAnsi="Cambria"/>
      <w:b/>
      <w:bCs/>
      <w:kern w:val="32"/>
      <w:sz w:val="32"/>
      <w:szCs w:val="32"/>
      <w:lang w:val="en-US" w:eastAsia="en-US"/>
    </w:rPr>
  </w:style>
  <w:style w:type="character" w:customStyle="1" w:styleId="Heading2Char">
    <w:name w:val="Heading 2 Char"/>
    <w:link w:val="Heading2"/>
    <w:uiPriority w:val="9"/>
    <w:rsid w:val="00A85602"/>
    <w:rPr>
      <w:rFonts w:ascii="Cambria" w:hAnsi="Cambria"/>
      <w:b/>
      <w:bCs/>
      <w:i/>
      <w:iCs/>
      <w:sz w:val="28"/>
      <w:szCs w:val="28"/>
      <w:lang w:val="en-US" w:eastAsia="en-US"/>
    </w:rPr>
  </w:style>
  <w:style w:type="character" w:customStyle="1" w:styleId="Heading3Char">
    <w:name w:val="Heading 3 Char"/>
    <w:link w:val="Heading3"/>
    <w:uiPriority w:val="9"/>
    <w:rsid w:val="00A85602"/>
    <w:rPr>
      <w:rFonts w:ascii="Cambria" w:hAnsi="Cambria"/>
      <w:b/>
      <w:bCs/>
      <w:sz w:val="26"/>
      <w:szCs w:val="26"/>
      <w:lang w:val="en-US" w:eastAsia="en-US"/>
    </w:rPr>
  </w:style>
  <w:style w:type="character" w:customStyle="1" w:styleId="Heading4Char">
    <w:name w:val="Heading 4 Char"/>
    <w:link w:val="Heading4"/>
    <w:uiPriority w:val="9"/>
    <w:semiHidden/>
    <w:rsid w:val="00A85602"/>
    <w:rPr>
      <w:rFonts w:ascii="Calibri" w:hAnsi="Calibri"/>
      <w:b/>
      <w:bCs/>
      <w:sz w:val="28"/>
      <w:szCs w:val="28"/>
      <w:lang w:val="en-US" w:eastAsia="en-US"/>
    </w:rPr>
  </w:style>
  <w:style w:type="character" w:customStyle="1" w:styleId="Heading5Char">
    <w:name w:val="Heading 5 Char"/>
    <w:link w:val="Heading5"/>
    <w:uiPriority w:val="9"/>
    <w:semiHidden/>
    <w:rsid w:val="00A85602"/>
    <w:rPr>
      <w:rFonts w:ascii="Calibri" w:hAnsi="Calibri"/>
      <w:b/>
      <w:bCs/>
      <w:i/>
      <w:iCs/>
      <w:sz w:val="26"/>
      <w:szCs w:val="26"/>
      <w:lang w:val="en-US" w:eastAsia="en-US"/>
    </w:rPr>
  </w:style>
  <w:style w:type="character" w:customStyle="1" w:styleId="Heading6Char">
    <w:name w:val="Heading 6 Char"/>
    <w:link w:val="Heading6"/>
    <w:uiPriority w:val="9"/>
    <w:semiHidden/>
    <w:rsid w:val="00A85602"/>
    <w:rPr>
      <w:rFonts w:ascii="Calibri" w:hAnsi="Calibri"/>
      <w:b/>
      <w:bCs/>
      <w:sz w:val="22"/>
      <w:szCs w:val="22"/>
      <w:lang w:val="en-US" w:eastAsia="en-US"/>
    </w:rPr>
  </w:style>
  <w:style w:type="character" w:customStyle="1" w:styleId="Heading7Char">
    <w:name w:val="Heading 7 Char"/>
    <w:link w:val="Heading7"/>
    <w:uiPriority w:val="9"/>
    <w:semiHidden/>
    <w:rsid w:val="00A85602"/>
    <w:rPr>
      <w:rFonts w:ascii="Calibri" w:hAnsi="Calibri"/>
      <w:sz w:val="24"/>
      <w:szCs w:val="24"/>
      <w:lang w:val="en-US" w:eastAsia="en-US"/>
    </w:rPr>
  </w:style>
  <w:style w:type="character" w:customStyle="1" w:styleId="Heading8Char">
    <w:name w:val="Heading 8 Char"/>
    <w:link w:val="Heading8"/>
    <w:uiPriority w:val="9"/>
    <w:semiHidden/>
    <w:rsid w:val="00A85602"/>
    <w:rPr>
      <w:rFonts w:ascii="Calibri" w:hAnsi="Calibri"/>
      <w:i/>
      <w:iCs/>
      <w:sz w:val="24"/>
      <w:szCs w:val="24"/>
      <w:lang w:val="en-US" w:eastAsia="en-US"/>
    </w:rPr>
  </w:style>
  <w:style w:type="character" w:customStyle="1" w:styleId="Heading9Char">
    <w:name w:val="Heading 9 Char"/>
    <w:link w:val="Heading9"/>
    <w:uiPriority w:val="9"/>
    <w:semiHidden/>
    <w:rsid w:val="00A85602"/>
    <w:rPr>
      <w:rFonts w:ascii="Cambria" w:hAnsi="Cambria"/>
      <w:sz w:val="22"/>
      <w:szCs w:val="22"/>
      <w:lang w:val="en-US" w:eastAsia="en-US"/>
    </w:rPr>
  </w:style>
  <w:style w:type="paragraph" w:styleId="BodyText">
    <w:name w:val="Body Text"/>
    <w:basedOn w:val="Normal"/>
    <w:link w:val="BodyTextChar"/>
    <w:rsid w:val="00DD6E8C"/>
    <w:pPr>
      <w:spacing w:before="120" w:after="120" w:line="360" w:lineRule="auto"/>
    </w:pPr>
    <w:rPr>
      <w:lang w:val="en-CA"/>
    </w:rPr>
  </w:style>
  <w:style w:type="character" w:customStyle="1" w:styleId="BodyTextChar">
    <w:name w:val="Body Text Char"/>
    <w:link w:val="BodyText"/>
    <w:rsid w:val="00DD6E8C"/>
    <w:rPr>
      <w:sz w:val="24"/>
      <w:szCs w:val="24"/>
      <w:lang w:val="en-CA" w:eastAsia="en-US"/>
    </w:rPr>
  </w:style>
  <w:style w:type="paragraph" w:customStyle="1" w:styleId="WSFourthLevelParaNum">
    <w:name w:val="WS Fourth Level Para Num"/>
    <w:basedOn w:val="BodyText"/>
    <w:rsid w:val="00DD6E8C"/>
    <w:pPr>
      <w:numPr>
        <w:numId w:val="3"/>
      </w:numPr>
      <w:spacing w:line="480" w:lineRule="auto"/>
    </w:pPr>
  </w:style>
  <w:style w:type="character" w:customStyle="1" w:styleId="Italic">
    <w:name w:val="Italic"/>
    <w:rsid w:val="00DD6E8C"/>
    <w:rPr>
      <w:i/>
    </w:rPr>
  </w:style>
  <w:style w:type="paragraph" w:customStyle="1" w:styleId="WSParaNum">
    <w:name w:val="WS ParaNum"/>
    <w:basedOn w:val="BodyText"/>
    <w:rsid w:val="00DD6E8C"/>
    <w:pPr>
      <w:numPr>
        <w:numId w:val="4"/>
      </w:numPr>
    </w:pPr>
  </w:style>
  <w:style w:type="paragraph" w:styleId="TOC2">
    <w:name w:val="toc 2"/>
    <w:basedOn w:val="Normal"/>
    <w:next w:val="Normal"/>
    <w:autoRedefine/>
    <w:uiPriority w:val="39"/>
    <w:unhideWhenUsed/>
    <w:rsid w:val="004D3700"/>
    <w:pPr>
      <w:ind w:left="240"/>
    </w:pPr>
  </w:style>
  <w:style w:type="paragraph" w:styleId="TOC3">
    <w:name w:val="toc 3"/>
    <w:basedOn w:val="Normal"/>
    <w:next w:val="Normal"/>
    <w:autoRedefine/>
    <w:uiPriority w:val="39"/>
    <w:unhideWhenUsed/>
    <w:rsid w:val="00F045DC"/>
    <w:pPr>
      <w:ind w:left="480"/>
    </w:pPr>
  </w:style>
  <w:style w:type="character" w:customStyle="1" w:styleId="Bold">
    <w:name w:val="Bold"/>
    <w:rsid w:val="00663B7A"/>
    <w:rPr>
      <w:b/>
    </w:rPr>
  </w:style>
  <w:style w:type="paragraph" w:customStyle="1" w:styleId="TitleBold">
    <w:name w:val="Title Bold"/>
    <w:basedOn w:val="Normal"/>
    <w:next w:val="BodyText"/>
    <w:rsid w:val="00663B7A"/>
    <w:pPr>
      <w:jc w:val="center"/>
    </w:pPr>
    <w:rPr>
      <w:b/>
      <w:sz w:val="28"/>
      <w:lang w:val="en-CA"/>
    </w:rPr>
  </w:style>
  <w:style w:type="paragraph" w:customStyle="1" w:styleId="DocsID">
    <w:name w:val="DocsID"/>
    <w:basedOn w:val="Normal"/>
    <w:rsid w:val="00E91D4B"/>
    <w:pPr>
      <w:spacing w:before="20"/>
    </w:pPr>
    <w:rPr>
      <w:sz w:val="16"/>
      <w:szCs w:val="20"/>
      <w:lang w:val="en-CA"/>
    </w:rPr>
  </w:style>
  <w:style w:type="paragraph" w:styleId="BalloonText">
    <w:name w:val="Balloon Text"/>
    <w:basedOn w:val="Normal"/>
    <w:link w:val="BalloonTextChar"/>
    <w:uiPriority w:val="99"/>
    <w:semiHidden/>
    <w:unhideWhenUsed/>
    <w:rsid w:val="002559B7"/>
    <w:rPr>
      <w:rFonts w:ascii="Tahoma" w:hAnsi="Tahoma" w:cs="Tahoma"/>
      <w:sz w:val="16"/>
      <w:szCs w:val="16"/>
    </w:rPr>
  </w:style>
  <w:style w:type="character" w:customStyle="1" w:styleId="BalloonTextChar">
    <w:name w:val="Balloon Text Char"/>
    <w:link w:val="BalloonText"/>
    <w:uiPriority w:val="99"/>
    <w:semiHidden/>
    <w:rsid w:val="002559B7"/>
    <w:rPr>
      <w:rFonts w:ascii="Tahoma" w:hAnsi="Tahoma" w:cs="Tahoma"/>
      <w:sz w:val="16"/>
      <w:szCs w:val="16"/>
    </w:rPr>
  </w:style>
  <w:style w:type="paragraph" w:styleId="Revision">
    <w:name w:val="Revision"/>
    <w:hidden/>
    <w:uiPriority w:val="99"/>
    <w:semiHidden/>
    <w:rsid w:val="00162F7F"/>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8sdQe/khSVLYLhhtOoaOpCWQVg==">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7080</Words>
  <Characters>40357</Characters>
  <Application>Microsoft Office Word</Application>
  <DocSecurity>4</DocSecurity>
  <Lines>336</Lines>
  <Paragraphs>94</Paragraphs>
  <ScaleCrop>false</ScaleCrop>
  <Company/>
  <LinksUpToDate>false</LinksUpToDate>
  <CharactersWithSpaces>47343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Wood</dc:creator>
  <cp:lastModifiedBy>Vijai Dasrat</cp:lastModifiedBy>
  <cp:revision>2</cp:revision>
  <dcterms:created xsi:type="dcterms:W3CDTF">2026-01-13T21:23:00Z</dcterms:created>
  <dcterms:modified xsi:type="dcterms:W3CDTF">2026-01-13T21:23:00Z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ocIDAutoUpdate">
    <vt:lpwstr>LAST</vt:lpwstr>
  </op:property>
  <op:property fmtid="{D5CDD505-2E9C-101B-9397-08002B2CF9AE}" pid="3" name="DocsID">
    <vt:lpwstr>2016904</vt:lpwstr>
  </op:property>
  <op:property fmtid="{D5CDD505-2E9C-101B-9397-08002B2CF9AE}" pid="4" name="ndDocumentId">
    <vt:lpwstr>1391-2795-1387</vt:lpwstr>
  </op:property>
</op:Properties>
</file>