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2136AB" w14:textId="77777777" w:rsidR="0088713B" w:rsidRDefault="0088713B">
      <w:pPr>
        <w:widowControl w:val="0"/>
        <w:pBdr>
          <w:top w:val="nil"/>
          <w:left w:val="nil"/>
          <w:bottom w:val="nil"/>
          <w:right w:val="nil"/>
          <w:between w:val="nil"/>
        </w:pBdr>
        <w:spacing w:line="276" w:lineRule="auto"/>
      </w:pPr>
    </w:p>
    <w:p w14:paraId="043B0455" w14:textId="77777777" w:rsidR="0088713B" w:rsidRDefault="002735DE">
      <w:pPr>
        <w:jc w:val="center"/>
      </w:pPr>
      <w:r>
        <w:t>WILLMS &amp; SHIER ENVIRONMENTAL LAW MOOT COURT COMPETITION 2026</w:t>
      </w:r>
    </w:p>
    <w:p w14:paraId="6721EBEC" w14:textId="77777777" w:rsidR="0088713B" w:rsidRDefault="0088713B"/>
    <w:p w14:paraId="1B649BAC" w14:textId="77777777" w:rsidR="0088713B" w:rsidRDefault="0088713B"/>
    <w:p w14:paraId="7DB4CE47" w14:textId="77777777" w:rsidR="0088713B" w:rsidRDefault="002735DE">
      <w:pPr>
        <w:jc w:val="right"/>
      </w:pPr>
      <w:r>
        <w:t>S.E.M.C.C. File Number: 02-14-2026</w:t>
      </w:r>
    </w:p>
    <w:p w14:paraId="1C5A6DDC" w14:textId="77777777" w:rsidR="0088713B" w:rsidRDefault="0088713B"/>
    <w:p w14:paraId="54355255" w14:textId="77777777" w:rsidR="0088713B" w:rsidRDefault="002735DE">
      <w:pPr>
        <w:jc w:val="center"/>
        <w:rPr>
          <w:b/>
          <w:bCs/>
        </w:rPr>
      </w:pPr>
      <w:r>
        <w:rPr>
          <w:b/>
          <w:bCs/>
        </w:rPr>
        <w:t>IN THE SUPREME ENVIRONMENTAL MOOT COURT OF CANADA</w:t>
      </w:r>
    </w:p>
    <w:p w14:paraId="1CA476AD" w14:textId="77777777" w:rsidR="0088713B" w:rsidRDefault="0088713B">
      <w:pPr>
        <w:jc w:val="center"/>
      </w:pPr>
    </w:p>
    <w:p w14:paraId="6C697E9F" w14:textId="77777777" w:rsidR="0088713B" w:rsidRDefault="002735DE">
      <w:pPr>
        <w:jc w:val="center"/>
        <w:rPr>
          <w:b/>
          <w:bCs/>
        </w:rPr>
      </w:pPr>
      <w:r>
        <w:rPr>
          <w:b/>
          <w:bCs/>
        </w:rPr>
        <w:t>(ON APPEAL FROM THE ONTARIO COURT OF JUSTICE)</w:t>
      </w:r>
    </w:p>
    <w:p w14:paraId="262B874F" w14:textId="77777777" w:rsidR="0088713B" w:rsidRDefault="0088713B"/>
    <w:p w14:paraId="6EF2AAC0" w14:textId="77777777" w:rsidR="0088713B" w:rsidRDefault="002735DE">
      <w:r>
        <w:t>B E T W E E N:</w:t>
      </w:r>
    </w:p>
    <w:p w14:paraId="6E8D8BC5" w14:textId="77777777" w:rsidR="0088713B" w:rsidRDefault="0088713B"/>
    <w:p w14:paraId="473806DE" w14:textId="77777777" w:rsidR="0088713B" w:rsidRDefault="002735DE">
      <w:pPr>
        <w:jc w:val="center"/>
        <w:rPr>
          <w:b/>
          <w:bCs/>
        </w:rPr>
      </w:pPr>
      <w:r>
        <w:rPr>
          <w:b/>
          <w:bCs/>
        </w:rPr>
        <w:t>HIS MAJESTY THE KING</w:t>
      </w:r>
    </w:p>
    <w:p w14:paraId="4B6C47B1" w14:textId="77777777" w:rsidR="0088713B" w:rsidRDefault="0088713B">
      <w:pPr>
        <w:jc w:val="right"/>
      </w:pPr>
    </w:p>
    <w:p w14:paraId="1407315D" w14:textId="77777777" w:rsidR="0088713B" w:rsidRDefault="002735DE">
      <w:pPr>
        <w:jc w:val="right"/>
      </w:pPr>
      <w:r>
        <w:t>APPELLANT</w:t>
      </w:r>
    </w:p>
    <w:p w14:paraId="72FD6B03" w14:textId="77777777" w:rsidR="0088713B" w:rsidRDefault="0088713B">
      <w:pPr>
        <w:jc w:val="right"/>
      </w:pPr>
    </w:p>
    <w:p w14:paraId="7EFF5510" w14:textId="77777777" w:rsidR="0088713B" w:rsidRDefault="002735DE">
      <w:pPr>
        <w:jc w:val="center"/>
      </w:pPr>
      <w:r>
        <w:t>- and -</w:t>
      </w:r>
    </w:p>
    <w:p w14:paraId="246F3423" w14:textId="77777777" w:rsidR="0088713B" w:rsidRDefault="0088713B"/>
    <w:p w14:paraId="592FD6CA" w14:textId="77777777" w:rsidR="0088713B" w:rsidRDefault="0088713B"/>
    <w:p w14:paraId="1B4FE671" w14:textId="77777777" w:rsidR="0088713B" w:rsidRDefault="002735DE">
      <w:pPr>
        <w:jc w:val="center"/>
        <w:rPr>
          <w:b/>
          <w:bCs/>
        </w:rPr>
      </w:pPr>
      <w:r>
        <w:rPr>
          <w:b/>
          <w:bCs/>
        </w:rPr>
        <w:t>CONSOLIDATED HOMES LTD.</w:t>
      </w:r>
    </w:p>
    <w:p w14:paraId="63483578" w14:textId="77777777" w:rsidR="0088713B" w:rsidRDefault="0088713B">
      <w:pPr>
        <w:jc w:val="right"/>
      </w:pPr>
    </w:p>
    <w:p w14:paraId="6438342D" w14:textId="77777777" w:rsidR="0088713B" w:rsidRDefault="002735DE">
      <w:pPr>
        <w:jc w:val="right"/>
      </w:pPr>
      <w:r>
        <w:t>RESPONDENT</w:t>
      </w:r>
    </w:p>
    <w:p w14:paraId="5B369EA7" w14:textId="77777777" w:rsidR="0088713B" w:rsidRDefault="0088713B"/>
    <w:p w14:paraId="5971539E" w14:textId="77777777" w:rsidR="0088713B" w:rsidRDefault="0088713B"/>
    <w:p w14:paraId="6BA1C444" w14:textId="77777777" w:rsidR="0088713B" w:rsidRDefault="002735DE">
      <w:r>
        <w:rPr>
          <w:noProof/>
        </w:rPr>
        <mc:AlternateContent>
          <mc:Choice Requires="wps">
            <w:drawing>
              <wp:anchor distT="0" distB="0" distL="114300" distR="114300" simplePos="0" relativeHeight="251658240" behindDoc="0" locked="0" layoutInCell="1" hidden="0" allowOverlap="1" wp14:anchorId="6FA7065A" wp14:editId="75AB9AA3">
                <wp:simplePos x="0" y="0"/>
                <wp:positionH relativeFrom="column">
                  <wp:posOffset>114300</wp:posOffset>
                </wp:positionH>
                <wp:positionV relativeFrom="paragraph">
                  <wp:posOffset>-14286</wp:posOffset>
                </wp:positionV>
                <wp:extent cx="0" cy="28575"/>
                <wp:effectExtent l="0" t="0" r="0" b="0"/>
                <wp:wrapNone/>
                <wp:docPr id="2" name="Freeform: Shape 2"/>
                <wp:cNvGraphicFramePr/>
                <a:graphic xmlns:a="http://schemas.openxmlformats.org/drawingml/2006/main">
                  <a:graphicData uri="http://schemas.microsoft.com/office/word/2010/wordprocessingShape">
                    <wps:wsp>
                      <wps:cNvSpPr/>
                      <wps:spPr>
                        <a:xfrm>
                          <a:off x="2388488" y="3780000"/>
                          <a:ext cx="5915025" cy="0"/>
                        </a:xfrm>
                        <a:custGeom>
                          <a:avLst/>
                          <a:gdLst/>
                          <a:ahLst/>
                          <a:cxnLst/>
                          <a:rect l="l" t="t" r="r" b="b"/>
                          <a:pathLst>
                            <a:path w="5915025" h="1" extrusionOk="0">
                              <a:moveTo>
                                <a:pt x="0" y="0"/>
                              </a:moveTo>
                              <a:lnTo>
                                <a:pt x="5915025" y="0"/>
                              </a:lnTo>
                            </a:path>
                          </a:pathLst>
                        </a:custGeom>
                        <a:solidFill>
                          <a:srgbClr val="FFFFFF"/>
                        </a:solidFill>
                        <a:ln w="2857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-14286</wp:posOffset>
                </wp:positionV>
                <wp:extent cx="0" cy="28575"/>
                <wp:effectExtent b="0" l="0" r="0" t="0"/>
                <wp:wrapNone/>
                <wp:docPr id="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28575"/>
                        </a:xfrm>
                        <a:prstGeom prst="rect"/>
                        <a:ln/>
                      </pic:spPr>
                    </pic:pic>
                  </a:graphicData>
                </a:graphic>
              </wp:anchor>
            </w:drawing>
          </mc:Fallback>
        </mc:AlternateContent>
      </w:r>
    </w:p>
    <w:p w14:paraId="37F345D0" w14:textId="77777777" w:rsidR="0088713B" w:rsidRDefault="002735DE">
      <w:pPr>
        <w:jc w:val="center"/>
        <w:rPr>
          <w:b/>
          <w:bCs/>
        </w:rPr>
      </w:pPr>
      <w:r>
        <w:rPr>
          <w:b/>
          <w:bCs/>
        </w:rPr>
        <w:t>FACTUM OF THE APPELLANT</w:t>
      </w:r>
    </w:p>
    <w:p w14:paraId="0AC9FFA0" w14:textId="77777777" w:rsidR="0088713B" w:rsidRDefault="002735DE">
      <w:pPr>
        <w:jc w:val="center"/>
      </w:pPr>
      <w:r>
        <w:rPr>
          <w:b/>
          <w:bCs/>
        </w:rPr>
        <w:t>HIS MAJESTY THE KING</w:t>
      </w:r>
    </w:p>
    <w:p w14:paraId="02606669" w14:textId="77777777" w:rsidR="0088713B" w:rsidRDefault="002735DE">
      <w:pPr>
        <w:jc w:val="center"/>
      </w:pPr>
      <w:r>
        <w:t>Pursuant to Rule 12 of the</w:t>
      </w:r>
    </w:p>
    <w:p w14:paraId="47456FFC" w14:textId="77777777" w:rsidR="0088713B" w:rsidRDefault="002735DE">
      <w:pPr>
        <w:jc w:val="center"/>
      </w:pPr>
      <w:r>
        <w:t>Willms &amp; Shier Environmental Law Moot Official Competition Rules 2026</w:t>
      </w:r>
    </w:p>
    <w:p w14:paraId="4DE5E5F9" w14:textId="77777777" w:rsidR="0088713B" w:rsidRDefault="0088713B">
      <w:pPr>
        <w:jc w:val="center"/>
      </w:pPr>
    </w:p>
    <w:p w14:paraId="07B4609F" w14:textId="77777777" w:rsidR="0088713B" w:rsidRDefault="002735DE">
      <w:r>
        <w:rPr>
          <w:noProof/>
        </w:rPr>
        <mc:AlternateContent>
          <mc:Choice Requires="wps">
            <w:drawing>
              <wp:anchor distT="0" distB="0" distL="114300" distR="114300" simplePos="0" relativeHeight="251659264" behindDoc="0" locked="0" layoutInCell="1" hidden="0" allowOverlap="1" wp14:anchorId="53584770" wp14:editId="7CB98700">
                <wp:simplePos x="0" y="0"/>
                <wp:positionH relativeFrom="column">
                  <wp:posOffset>114300</wp:posOffset>
                </wp:positionH>
                <wp:positionV relativeFrom="paragraph">
                  <wp:posOffset>-14286</wp:posOffset>
                </wp:positionV>
                <wp:extent cx="0" cy="28575"/>
                <wp:effectExtent l="0" t="0" r="0" b="0"/>
                <wp:wrapNone/>
                <wp:docPr id="1" name="Freeform: Shape 1"/>
                <wp:cNvGraphicFramePr/>
                <a:graphic xmlns:a="http://schemas.openxmlformats.org/drawingml/2006/main">
                  <a:graphicData uri="http://schemas.microsoft.com/office/word/2010/wordprocessingShape">
                    <wps:wsp>
                      <wps:cNvSpPr/>
                      <wps:spPr>
                        <a:xfrm>
                          <a:off x="2389123" y="3780000"/>
                          <a:ext cx="5913755" cy="0"/>
                        </a:xfrm>
                        <a:custGeom>
                          <a:avLst/>
                          <a:gdLst/>
                          <a:ahLst/>
                          <a:cxnLst/>
                          <a:rect l="l" t="t" r="r" b="b"/>
                          <a:pathLst>
                            <a:path w="5913755" h="1" extrusionOk="0">
                              <a:moveTo>
                                <a:pt x="0" y="0"/>
                              </a:moveTo>
                              <a:lnTo>
                                <a:pt x="5913755" y="0"/>
                              </a:lnTo>
                            </a:path>
                          </a:pathLst>
                        </a:custGeom>
                        <a:solidFill>
                          <a:srgbClr val="FFFFFF"/>
                        </a:solidFill>
                        <a:ln w="2857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-14286</wp:posOffset>
                </wp:positionV>
                <wp:extent cx="0" cy="28575"/>
                <wp:effectExtent b="0" l="0" r="0" t="0"/>
                <wp:wrapNone/>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0" cy="28575"/>
                        </a:xfrm>
                        <a:prstGeom prst="rect"/>
                        <a:ln/>
                      </pic:spPr>
                    </pic:pic>
                  </a:graphicData>
                </a:graphic>
              </wp:anchor>
            </w:drawing>
          </mc:Fallback>
        </mc:AlternateContent>
      </w:r>
    </w:p>
    <w:p w14:paraId="2DEB5B1A" w14:textId="77777777" w:rsidR="0088713B" w:rsidRDefault="0088713B"/>
    <w:p w14:paraId="3912B5C9" w14:textId="77777777" w:rsidR="0088713B" w:rsidRDefault="002735DE">
      <w:pPr>
        <w:jc w:val="right"/>
        <w:sectPr w:rsidR="0088713B">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sectPr>
      </w:pPr>
      <w:r>
        <w:t>TEAM #</w:t>
      </w:r>
      <w:bookmarkStart w:id="0" w:name="bookmark=id.a674m1wql4sl" w:colFirst="0" w:colLast="0"/>
      <w:bookmarkEnd w:id="0"/>
      <w:r>
        <w:t>  </w:t>
      </w:r>
      <w:r>
        <w:rPr>
          <w:color w:val="222222"/>
          <w:sz w:val="22"/>
          <w:szCs w:val="22"/>
          <w:highlight w:val="white"/>
        </w:rPr>
        <w:t xml:space="preserve"> </w:t>
      </w:r>
      <w:r>
        <w:rPr>
          <w:color w:val="222222"/>
        </w:rPr>
        <w:t>­­­­­­­­­­­­­­­­­2026-03</w:t>
      </w:r>
      <w:r>
        <w:t> </w:t>
      </w:r>
    </w:p>
    <w:p w14:paraId="1DD4A27C" w14:textId="77777777" w:rsidR="0088713B" w:rsidRDefault="002735DE">
      <w:pPr>
        <w:ind w:left="1440" w:hanging="1440"/>
        <w:rPr>
          <w:b/>
          <w:bCs/>
        </w:rPr>
      </w:pPr>
      <w:r>
        <w:rPr>
          <w:b/>
          <w:bCs/>
        </w:rPr>
        <w:lastRenderedPageBreak/>
        <w:t xml:space="preserve">TO: </w:t>
      </w:r>
      <w:r>
        <w:rPr>
          <w:b/>
          <w:bCs/>
        </w:rPr>
        <w:tab/>
        <w:t xml:space="preserve">THE REGISTRAR OF THE </w:t>
      </w:r>
      <w:r>
        <w:rPr>
          <w:b/>
          <w:bCs/>
        </w:rPr>
        <w:br/>
        <w:t>SUPREME ENVIRONMENTAL MOOT COURT OF CANADA</w:t>
      </w:r>
    </w:p>
    <w:p w14:paraId="016A26F3" w14:textId="77777777" w:rsidR="0088713B" w:rsidRDefault="0088713B">
      <w:pPr>
        <w:ind w:left="1440" w:hanging="1440"/>
        <w:rPr>
          <w:b/>
          <w:bCs/>
        </w:rPr>
      </w:pPr>
    </w:p>
    <w:p w14:paraId="6064D8B8" w14:textId="77777777" w:rsidR="0088713B" w:rsidRDefault="002735DE">
      <w:pPr>
        <w:ind w:left="1440" w:hanging="1440"/>
        <w:rPr>
          <w:b/>
          <w:bCs/>
        </w:rPr>
      </w:pPr>
      <w:r>
        <w:rPr>
          <w:b/>
          <w:bCs/>
        </w:rPr>
        <w:t xml:space="preserve">AND TO: </w:t>
      </w:r>
      <w:r>
        <w:rPr>
          <w:b/>
          <w:bCs/>
        </w:rPr>
        <w:tab/>
      </w:r>
      <w:r>
        <w:rPr>
          <w:b/>
          <w:bCs/>
        </w:rPr>
        <w:t>ALL REGISTERED TEAMS</w:t>
      </w:r>
    </w:p>
    <w:p w14:paraId="17DAFDA3" w14:textId="77777777" w:rsidR="0088713B" w:rsidRDefault="0088713B">
      <w:pPr>
        <w:ind w:left="1440" w:hanging="1440"/>
        <w:rPr>
          <w:b/>
          <w:bCs/>
        </w:rPr>
        <w:sectPr w:rsidR="0088713B">
          <w:headerReference w:type="first" r:id="rId15"/>
          <w:pgSz w:w="12240" w:h="15840"/>
          <w:pgMar w:top="1440" w:right="1440" w:bottom="1440" w:left="1440" w:header="720" w:footer="720" w:gutter="0"/>
          <w:cols w:space="720"/>
        </w:sectPr>
      </w:pPr>
    </w:p>
    <w:p w14:paraId="47411FA5" w14:textId="77777777" w:rsidR="0088713B" w:rsidRDefault="002735DE">
      <w:pPr>
        <w:spacing w:line="360" w:lineRule="auto"/>
        <w:jc w:val="center"/>
        <w:rPr>
          <w:b/>
          <w:bCs/>
        </w:rPr>
      </w:pPr>
      <w:r>
        <w:rPr>
          <w:b/>
          <w:bCs/>
        </w:rPr>
        <w:lastRenderedPageBreak/>
        <w:t>TABLE OF CONTENTS</w:t>
      </w:r>
    </w:p>
    <w:p w14:paraId="2867D715" w14:textId="77777777" w:rsidR="0088713B" w:rsidRDefault="002735DE">
      <w:pPr>
        <w:spacing w:line="360" w:lineRule="auto"/>
        <w:jc w:val="right"/>
      </w:pPr>
      <w:r>
        <w:rPr>
          <w:b/>
          <w:bCs/>
        </w:rPr>
        <w:t>Page No.</w:t>
      </w:r>
    </w:p>
    <w:sdt>
      <w:sdtPr>
        <w:id w:val="-1823265683"/>
        <w:docPartObj>
          <w:docPartGallery w:val="Table of Contents"/>
          <w:docPartUnique/>
        </w:docPartObj>
      </w:sdtPr>
      <w:sdtEndPr/>
      <w:sdtContent>
        <w:p w14:paraId="32B307D0" w14:textId="77777777" w:rsidR="0088713B" w:rsidRDefault="002735DE">
          <w:pPr>
            <w:pBdr>
              <w:top w:val="nil"/>
              <w:left w:val="nil"/>
              <w:bottom w:val="nil"/>
              <w:right w:val="nil"/>
              <w:between w:val="nil"/>
            </w:pBdr>
            <w:tabs>
              <w:tab w:val="right" w:leader="dot" w:pos="9350"/>
            </w:tabs>
            <w:spacing w:line="360" w:lineRule="auto"/>
            <w:rPr>
              <w:color w:val="000000"/>
              <w:sz w:val="22"/>
              <w:szCs w:val="22"/>
            </w:rPr>
          </w:pPr>
          <w:r>
            <w:fldChar w:fldCharType="begin"/>
          </w:r>
          <w:r>
            <w:instrText xml:space="preserve"> TOC \h \u \z \t "Heading 1,1,Heading 2,2,Heading 3,3,"</w:instrText>
          </w:r>
          <w:r>
            <w:fldChar w:fldCharType="separate"/>
          </w:r>
          <w:r>
            <w:rPr>
              <w:color w:val="000000"/>
            </w:rPr>
            <w:t>PART I -- OVERVIEW AND STATEMENT OF FACTS</w:t>
          </w:r>
          <w:r>
            <w:rPr>
              <w:color w:val="000000"/>
            </w:rPr>
            <w:tab/>
          </w:r>
          <w:r>
            <w:t>1</w:t>
          </w:r>
          <w:r>
            <w:fldChar w:fldCharType="begin"/>
          </w:r>
          <w:r>
            <w:instrText xml:space="preserve"> HYPERLINK \l "_heading=h.b0vnfx23nuzm" </w:instrText>
          </w:r>
          <w:r>
            <w:fldChar w:fldCharType="separate"/>
          </w:r>
        </w:p>
        <w:p w14:paraId="193F7F78" w14:textId="77777777" w:rsidR="0088713B" w:rsidRDefault="002735DE">
          <w:pPr>
            <w:pBdr>
              <w:top w:val="nil"/>
              <w:left w:val="nil"/>
              <w:bottom w:val="nil"/>
              <w:right w:val="nil"/>
              <w:between w:val="nil"/>
            </w:pBdr>
            <w:tabs>
              <w:tab w:val="left" w:pos="880"/>
              <w:tab w:val="right" w:leader="dot" w:pos="9350"/>
            </w:tabs>
            <w:spacing w:line="360" w:lineRule="auto"/>
            <w:ind w:left="240"/>
            <w:rPr>
              <w:color w:val="000000"/>
              <w:sz w:val="22"/>
              <w:szCs w:val="22"/>
            </w:rPr>
          </w:pPr>
          <w:r>
            <w:fldChar w:fldCharType="end"/>
          </w:r>
          <w:r>
            <w:rPr>
              <w:color w:val="000000"/>
            </w:rPr>
            <w:t>A.</w:t>
          </w:r>
          <w:r>
            <w:rPr>
              <w:color w:val="000000"/>
              <w:sz w:val="22"/>
              <w:szCs w:val="22"/>
            </w:rPr>
            <w:tab/>
          </w:r>
          <w:r>
            <w:rPr>
              <w:color w:val="000000"/>
            </w:rPr>
            <w:t>Overview of the Appellants' Position</w:t>
          </w:r>
          <w:r>
            <w:rPr>
              <w:color w:val="000000"/>
            </w:rPr>
            <w:tab/>
          </w:r>
          <w:r>
            <w:t>1</w:t>
          </w:r>
          <w:r>
            <w:fldChar w:fldCharType="begin"/>
          </w:r>
          <w:r>
            <w:instrText xml:space="preserve"> HYPERLINK \l "_heading=h.cf25r5o89nua" </w:instrText>
          </w:r>
          <w:r>
            <w:fldChar w:fldCharType="separate"/>
          </w:r>
        </w:p>
        <w:p w14:paraId="3409EE52" w14:textId="77777777" w:rsidR="0088713B" w:rsidRDefault="002735DE">
          <w:pPr>
            <w:pBdr>
              <w:top w:val="nil"/>
              <w:left w:val="nil"/>
              <w:bottom w:val="nil"/>
              <w:right w:val="nil"/>
              <w:between w:val="nil"/>
            </w:pBdr>
            <w:tabs>
              <w:tab w:val="left" w:pos="880"/>
              <w:tab w:val="right" w:leader="dot" w:pos="9350"/>
            </w:tabs>
            <w:spacing w:line="360" w:lineRule="auto"/>
            <w:ind w:left="240"/>
            <w:rPr>
              <w:color w:val="000000"/>
            </w:rPr>
          </w:pPr>
          <w:r>
            <w:fldChar w:fldCharType="end"/>
          </w:r>
          <w:r>
            <w:rPr>
              <w:color w:val="000000"/>
            </w:rPr>
            <w:t>B.</w:t>
          </w:r>
          <w:r>
            <w:rPr>
              <w:color w:val="000000"/>
              <w:sz w:val="22"/>
              <w:szCs w:val="22"/>
            </w:rPr>
            <w:tab/>
          </w:r>
          <w:r>
            <w:rPr>
              <w:color w:val="000000"/>
            </w:rPr>
            <w:t>Statement of the Facts</w:t>
          </w:r>
          <w:r>
            <w:rPr>
              <w:color w:val="000000"/>
            </w:rPr>
            <w:tab/>
          </w:r>
          <w:r>
            <w:t>2</w:t>
          </w:r>
        </w:p>
        <w:p w14:paraId="7C087D74" w14:textId="77777777" w:rsidR="0088713B" w:rsidRDefault="002735DE">
          <w:pPr>
            <w:tabs>
              <w:tab w:val="left" w:pos="1100"/>
              <w:tab w:val="right" w:leader="dot" w:pos="9350"/>
            </w:tabs>
            <w:spacing w:line="360" w:lineRule="auto"/>
          </w:pPr>
          <w:r>
            <w:t xml:space="preserve">    C.       Procedural History</w:t>
          </w:r>
          <w:r>
            <w:tab/>
            <w:t>3</w:t>
          </w:r>
        </w:p>
        <w:p w14:paraId="6CC1B7C9" w14:textId="77777777" w:rsidR="0088713B" w:rsidRDefault="002735DE">
          <w:pPr>
            <w:tabs>
              <w:tab w:val="left" w:pos="1100"/>
              <w:tab w:val="right" w:leader="dot" w:pos="9350"/>
            </w:tabs>
            <w:spacing w:line="360" w:lineRule="auto"/>
            <w:ind w:left="1200"/>
          </w:pPr>
          <w:r>
            <w:t xml:space="preserve">(iv)   </w:t>
          </w:r>
          <w:r>
            <w:rPr>
              <w:i/>
              <w:iCs/>
            </w:rPr>
            <w:t>The Trial Decision</w:t>
          </w:r>
          <w:r>
            <w:tab/>
            <w:t>3</w:t>
          </w:r>
        </w:p>
        <w:p w14:paraId="5EB4828B" w14:textId="77777777" w:rsidR="0088713B" w:rsidRDefault="002735DE">
          <w:pPr>
            <w:tabs>
              <w:tab w:val="left" w:pos="1100"/>
              <w:tab w:val="right" w:leader="dot" w:pos="9350"/>
            </w:tabs>
            <w:spacing w:line="360" w:lineRule="auto"/>
            <w:ind w:left="1200"/>
          </w:pPr>
          <w:r>
            <w:t xml:space="preserve">(v)   </w:t>
          </w:r>
          <w:r>
            <w:rPr>
              <w:i/>
              <w:iCs/>
            </w:rPr>
            <w:t>The Appeal to the Ontario Court of Justice</w:t>
          </w:r>
          <w:r>
            <w:tab/>
            <w:t>3</w:t>
          </w:r>
        </w:p>
        <w:p w14:paraId="4E00F752" w14:textId="77777777" w:rsidR="0088713B" w:rsidRDefault="002735DE">
          <w:pPr>
            <w:tabs>
              <w:tab w:val="left" w:pos="1100"/>
              <w:tab w:val="right" w:leader="dot" w:pos="9350"/>
            </w:tabs>
            <w:spacing w:line="360" w:lineRule="auto"/>
            <w:ind w:left="1200"/>
          </w:pPr>
          <w:r>
            <w:t xml:space="preserve">(vi)  </w:t>
          </w:r>
          <w:r>
            <w:rPr>
              <w:i/>
              <w:iCs/>
            </w:rPr>
            <w:t>The Present Appeal</w:t>
          </w:r>
          <w:r>
            <w:tab/>
            <w:t>4</w:t>
          </w:r>
        </w:p>
        <w:p w14:paraId="161CE30D" w14:textId="77777777" w:rsidR="0088713B" w:rsidRDefault="002735DE">
          <w:pPr>
            <w:tabs>
              <w:tab w:val="left" w:pos="1100"/>
              <w:tab w:val="right" w:leader="dot" w:pos="9350"/>
            </w:tabs>
            <w:spacing w:line="360" w:lineRule="auto"/>
          </w:pPr>
          <w:r>
            <w:t xml:space="preserve">    D.       Applicable Legislation</w:t>
          </w:r>
          <w:r>
            <w:tab/>
            <w:t>4</w:t>
          </w:r>
          <w:r>
            <w:fldChar w:fldCharType="begin"/>
          </w:r>
          <w:r>
            <w:instrText xml:space="preserve"> HYPERLINK \l "_heading=h.rpwc9qiv6nt2" </w:instrText>
          </w:r>
          <w:r>
            <w:fldChar w:fldCharType="separate"/>
          </w:r>
        </w:p>
        <w:p w14:paraId="6D3F3087" w14:textId="77777777" w:rsidR="0088713B" w:rsidRDefault="002735DE">
          <w:pPr>
            <w:pBdr>
              <w:top w:val="nil"/>
              <w:left w:val="nil"/>
              <w:bottom w:val="nil"/>
              <w:right w:val="nil"/>
              <w:between w:val="nil"/>
            </w:pBdr>
            <w:tabs>
              <w:tab w:val="right" w:leader="dot" w:pos="9350"/>
            </w:tabs>
            <w:spacing w:line="360" w:lineRule="auto"/>
            <w:rPr>
              <w:i/>
              <w:iCs/>
            </w:rPr>
          </w:pPr>
          <w:r>
            <w:fldChar w:fldCharType="end"/>
          </w:r>
          <w:r>
            <w:rPr>
              <w:color w:val="000000"/>
            </w:rPr>
            <w:t>PART II -- QUESTIONS IN ISSUE</w:t>
          </w:r>
          <w:r>
            <w:rPr>
              <w:color w:val="000000"/>
            </w:rPr>
            <w:tab/>
          </w:r>
          <w:r>
            <w:t>5</w:t>
          </w:r>
          <w:r>
            <w:fldChar w:fldCharType="begin"/>
          </w:r>
          <w:r>
            <w:instrText xml:space="preserve"> HYPERLINK \l "_heading=h.js8qtw36iknp" </w:instrText>
          </w:r>
          <w:r>
            <w:fldChar w:fldCharType="separate"/>
          </w:r>
        </w:p>
        <w:p w14:paraId="2C359DD6" w14:textId="77777777" w:rsidR="0088713B" w:rsidRDefault="002735DE">
          <w:pPr>
            <w:pBdr>
              <w:top w:val="nil"/>
              <w:left w:val="nil"/>
              <w:bottom w:val="nil"/>
              <w:right w:val="nil"/>
              <w:between w:val="nil"/>
            </w:pBdr>
            <w:tabs>
              <w:tab w:val="right" w:leader="dot" w:pos="9350"/>
            </w:tabs>
            <w:spacing w:line="360" w:lineRule="auto"/>
            <w:rPr>
              <w:color w:val="000000"/>
              <w:sz w:val="22"/>
              <w:szCs w:val="22"/>
            </w:rPr>
          </w:pPr>
          <w:r>
            <w:fldChar w:fldCharType="end"/>
          </w:r>
          <w:r>
            <w:rPr>
              <w:color w:val="000000"/>
            </w:rPr>
            <w:t>PART III -- ARGUMENT</w:t>
          </w:r>
          <w:r>
            <w:rPr>
              <w:color w:val="000000"/>
            </w:rPr>
            <w:tab/>
          </w:r>
          <w:r>
            <w:t>5</w:t>
          </w:r>
          <w:r>
            <w:fldChar w:fldCharType="begin"/>
          </w:r>
          <w:r>
            <w:instrText xml:space="preserve"> HYPERLINK \l "_heading=h.48op3ggke6ah" </w:instrText>
          </w:r>
          <w:r>
            <w:fldChar w:fldCharType="separate"/>
          </w:r>
        </w:p>
        <w:p w14:paraId="1FF4D8B6" w14:textId="77777777" w:rsidR="0088713B" w:rsidRDefault="002735DE">
          <w:pPr>
            <w:pBdr>
              <w:top w:val="nil"/>
              <w:left w:val="nil"/>
              <w:bottom w:val="nil"/>
              <w:right w:val="nil"/>
              <w:between w:val="nil"/>
            </w:pBdr>
            <w:tabs>
              <w:tab w:val="left" w:pos="880"/>
              <w:tab w:val="right" w:leader="dot" w:pos="9350"/>
            </w:tabs>
            <w:spacing w:line="360" w:lineRule="auto"/>
            <w:ind w:left="240"/>
            <w:rPr>
              <w:color w:val="000000"/>
              <w:sz w:val="22"/>
              <w:szCs w:val="22"/>
            </w:rPr>
          </w:pPr>
          <w:r>
            <w:fldChar w:fldCharType="end"/>
          </w:r>
          <w:r>
            <w:rPr>
              <w:color w:val="000000"/>
            </w:rPr>
            <w:t>A.</w:t>
          </w:r>
          <w:r>
            <w:rPr>
              <w:color w:val="000000"/>
              <w:sz w:val="22"/>
              <w:szCs w:val="22"/>
            </w:rPr>
            <w:tab/>
          </w:r>
          <w:r>
            <w:t>ISSUE 1: The OCJ erred in finding that the Trial justice should not have relied on evidence of sightings of a Blanding’s Turtle near the site on various dates before and after the time of the offense.</w:t>
          </w:r>
          <w:r>
            <w:tab/>
            <w:t>5</w:t>
          </w:r>
          <w:r>
            <w:fldChar w:fldCharType="begin"/>
          </w:r>
          <w:r>
            <w:instrText xml:space="preserve"> HYPERLINK \l "_heading=h.1ss7jgr7yhwl" </w:instrText>
          </w:r>
          <w:r>
            <w:fldChar w:fldCharType="separate"/>
          </w:r>
        </w:p>
        <w:p w14:paraId="0F2A79EA" w14:textId="77777777" w:rsidR="0088713B" w:rsidRDefault="002735DE">
          <w:pPr>
            <w:pBdr>
              <w:top w:val="nil"/>
              <w:left w:val="nil"/>
              <w:bottom w:val="nil"/>
              <w:right w:val="nil"/>
              <w:between w:val="nil"/>
            </w:pBdr>
            <w:tabs>
              <w:tab w:val="left" w:pos="1100"/>
              <w:tab w:val="right" w:leader="dot" w:pos="9350"/>
            </w:tabs>
            <w:spacing w:line="360" w:lineRule="auto"/>
            <w:ind w:left="480"/>
            <w:rPr>
              <w:color w:val="000000"/>
              <w:sz w:val="22"/>
              <w:szCs w:val="22"/>
            </w:rPr>
          </w:pPr>
          <w:r>
            <w:fldChar w:fldCharType="end"/>
          </w:r>
          <w:r>
            <w:rPr>
              <w:color w:val="000000"/>
            </w:rPr>
            <w:t>(i)</w:t>
          </w:r>
          <w:r>
            <w:rPr>
              <w:color w:val="000000"/>
              <w:sz w:val="22"/>
              <w:szCs w:val="22"/>
            </w:rPr>
            <w:tab/>
          </w:r>
          <w:r>
            <w:rPr>
              <w:i/>
              <w:iCs/>
              <w:color w:val="000000"/>
            </w:rPr>
            <w:t xml:space="preserve">Standard </w:t>
          </w:r>
          <w:r>
            <w:rPr>
              <w:i/>
              <w:iCs/>
            </w:rPr>
            <w:t>of Review</w:t>
          </w:r>
          <w:r>
            <w:rPr>
              <w:color w:val="000000"/>
            </w:rPr>
            <w:tab/>
          </w:r>
          <w:r>
            <w:t>5</w:t>
          </w:r>
          <w:r>
            <w:fldChar w:fldCharType="begin"/>
          </w:r>
          <w:r>
            <w:instrText xml:space="preserve"> HYPERLINK \l "_heading=h.p3xu4mi4wr89" </w:instrText>
          </w:r>
          <w:r>
            <w:fldChar w:fldCharType="separate"/>
          </w:r>
        </w:p>
        <w:p w14:paraId="6B93B788" w14:textId="77777777" w:rsidR="0088713B" w:rsidRDefault="002735DE">
          <w:pPr>
            <w:pBdr>
              <w:top w:val="nil"/>
              <w:left w:val="nil"/>
              <w:bottom w:val="nil"/>
              <w:right w:val="nil"/>
              <w:between w:val="nil"/>
            </w:pBdr>
            <w:tabs>
              <w:tab w:val="left" w:pos="1100"/>
              <w:tab w:val="right" w:leader="dot" w:pos="9350"/>
            </w:tabs>
            <w:spacing w:line="360" w:lineRule="auto"/>
            <w:ind w:left="480"/>
          </w:pPr>
          <w:r>
            <w:fldChar w:fldCharType="end"/>
          </w:r>
          <w:r>
            <w:rPr>
              <w:color w:val="000000"/>
            </w:rPr>
            <w:t>(ii)</w:t>
          </w:r>
          <w:r>
            <w:rPr>
              <w:color w:val="000000"/>
              <w:sz w:val="22"/>
              <w:szCs w:val="22"/>
            </w:rPr>
            <w:tab/>
          </w:r>
          <w:r>
            <w:rPr>
              <w:i/>
              <w:iCs/>
              <w:color w:val="000000"/>
            </w:rPr>
            <w:t>T</w:t>
          </w:r>
          <w:r>
            <w:rPr>
              <w:i/>
              <w:iCs/>
            </w:rPr>
            <w:t>he OCJ misapplied the statutory definition of “Habitat” under the ESA</w:t>
          </w:r>
          <w:r>
            <w:rPr>
              <w:color w:val="000000"/>
            </w:rPr>
            <w:tab/>
          </w:r>
          <w:r>
            <w:t>6</w:t>
          </w:r>
        </w:p>
        <w:p w14:paraId="1CF4DF15" w14:textId="77777777" w:rsidR="0088713B" w:rsidRDefault="002735DE">
          <w:pPr>
            <w:pBdr>
              <w:top w:val="nil"/>
              <w:left w:val="nil"/>
              <w:bottom w:val="nil"/>
              <w:right w:val="nil"/>
              <w:between w:val="nil"/>
            </w:pBdr>
            <w:tabs>
              <w:tab w:val="left" w:pos="1100"/>
              <w:tab w:val="right" w:leader="dot" w:pos="9350"/>
            </w:tabs>
            <w:spacing w:line="360" w:lineRule="auto"/>
            <w:ind w:left="480"/>
          </w:pPr>
          <w:r>
            <w:t xml:space="preserve">(iii)    </w:t>
          </w:r>
          <w:r>
            <w:rPr>
              <w:i/>
              <w:iCs/>
            </w:rPr>
            <w:t>The Trial Justice was Entitled to Rely on Circumstantial and Inferential evidence, Including Sightings Evidence</w:t>
          </w:r>
          <w:r>
            <w:tab/>
            <w:t>7</w:t>
          </w:r>
        </w:p>
        <w:p w14:paraId="791EFA13" w14:textId="77777777" w:rsidR="0088713B" w:rsidRDefault="002735DE">
          <w:pPr>
            <w:pBdr>
              <w:top w:val="nil"/>
              <w:left w:val="nil"/>
              <w:bottom w:val="nil"/>
              <w:right w:val="nil"/>
              <w:between w:val="nil"/>
            </w:pBdr>
            <w:tabs>
              <w:tab w:val="left" w:pos="1100"/>
              <w:tab w:val="right" w:leader="dot" w:pos="9350"/>
            </w:tabs>
            <w:spacing w:line="360" w:lineRule="auto"/>
            <w:ind w:left="480"/>
            <w:rPr>
              <w:i/>
              <w:iCs/>
            </w:rPr>
          </w:pPr>
          <w:r>
            <w:t xml:space="preserve">(iv)   </w:t>
          </w:r>
          <w:r>
            <w:rPr>
              <w:i/>
              <w:iCs/>
            </w:rPr>
            <w:t xml:space="preserve">The OCJ improperly substituted a new legal threshold and exceeded its </w:t>
          </w:r>
        </w:p>
        <w:p w14:paraId="346C95C0" w14:textId="77777777" w:rsidR="0088713B" w:rsidRDefault="002735DE">
          <w:pPr>
            <w:pBdr>
              <w:top w:val="nil"/>
              <w:left w:val="nil"/>
              <w:bottom w:val="nil"/>
              <w:right w:val="nil"/>
              <w:between w:val="nil"/>
            </w:pBdr>
            <w:tabs>
              <w:tab w:val="left" w:pos="1100"/>
              <w:tab w:val="right" w:leader="dot" w:pos="9350"/>
            </w:tabs>
            <w:spacing w:line="360" w:lineRule="auto"/>
            <w:ind w:left="480"/>
          </w:pPr>
          <w:r>
            <w:rPr>
              <w:i/>
              <w:iCs/>
            </w:rPr>
            <w:t>appellate role</w:t>
          </w:r>
          <w:r>
            <w:tab/>
            <w:t>8</w:t>
          </w:r>
          <w:r>
            <w:fldChar w:fldCharType="begin"/>
          </w:r>
          <w:r>
            <w:instrText xml:space="preserve"> HYPERLINK \l "_heading=h.6e976t9xjvm3" </w:instrText>
          </w:r>
          <w:r>
            <w:fldChar w:fldCharType="separate"/>
          </w:r>
        </w:p>
        <w:p w14:paraId="44B9C17D" w14:textId="77777777" w:rsidR="0088713B" w:rsidRDefault="002735DE">
          <w:pPr>
            <w:pBdr>
              <w:top w:val="nil"/>
              <w:left w:val="nil"/>
              <w:bottom w:val="nil"/>
              <w:right w:val="nil"/>
              <w:between w:val="nil"/>
            </w:pBdr>
            <w:tabs>
              <w:tab w:val="left" w:pos="880"/>
              <w:tab w:val="right" w:leader="dot" w:pos="9350"/>
            </w:tabs>
            <w:spacing w:line="360" w:lineRule="auto"/>
            <w:ind w:left="240"/>
            <w:rPr>
              <w:color w:val="000000"/>
              <w:sz w:val="22"/>
              <w:szCs w:val="22"/>
            </w:rPr>
          </w:pPr>
          <w:r>
            <w:fldChar w:fldCharType="end"/>
          </w:r>
          <w:r>
            <w:rPr>
              <w:color w:val="000000"/>
            </w:rPr>
            <w:t>B.</w:t>
          </w:r>
          <w:r>
            <w:rPr>
              <w:color w:val="000000"/>
              <w:sz w:val="22"/>
              <w:szCs w:val="22"/>
            </w:rPr>
            <w:tab/>
          </w:r>
          <w:r>
            <w:t>ISSUE 2:  The OCJ erred by finding that it was an error for the TJ to rely on the “general habitat description for the Blanding’s Turtle"</w:t>
          </w:r>
          <w:r>
            <w:rPr>
              <w:color w:val="000000"/>
            </w:rPr>
            <w:tab/>
          </w:r>
          <w:r>
            <w:t>9</w:t>
          </w:r>
          <w:r>
            <w:fldChar w:fldCharType="begin"/>
          </w:r>
          <w:r>
            <w:instrText xml:space="preserve"> HYPERLINK \l "_heading=h.7elwpkkjxbdv" </w:instrText>
          </w:r>
          <w:r>
            <w:fldChar w:fldCharType="separate"/>
          </w:r>
        </w:p>
        <w:p w14:paraId="2540B0FA" w14:textId="77777777" w:rsidR="0088713B" w:rsidRDefault="002735DE">
          <w:pPr>
            <w:pBdr>
              <w:top w:val="nil"/>
              <w:left w:val="nil"/>
              <w:bottom w:val="nil"/>
              <w:right w:val="nil"/>
              <w:between w:val="nil"/>
            </w:pBdr>
            <w:tabs>
              <w:tab w:val="left" w:pos="1100"/>
              <w:tab w:val="right" w:leader="dot" w:pos="9350"/>
            </w:tabs>
            <w:spacing w:line="360" w:lineRule="auto"/>
            <w:ind w:left="480"/>
          </w:pPr>
          <w:r>
            <w:fldChar w:fldCharType="end"/>
          </w:r>
          <w:r>
            <w:rPr>
              <w:color w:val="000000"/>
            </w:rPr>
            <w:t>(i)</w:t>
          </w:r>
          <w:r>
            <w:rPr>
              <w:color w:val="000000"/>
              <w:sz w:val="22"/>
              <w:szCs w:val="22"/>
            </w:rPr>
            <w:tab/>
          </w:r>
          <w:r>
            <w:rPr>
              <w:i/>
              <w:iCs/>
              <w:color w:val="000000"/>
            </w:rPr>
            <w:t>The OC</w:t>
          </w:r>
          <w:r>
            <w:rPr>
              <w:i/>
              <w:iCs/>
            </w:rPr>
            <w:t>J Erred by Treating Legal Force as a Precondition to Evidentiary Relevance……………………………………………………………………………………………...</w:t>
          </w:r>
          <w:r>
            <w:t>10</w:t>
          </w:r>
        </w:p>
        <w:p w14:paraId="3DD2351F" w14:textId="77777777" w:rsidR="0088713B" w:rsidRDefault="002735DE">
          <w:pPr>
            <w:pBdr>
              <w:top w:val="nil"/>
              <w:left w:val="nil"/>
              <w:bottom w:val="nil"/>
              <w:right w:val="nil"/>
              <w:between w:val="nil"/>
            </w:pBdr>
            <w:tabs>
              <w:tab w:val="left" w:pos="1100"/>
              <w:tab w:val="right" w:leader="dot" w:pos="9350"/>
            </w:tabs>
            <w:spacing w:line="360" w:lineRule="auto"/>
            <w:ind w:left="480"/>
          </w:pPr>
          <w:r>
            <w:t>(ii)</w:t>
          </w:r>
          <w:r>
            <w:tab/>
          </w:r>
          <w:r>
            <w:rPr>
              <w:i/>
              <w:iCs/>
            </w:rPr>
            <w:t>The Trial Justice Relied on the General Habitat Description as Contextual Scientific     Evidence, Not as Law</w:t>
          </w:r>
          <w:r>
            <w:tab/>
            <w:t>10</w:t>
          </w:r>
        </w:p>
        <w:p w14:paraId="444CB8FC" w14:textId="77777777" w:rsidR="0088713B" w:rsidRDefault="002735DE">
          <w:pPr>
            <w:pBdr>
              <w:top w:val="nil"/>
              <w:left w:val="nil"/>
              <w:bottom w:val="nil"/>
              <w:right w:val="nil"/>
              <w:between w:val="nil"/>
            </w:pBdr>
            <w:tabs>
              <w:tab w:val="left" w:pos="1100"/>
              <w:tab w:val="right" w:leader="dot" w:pos="9350"/>
            </w:tabs>
            <w:spacing w:line="360" w:lineRule="auto"/>
            <w:ind w:left="480"/>
          </w:pPr>
          <w:r>
            <w:t xml:space="preserve">(iii) </w:t>
          </w:r>
          <w:r>
            <w:tab/>
          </w:r>
          <w:r>
            <w:rPr>
              <w:i/>
              <w:iCs/>
            </w:rPr>
            <w:t>Excluding Scientific Guidance Undermines the Statutory Scheme and Purpose of the ESA</w:t>
          </w:r>
          <w:r>
            <w:tab/>
          </w:r>
          <w:r>
            <w:tab/>
            <w:t>11</w:t>
          </w:r>
          <w:r>
            <w:fldChar w:fldCharType="begin"/>
          </w:r>
          <w:r>
            <w:instrText xml:space="preserve"> HYPERLINK \l "_heading=h.r9sa8ttyr48j" </w:instrText>
          </w:r>
          <w:r>
            <w:fldChar w:fldCharType="separate"/>
          </w:r>
        </w:p>
        <w:p w14:paraId="4E616367" w14:textId="77777777" w:rsidR="0088713B" w:rsidRDefault="002735DE">
          <w:pPr>
            <w:pBdr>
              <w:top w:val="nil"/>
              <w:left w:val="nil"/>
              <w:bottom w:val="nil"/>
              <w:right w:val="nil"/>
              <w:between w:val="nil"/>
            </w:pBdr>
            <w:tabs>
              <w:tab w:val="left" w:pos="880"/>
              <w:tab w:val="right" w:leader="dot" w:pos="9350"/>
            </w:tabs>
            <w:spacing w:line="360" w:lineRule="auto"/>
            <w:ind w:left="240"/>
            <w:rPr>
              <w:color w:val="000000"/>
              <w:sz w:val="22"/>
              <w:szCs w:val="22"/>
            </w:rPr>
          </w:pPr>
          <w:r>
            <w:fldChar w:fldCharType="end"/>
          </w:r>
          <w:r>
            <w:rPr>
              <w:color w:val="000000"/>
            </w:rPr>
            <w:t>C.</w:t>
          </w:r>
          <w:r>
            <w:rPr>
              <w:color w:val="000000"/>
              <w:sz w:val="22"/>
              <w:szCs w:val="22"/>
            </w:rPr>
            <w:tab/>
          </w:r>
          <w:r>
            <w:t xml:space="preserve">ISSUE 3: The OCJ Erred by Failing to Consider and Give Effect to the Indirect Component of the Statutory Definition of “habitat” under Section 2(1)(b) of the </w:t>
          </w:r>
          <w:r>
            <w:rPr>
              <w:i/>
              <w:iCs/>
            </w:rPr>
            <w:t>ESA</w:t>
          </w:r>
          <w:r>
            <w:rPr>
              <w:color w:val="000000"/>
            </w:rPr>
            <w:tab/>
          </w:r>
          <w:r>
            <w:t>13</w:t>
          </w:r>
          <w:r>
            <w:fldChar w:fldCharType="begin"/>
          </w:r>
          <w:r>
            <w:instrText xml:space="preserve"> HYPERLINK \l "_heading=h.bbuulri989og" </w:instrText>
          </w:r>
          <w:r>
            <w:fldChar w:fldCharType="separate"/>
          </w:r>
        </w:p>
        <w:p w14:paraId="092F47AE" w14:textId="77777777" w:rsidR="0088713B" w:rsidRDefault="002735DE">
          <w:pPr>
            <w:pBdr>
              <w:top w:val="nil"/>
              <w:left w:val="nil"/>
              <w:bottom w:val="nil"/>
              <w:right w:val="nil"/>
              <w:between w:val="nil"/>
            </w:pBdr>
            <w:tabs>
              <w:tab w:val="left" w:pos="1100"/>
              <w:tab w:val="right" w:leader="dot" w:pos="9350"/>
            </w:tabs>
            <w:spacing w:line="360" w:lineRule="auto"/>
            <w:ind w:left="480"/>
            <w:rPr>
              <w:color w:val="000000"/>
              <w:sz w:val="22"/>
              <w:szCs w:val="22"/>
            </w:rPr>
          </w:pPr>
          <w:r>
            <w:lastRenderedPageBreak/>
            <w:fldChar w:fldCharType="end"/>
          </w:r>
          <w:r>
            <w:rPr>
              <w:color w:val="000000"/>
            </w:rPr>
            <w:t>(i)</w:t>
          </w:r>
          <w:r>
            <w:rPr>
              <w:color w:val="000000"/>
              <w:sz w:val="22"/>
              <w:szCs w:val="22"/>
            </w:rPr>
            <w:tab/>
          </w:r>
          <w:r>
            <w:rPr>
              <w:i/>
              <w:iCs/>
            </w:rPr>
            <w:t>Failure to Give Effect to the Statutory Inclusion of Indirect Dependency</w:t>
          </w:r>
          <w:r>
            <w:rPr>
              <w:color w:val="000000"/>
            </w:rPr>
            <w:tab/>
          </w:r>
          <w:r>
            <w:t>13</w:t>
          </w:r>
          <w:r>
            <w:fldChar w:fldCharType="begin"/>
          </w:r>
          <w:r>
            <w:instrText xml:space="preserve"> HYPERLINK \l "_heading=h.1ucf1loit91o" </w:instrText>
          </w:r>
          <w:r>
            <w:fldChar w:fldCharType="separate"/>
          </w:r>
        </w:p>
        <w:p w14:paraId="75DD88D8" w14:textId="77777777" w:rsidR="0088713B" w:rsidRDefault="002735DE">
          <w:pPr>
            <w:pBdr>
              <w:top w:val="nil"/>
              <w:left w:val="nil"/>
              <w:bottom w:val="nil"/>
              <w:right w:val="nil"/>
              <w:between w:val="nil"/>
            </w:pBdr>
            <w:tabs>
              <w:tab w:val="left" w:pos="1100"/>
              <w:tab w:val="right" w:leader="dot" w:pos="9350"/>
            </w:tabs>
            <w:spacing w:line="360" w:lineRule="auto"/>
            <w:ind w:left="480"/>
          </w:pPr>
          <w:r>
            <w:fldChar w:fldCharType="end"/>
          </w:r>
          <w:r>
            <w:rPr>
              <w:color w:val="000000"/>
            </w:rPr>
            <w:t>(ii)</w:t>
          </w:r>
          <w:r>
            <w:rPr>
              <w:color w:val="000000"/>
              <w:sz w:val="22"/>
              <w:szCs w:val="22"/>
            </w:rPr>
            <w:tab/>
          </w:r>
          <w:r>
            <w:rPr>
              <w:i/>
              <w:iCs/>
            </w:rPr>
            <w:t>Improper Rejection of Circumstantial Evidence and Scientific Inference</w:t>
          </w:r>
          <w:r>
            <w:rPr>
              <w:color w:val="000000"/>
            </w:rPr>
            <w:tab/>
          </w:r>
          <w:r>
            <w:rPr>
              <w:color w:val="000000"/>
            </w:rPr>
            <w:t>1</w:t>
          </w:r>
          <w:r>
            <w:t>4</w:t>
          </w:r>
        </w:p>
        <w:p w14:paraId="4ED7ADDF" w14:textId="77777777" w:rsidR="0088713B" w:rsidRDefault="002735DE">
          <w:pPr>
            <w:pBdr>
              <w:top w:val="nil"/>
              <w:left w:val="nil"/>
              <w:bottom w:val="nil"/>
              <w:right w:val="nil"/>
              <w:between w:val="nil"/>
            </w:pBdr>
            <w:tabs>
              <w:tab w:val="left" w:pos="1100"/>
              <w:tab w:val="right" w:leader="dot" w:pos="9350"/>
            </w:tabs>
            <w:spacing w:line="360" w:lineRule="auto"/>
            <w:ind w:left="480"/>
          </w:pPr>
          <w:r>
            <w:t>(</w:t>
          </w:r>
          <w:r>
            <w:t xml:space="preserve">iii) </w:t>
          </w:r>
          <w:r>
            <w:tab/>
          </w:r>
          <w:r>
            <w:rPr>
              <w:i/>
              <w:iCs/>
            </w:rPr>
            <w:t>Public Interest and Legal Certainty</w:t>
          </w:r>
          <w:r>
            <w:tab/>
            <w:t>15</w:t>
          </w:r>
          <w:r>
            <w:fldChar w:fldCharType="begin"/>
          </w:r>
          <w:r>
            <w:instrText xml:space="preserve"> HYPERLINK \l "_heading=h.unf9clftv354" </w:instrText>
          </w:r>
          <w:r>
            <w:fldChar w:fldCharType="separate"/>
          </w:r>
        </w:p>
        <w:p w14:paraId="433610F7" w14:textId="77777777" w:rsidR="0088713B" w:rsidRDefault="002735DE">
          <w:pPr>
            <w:pBdr>
              <w:top w:val="nil"/>
              <w:left w:val="nil"/>
              <w:bottom w:val="nil"/>
              <w:right w:val="nil"/>
              <w:between w:val="nil"/>
            </w:pBdr>
            <w:tabs>
              <w:tab w:val="left" w:pos="880"/>
              <w:tab w:val="right" w:leader="dot" w:pos="9350"/>
            </w:tabs>
            <w:spacing w:line="360" w:lineRule="auto"/>
            <w:ind w:left="240"/>
            <w:rPr>
              <w:color w:val="000000"/>
              <w:sz w:val="22"/>
              <w:szCs w:val="22"/>
            </w:rPr>
          </w:pPr>
          <w:r>
            <w:fldChar w:fldCharType="end"/>
          </w:r>
          <w:r>
            <w:rPr>
              <w:color w:val="000000"/>
            </w:rPr>
            <w:t>D.</w:t>
          </w:r>
          <w:r>
            <w:rPr>
              <w:color w:val="000000"/>
              <w:sz w:val="22"/>
              <w:szCs w:val="22"/>
            </w:rPr>
            <w:tab/>
          </w:r>
          <w:r>
            <w:t>ISSUE 4: CHL Should Still be Tried and Charged under the Provincial Offences Act under the Amended Definition of “habitat”</w:t>
          </w:r>
          <w:r>
            <w:rPr>
              <w:color w:val="000000"/>
            </w:rPr>
            <w:tab/>
          </w:r>
          <w:r>
            <w:rPr>
              <w:color w:val="000000"/>
            </w:rPr>
            <w:t>1</w:t>
          </w:r>
          <w:r>
            <w:t>6</w:t>
          </w:r>
          <w:r>
            <w:fldChar w:fldCharType="begin"/>
          </w:r>
          <w:r>
            <w:instrText xml:space="preserve"> HYPERLINK \l "_heading=h.nmjorox1vd1v" </w:instrText>
          </w:r>
          <w:r>
            <w:fldChar w:fldCharType="separate"/>
          </w:r>
        </w:p>
        <w:p w14:paraId="0C359C1D" w14:textId="77777777" w:rsidR="0088713B" w:rsidRDefault="002735DE">
          <w:pPr>
            <w:pBdr>
              <w:top w:val="nil"/>
              <w:left w:val="nil"/>
              <w:bottom w:val="nil"/>
              <w:right w:val="nil"/>
              <w:between w:val="nil"/>
            </w:pBdr>
            <w:tabs>
              <w:tab w:val="left" w:pos="1100"/>
              <w:tab w:val="right" w:leader="dot" w:pos="9350"/>
            </w:tabs>
            <w:spacing w:line="360" w:lineRule="auto"/>
            <w:ind w:left="480"/>
            <w:rPr>
              <w:color w:val="000000"/>
              <w:sz w:val="22"/>
              <w:szCs w:val="22"/>
            </w:rPr>
          </w:pPr>
          <w:r>
            <w:fldChar w:fldCharType="end"/>
          </w:r>
          <w:r>
            <w:rPr>
              <w:color w:val="000000"/>
            </w:rPr>
            <w:t>(i)</w:t>
          </w:r>
          <w:r>
            <w:rPr>
              <w:color w:val="000000"/>
              <w:sz w:val="22"/>
              <w:szCs w:val="22"/>
            </w:rPr>
            <w:tab/>
          </w:r>
          <w:r>
            <w:rPr>
              <w:i/>
              <w:iCs/>
            </w:rPr>
            <w:t>The Previous Definition of Habitat Should be Used</w:t>
          </w:r>
          <w:r>
            <w:rPr>
              <w:color w:val="000000"/>
            </w:rPr>
            <w:tab/>
          </w:r>
          <w:r>
            <w:rPr>
              <w:color w:val="000000"/>
            </w:rPr>
            <w:t>1</w:t>
          </w:r>
          <w:r>
            <w:t>6</w:t>
          </w:r>
          <w:r>
            <w:fldChar w:fldCharType="begin"/>
          </w:r>
          <w:r>
            <w:instrText xml:space="preserve"> HYPERLINK \l "_heading=h.w7mews6tqo50" </w:instrText>
          </w:r>
          <w:r>
            <w:fldChar w:fldCharType="separate"/>
          </w:r>
        </w:p>
        <w:p w14:paraId="7FB2C9D7" w14:textId="77777777" w:rsidR="0088713B" w:rsidRDefault="002735DE">
          <w:pPr>
            <w:pBdr>
              <w:top w:val="nil"/>
              <w:left w:val="nil"/>
              <w:bottom w:val="nil"/>
              <w:right w:val="nil"/>
              <w:between w:val="nil"/>
            </w:pBdr>
            <w:tabs>
              <w:tab w:val="left" w:pos="1100"/>
              <w:tab w:val="right" w:leader="dot" w:pos="9350"/>
            </w:tabs>
            <w:spacing w:line="360" w:lineRule="auto"/>
            <w:ind w:left="480"/>
          </w:pPr>
          <w:r>
            <w:fldChar w:fldCharType="end"/>
          </w:r>
          <w:r>
            <w:rPr>
              <w:color w:val="000000"/>
            </w:rPr>
            <w:t>(ii)</w:t>
          </w:r>
          <w:r>
            <w:rPr>
              <w:color w:val="000000"/>
              <w:sz w:val="22"/>
              <w:szCs w:val="22"/>
            </w:rPr>
            <w:tab/>
          </w:r>
          <w:r>
            <w:rPr>
              <w:i/>
              <w:iCs/>
            </w:rPr>
            <w:t>There are Dwelling-Places within the Grubbed area</w:t>
          </w:r>
          <w:r>
            <w:rPr>
              <w:color w:val="000000"/>
            </w:rPr>
            <w:tab/>
          </w:r>
          <w:r>
            <w:t>17</w:t>
          </w:r>
        </w:p>
        <w:p w14:paraId="08F63DFC" w14:textId="77777777" w:rsidR="0088713B" w:rsidRDefault="002735DE">
          <w:pPr>
            <w:pBdr>
              <w:top w:val="nil"/>
              <w:left w:val="nil"/>
              <w:bottom w:val="nil"/>
              <w:right w:val="nil"/>
              <w:between w:val="nil"/>
            </w:pBdr>
            <w:tabs>
              <w:tab w:val="left" w:pos="1100"/>
              <w:tab w:val="right" w:leader="dot" w:pos="9350"/>
            </w:tabs>
            <w:spacing w:line="360" w:lineRule="auto"/>
            <w:ind w:left="480"/>
          </w:pPr>
          <w:r>
            <w:t>(iii)</w:t>
          </w:r>
          <w:r>
            <w:tab/>
          </w:r>
          <w:r>
            <w:rPr>
              <w:i/>
              <w:iCs/>
            </w:rPr>
            <w:t>The Grubbed Area is Directly Next to and Essential for the Purposes of the Dwelling-Places</w:t>
          </w:r>
          <w:r>
            <w:tab/>
            <w:t>18</w:t>
          </w:r>
        </w:p>
        <w:p w14:paraId="69B4B034" w14:textId="77777777" w:rsidR="0088713B" w:rsidRDefault="002735DE">
          <w:pPr>
            <w:pBdr>
              <w:top w:val="nil"/>
              <w:left w:val="nil"/>
              <w:bottom w:val="nil"/>
              <w:right w:val="nil"/>
              <w:between w:val="nil"/>
            </w:pBdr>
            <w:tabs>
              <w:tab w:val="left" w:pos="1100"/>
              <w:tab w:val="right" w:leader="dot" w:pos="9350"/>
            </w:tabs>
            <w:spacing w:line="360" w:lineRule="auto"/>
            <w:ind w:left="480"/>
            <w:rPr>
              <w:color w:val="000000"/>
              <w:sz w:val="22"/>
              <w:szCs w:val="22"/>
            </w:rPr>
          </w:pPr>
          <w:r>
            <w:t>(iv)</w:t>
          </w:r>
          <w:r>
            <w:tab/>
          </w:r>
          <w:r>
            <w:rPr>
              <w:i/>
              <w:iCs/>
            </w:rPr>
            <w:t>Environmental Legislation Should be Interpreted with an Expansive Approach</w:t>
          </w:r>
          <w:r>
            <w:tab/>
            <w:t>18</w:t>
          </w:r>
          <w:r>
            <w:fldChar w:fldCharType="begin"/>
          </w:r>
          <w:r>
            <w:instrText xml:space="preserve"> HYPERLINK \l "_heading=h.y9zgbknxdhzh" </w:instrText>
          </w:r>
          <w:r>
            <w:fldChar w:fldCharType="separate"/>
          </w:r>
        </w:p>
        <w:p w14:paraId="53D8BBEB" w14:textId="77777777" w:rsidR="0088713B" w:rsidRDefault="002735DE">
          <w:pPr>
            <w:pBdr>
              <w:top w:val="nil"/>
              <w:left w:val="nil"/>
              <w:bottom w:val="nil"/>
              <w:right w:val="nil"/>
              <w:between w:val="nil"/>
            </w:pBdr>
            <w:tabs>
              <w:tab w:val="right" w:leader="dot" w:pos="9350"/>
            </w:tabs>
            <w:spacing w:line="360" w:lineRule="auto"/>
            <w:rPr>
              <w:color w:val="000000"/>
              <w:sz w:val="22"/>
              <w:szCs w:val="22"/>
            </w:rPr>
          </w:pPr>
          <w:r>
            <w:fldChar w:fldCharType="end"/>
          </w:r>
          <w:r>
            <w:rPr>
              <w:color w:val="000000"/>
            </w:rPr>
            <w:t>PART IV -- SUBMISSIONS IN SUPPORT OF COSTS</w:t>
          </w:r>
          <w:r>
            <w:rPr>
              <w:color w:val="000000"/>
            </w:rPr>
            <w:tab/>
          </w:r>
          <w:r>
            <w:t>19</w:t>
          </w:r>
          <w:r>
            <w:fldChar w:fldCharType="begin"/>
          </w:r>
          <w:r>
            <w:instrText xml:space="preserve"> HYPERLINK \l "_heading=h.8eecchevrin" </w:instrText>
          </w:r>
          <w:r>
            <w:fldChar w:fldCharType="separate"/>
          </w:r>
        </w:p>
        <w:p w14:paraId="3CADF7F8" w14:textId="77777777" w:rsidR="0088713B" w:rsidRDefault="002735DE">
          <w:pPr>
            <w:pBdr>
              <w:top w:val="nil"/>
              <w:left w:val="nil"/>
              <w:bottom w:val="nil"/>
              <w:right w:val="nil"/>
              <w:between w:val="nil"/>
            </w:pBdr>
            <w:tabs>
              <w:tab w:val="right" w:leader="dot" w:pos="9350"/>
            </w:tabs>
            <w:spacing w:line="360" w:lineRule="auto"/>
            <w:rPr>
              <w:color w:val="000000"/>
              <w:sz w:val="22"/>
              <w:szCs w:val="22"/>
            </w:rPr>
          </w:pPr>
          <w:r>
            <w:fldChar w:fldCharType="end"/>
          </w:r>
          <w:r>
            <w:rPr>
              <w:color w:val="000000"/>
            </w:rPr>
            <w:t>PART V -- ORDER SOUGHT</w:t>
          </w:r>
          <w:r>
            <w:rPr>
              <w:color w:val="000000"/>
            </w:rPr>
            <w:tab/>
          </w:r>
          <w:r>
            <w:t>19</w:t>
          </w:r>
          <w:r>
            <w:fldChar w:fldCharType="begin"/>
          </w:r>
          <w:r>
            <w:instrText xml:space="preserve"> HYPERLINK \l "_heading=h.p0w2fgiaerua" </w:instrText>
          </w:r>
          <w:r>
            <w:fldChar w:fldCharType="separate"/>
          </w:r>
        </w:p>
        <w:p w14:paraId="790EB783" w14:textId="77777777" w:rsidR="0088713B" w:rsidRDefault="002735DE">
          <w:pPr>
            <w:pBdr>
              <w:top w:val="nil"/>
              <w:left w:val="nil"/>
              <w:bottom w:val="nil"/>
              <w:right w:val="nil"/>
              <w:between w:val="nil"/>
            </w:pBdr>
            <w:tabs>
              <w:tab w:val="right" w:leader="dot" w:pos="9350"/>
            </w:tabs>
            <w:spacing w:line="360" w:lineRule="auto"/>
            <w:rPr>
              <w:color w:val="000000"/>
              <w:sz w:val="22"/>
              <w:szCs w:val="22"/>
            </w:rPr>
          </w:pPr>
          <w:r>
            <w:fldChar w:fldCharType="end"/>
          </w:r>
          <w:r>
            <w:rPr>
              <w:color w:val="000000"/>
            </w:rPr>
            <w:t>PART VI -- TABLE OF AUTHORITIES</w:t>
          </w:r>
          <w:r>
            <w:rPr>
              <w:color w:val="000000"/>
            </w:rPr>
            <w:tab/>
          </w:r>
          <w:r>
            <w:t>20</w:t>
          </w:r>
          <w:r>
            <w:fldChar w:fldCharType="begin"/>
          </w:r>
          <w:r>
            <w:instrText xml:space="preserve"> HYPERLINK \l "_heading=h.h2pp4ibjq99e" </w:instrText>
          </w:r>
          <w:r>
            <w:fldChar w:fldCharType="separate"/>
          </w:r>
        </w:p>
        <w:p w14:paraId="44A3154D" w14:textId="77777777" w:rsidR="0088713B" w:rsidRDefault="002735DE">
          <w:pPr>
            <w:spacing w:line="360" w:lineRule="auto"/>
          </w:pPr>
          <w:r>
            <w:fldChar w:fldCharType="end"/>
          </w:r>
          <w:r>
            <w:fldChar w:fldCharType="end"/>
          </w:r>
        </w:p>
      </w:sdtContent>
    </w:sdt>
    <w:p w14:paraId="3F74F66D" w14:textId="77777777" w:rsidR="0088713B" w:rsidRDefault="0088713B">
      <w:pPr>
        <w:spacing w:line="360" w:lineRule="auto"/>
        <w:sectPr w:rsidR="0088713B">
          <w:headerReference w:type="default" r:id="rId16"/>
          <w:pgSz w:w="12240" w:h="15840"/>
          <w:pgMar w:top="1440" w:right="1440" w:bottom="1440" w:left="1440" w:header="720" w:footer="720" w:gutter="0"/>
          <w:cols w:space="720"/>
          <w:titlePg/>
        </w:sectPr>
      </w:pPr>
    </w:p>
    <w:p w14:paraId="051E8A12" w14:textId="77777777" w:rsidR="0088713B" w:rsidRDefault="002735DE">
      <w:pPr>
        <w:pStyle w:val="Heading1"/>
        <w:numPr>
          <w:ilvl w:val="0"/>
          <w:numId w:val="2"/>
        </w:numPr>
        <w:rPr>
          <w:sz w:val="24"/>
          <w:szCs w:val="24"/>
        </w:rPr>
      </w:pPr>
      <w:bookmarkStart w:id="1" w:name="_heading=h.b0vnfx23nuzm" w:colFirst="0" w:colLast="0"/>
      <w:bookmarkEnd w:id="1"/>
      <w:r>
        <w:rPr>
          <w:rFonts w:ascii="Times New Roman" w:eastAsia="Times New Roman" w:hAnsi="Times New Roman" w:cs="Times New Roman"/>
          <w:sz w:val="24"/>
          <w:szCs w:val="24"/>
        </w:rPr>
        <w:lastRenderedPageBreak/>
        <w:t>OVERVIEW AND STATEMENT OF FACTS</w:t>
      </w:r>
    </w:p>
    <w:p w14:paraId="7FA3792D" w14:textId="77777777" w:rsidR="0088713B" w:rsidRDefault="0088713B"/>
    <w:p w14:paraId="3D6CACBB" w14:textId="77777777" w:rsidR="0088713B" w:rsidRDefault="002735DE">
      <w:pPr>
        <w:pStyle w:val="Heading2"/>
        <w:numPr>
          <w:ilvl w:val="1"/>
          <w:numId w:val="2"/>
        </w:numPr>
        <w:spacing w:before="0" w:after="0" w:line="360" w:lineRule="auto"/>
        <w:rPr>
          <w:i w:val="0"/>
          <w:iCs w:val="0"/>
          <w:sz w:val="24"/>
          <w:szCs w:val="24"/>
        </w:rPr>
      </w:pPr>
      <w:bookmarkStart w:id="2" w:name="_heading=h.cf25r5o89nua" w:colFirst="0" w:colLast="0"/>
      <w:bookmarkEnd w:id="2"/>
      <w:r>
        <w:rPr>
          <w:rFonts w:ascii="Times New Roman" w:eastAsia="Times New Roman" w:hAnsi="Times New Roman" w:cs="Times New Roman"/>
          <w:i w:val="0"/>
          <w:iCs w:val="0"/>
          <w:sz w:val="24"/>
          <w:szCs w:val="24"/>
        </w:rPr>
        <w:t xml:space="preserve">Overview of the Appellants’ Position </w:t>
      </w:r>
    </w:p>
    <w:p w14:paraId="0D2B65AB" w14:textId="77777777" w:rsidR="0088713B" w:rsidRDefault="002735DE">
      <w:pPr>
        <w:numPr>
          <w:ilvl w:val="0"/>
          <w:numId w:val="3"/>
        </w:numPr>
        <w:pBdr>
          <w:top w:val="nil"/>
          <w:left w:val="nil"/>
          <w:bottom w:val="nil"/>
          <w:right w:val="nil"/>
          <w:between w:val="nil"/>
        </w:pBdr>
        <w:spacing w:line="360" w:lineRule="auto"/>
        <w:jc w:val="both"/>
      </w:pPr>
      <w:r>
        <w:t xml:space="preserve">This appeal concerns the proper legal interpretation and application of the </w:t>
      </w:r>
      <w:r>
        <w:rPr>
          <w:i/>
          <w:iCs/>
        </w:rPr>
        <w:t xml:space="preserve">Endangered Species Act, 2007 </w:t>
      </w:r>
      <w:r>
        <w:t>(“</w:t>
      </w:r>
      <w:r>
        <w:rPr>
          <w:i/>
          <w:iCs/>
        </w:rPr>
        <w:t>ESA</w:t>
      </w:r>
      <w:r>
        <w:t xml:space="preserve">”) in the context of proving the existence of a habitat for a species at risk. The Ontario Court of Justice (“OCJ”) erred by overturning the Trial Justice’s (“TJ”) findings and imposing evidentiary requirements that are inconsistent with the </w:t>
      </w:r>
      <w:r>
        <w:rPr>
          <w:i/>
          <w:iCs/>
        </w:rPr>
        <w:t>ESA</w:t>
      </w:r>
      <w:r>
        <w:t xml:space="preserve"> and settled principles of environmental law and appellate review.</w:t>
      </w:r>
    </w:p>
    <w:p w14:paraId="54E7FB88" w14:textId="77777777" w:rsidR="0088713B" w:rsidRDefault="002735DE">
      <w:pPr>
        <w:numPr>
          <w:ilvl w:val="0"/>
          <w:numId w:val="3"/>
        </w:numPr>
        <w:pBdr>
          <w:top w:val="nil"/>
          <w:left w:val="nil"/>
          <w:bottom w:val="nil"/>
          <w:right w:val="nil"/>
          <w:between w:val="nil"/>
        </w:pBdr>
        <w:spacing w:line="360" w:lineRule="auto"/>
        <w:jc w:val="both"/>
      </w:pPr>
      <w:r>
        <w:t xml:space="preserve">At trial, the Crown established the existence of the Blanding’s Turtle habitat through a combination of reliable evidence of sightings, expert ecological testimony, and scientific context, including the General Habitat Description (“GHD”) for the Blanding’s Turtle. The TJ appropriately accepted this evidence and drew reasonable inferences regarding habitat dependency. These findings aligned with the text and purpose of the </w:t>
      </w:r>
      <w:r>
        <w:rPr>
          <w:i/>
          <w:iCs/>
        </w:rPr>
        <w:t>ESA</w:t>
      </w:r>
      <w:r>
        <w:t>, and reflected the realities of ecological proof. However, the OCJ excluded these categories of evidence as legally incapable of supporting a finding of habitat.</w:t>
      </w:r>
    </w:p>
    <w:p w14:paraId="62A962E7" w14:textId="77777777" w:rsidR="0088713B" w:rsidRDefault="002735DE">
      <w:pPr>
        <w:numPr>
          <w:ilvl w:val="0"/>
          <w:numId w:val="3"/>
        </w:numPr>
        <w:pBdr>
          <w:top w:val="nil"/>
          <w:left w:val="nil"/>
          <w:bottom w:val="nil"/>
          <w:right w:val="nil"/>
          <w:between w:val="nil"/>
        </w:pBdr>
        <w:spacing w:line="360" w:lineRule="auto"/>
        <w:jc w:val="both"/>
      </w:pPr>
      <w:r>
        <w:t xml:space="preserve">In doing so, the OCJ committed multiple errors of law. </w:t>
      </w:r>
    </w:p>
    <w:p w14:paraId="1744113C" w14:textId="77777777" w:rsidR="0088713B" w:rsidRDefault="002735DE">
      <w:pPr>
        <w:pBdr>
          <w:top w:val="nil"/>
          <w:left w:val="nil"/>
          <w:bottom w:val="nil"/>
          <w:right w:val="nil"/>
          <w:between w:val="nil"/>
        </w:pBdr>
        <w:spacing w:line="360" w:lineRule="auto"/>
        <w:ind w:left="900"/>
        <w:jc w:val="both"/>
      </w:pPr>
      <w:r>
        <w:t xml:space="preserve">(i) </w:t>
      </w:r>
      <w:r>
        <w:t xml:space="preserve">First, the OCJ misinterpreted the statutory definition of “habitat” by wrongly requiring contemporaneous, site-specific observation of a species at the precise location and time of the alleged offence. </w:t>
      </w:r>
    </w:p>
    <w:p w14:paraId="2955F20E" w14:textId="77777777" w:rsidR="0088713B" w:rsidRDefault="002735DE">
      <w:pPr>
        <w:pBdr>
          <w:top w:val="nil"/>
          <w:left w:val="nil"/>
          <w:bottom w:val="nil"/>
          <w:right w:val="nil"/>
          <w:between w:val="nil"/>
        </w:pBdr>
        <w:spacing w:line="360" w:lineRule="auto"/>
        <w:ind w:left="900"/>
        <w:jc w:val="both"/>
      </w:pPr>
      <w:r>
        <w:t xml:space="preserve">(ii) Second, the OCJ conflated evidentiary relevance with legal force by rejecting the GHD solely because it is not a binding legal instrument. </w:t>
      </w:r>
    </w:p>
    <w:p w14:paraId="6133D2F5" w14:textId="77777777" w:rsidR="0088713B" w:rsidRDefault="002735DE">
      <w:pPr>
        <w:pBdr>
          <w:top w:val="nil"/>
          <w:left w:val="nil"/>
          <w:bottom w:val="nil"/>
          <w:right w:val="nil"/>
          <w:between w:val="nil"/>
        </w:pBdr>
        <w:spacing w:line="360" w:lineRule="auto"/>
        <w:ind w:left="900"/>
        <w:jc w:val="both"/>
      </w:pPr>
      <w:r>
        <w:t xml:space="preserve">(iii) Third, the OCJ failed to give effect to the </w:t>
      </w:r>
      <w:r>
        <w:rPr>
          <w:i/>
          <w:iCs/>
        </w:rPr>
        <w:t>ESA</w:t>
      </w:r>
      <w:r>
        <w:t xml:space="preserve">’s express inclusion of areas on which a species depends “indirectly” to carry on its life processes. Collectively, the OCJ’s errors of law improperly narrowed the scope of the </w:t>
      </w:r>
      <w:r>
        <w:rPr>
          <w:i/>
          <w:iCs/>
        </w:rPr>
        <w:t>ESA</w:t>
      </w:r>
      <w:r>
        <w:t xml:space="preserve"> in a manner inconsistent with its preventive and remedial purpose.</w:t>
      </w:r>
    </w:p>
    <w:p w14:paraId="1C30F2F9" w14:textId="77777777" w:rsidR="0088713B" w:rsidRDefault="002735DE">
      <w:pPr>
        <w:numPr>
          <w:ilvl w:val="0"/>
          <w:numId w:val="3"/>
        </w:numPr>
        <w:pBdr>
          <w:top w:val="nil"/>
          <w:left w:val="nil"/>
          <w:bottom w:val="nil"/>
          <w:right w:val="nil"/>
          <w:between w:val="nil"/>
        </w:pBdr>
        <w:spacing w:line="360" w:lineRule="auto"/>
        <w:jc w:val="both"/>
      </w:pPr>
      <w:r>
        <w:t xml:space="preserve">The </w:t>
      </w:r>
      <w:r>
        <w:rPr>
          <w:i/>
          <w:iCs/>
        </w:rPr>
        <w:t>ESA</w:t>
      </w:r>
      <w:r>
        <w:t xml:space="preserve"> does not require direct or contemporaneous proof of physical occupancy, nor does it limit the trier of fact to legally binding instruments when interpreting ecological concepts. Courts establish environmental harm is established through circumstantial evidence, expert inference, and scientific understanding. By confusing issues of evidentiary weight with  questions of legal admissibility, the OCJ exceeded its appellate role and inappropriately displaced findings of the TJ that were entitled to deference</w:t>
      </w:r>
      <w:r>
        <w:t xml:space="preserve">. </w:t>
      </w:r>
    </w:p>
    <w:p w14:paraId="1CE5F880" w14:textId="77777777" w:rsidR="0088713B" w:rsidRDefault="002735DE">
      <w:pPr>
        <w:numPr>
          <w:ilvl w:val="0"/>
          <w:numId w:val="3"/>
        </w:numPr>
        <w:pBdr>
          <w:top w:val="nil"/>
          <w:left w:val="nil"/>
          <w:bottom w:val="nil"/>
          <w:right w:val="nil"/>
          <w:between w:val="nil"/>
        </w:pBdr>
        <w:spacing w:line="360" w:lineRule="auto"/>
        <w:jc w:val="both"/>
      </w:pPr>
      <w:r>
        <w:lastRenderedPageBreak/>
        <w:t xml:space="preserve">If left undisturbed, the OCJ’s approach would impose an unworkable evidentiary threshold that undermines the enforceability of the </w:t>
      </w:r>
      <w:r>
        <w:rPr>
          <w:i/>
          <w:iCs/>
        </w:rPr>
        <w:t>ESA</w:t>
      </w:r>
      <w:r>
        <w:t xml:space="preserve"> and frustrates the </w:t>
      </w:r>
      <w:r>
        <w:rPr>
          <w:i/>
          <w:iCs/>
        </w:rPr>
        <w:t>ESA</w:t>
      </w:r>
      <w:r>
        <w:t xml:space="preserve">’s intent to protect species at risk and their habitats based on the best available scientific information. The Court should therefore allow the appeal and restore the TJ's decision. </w:t>
      </w:r>
    </w:p>
    <w:p w14:paraId="3D7B0943" w14:textId="77777777" w:rsidR="0088713B" w:rsidRDefault="002735DE">
      <w:pPr>
        <w:pStyle w:val="Heading2"/>
        <w:numPr>
          <w:ilvl w:val="1"/>
          <w:numId w:val="2"/>
        </w:numPr>
        <w:spacing w:before="0" w:after="0" w:line="360" w:lineRule="auto"/>
      </w:pPr>
      <w:bookmarkStart w:id="3" w:name="_heading=h.tqsape6b1rf" w:colFirst="0" w:colLast="0"/>
      <w:bookmarkEnd w:id="3"/>
      <w:r>
        <w:rPr>
          <w:rFonts w:ascii="Times New Roman" w:eastAsia="Times New Roman" w:hAnsi="Times New Roman" w:cs="Times New Roman"/>
          <w:i w:val="0"/>
          <w:iCs w:val="0"/>
          <w:sz w:val="24"/>
          <w:szCs w:val="24"/>
        </w:rPr>
        <w:t>Statement of the Facts</w:t>
      </w:r>
    </w:p>
    <w:p w14:paraId="341F231C" w14:textId="77777777" w:rsidR="0088713B" w:rsidRDefault="002735DE">
      <w:pPr>
        <w:numPr>
          <w:ilvl w:val="0"/>
          <w:numId w:val="3"/>
        </w:numPr>
        <w:spacing w:line="360" w:lineRule="auto"/>
      </w:pPr>
      <w:r>
        <w:rPr>
          <w:highlight w:val="white"/>
        </w:rPr>
        <w:t xml:space="preserve"> Blanding's Turtle are at risk and are protected under the</w:t>
      </w:r>
      <w:r>
        <w:rPr>
          <w:i/>
          <w:iCs/>
          <w:highlight w:val="white"/>
        </w:rPr>
        <w:t xml:space="preserve"> ESA</w:t>
      </w:r>
      <w:r>
        <w:rPr>
          <w:highlight w:val="white"/>
        </w:rPr>
        <w:t xml:space="preserve"> as a “threatened” species. </w:t>
      </w:r>
    </w:p>
    <w:p w14:paraId="2992C5DC" w14:textId="77777777" w:rsidR="0088713B" w:rsidRDefault="002735DE">
      <w:pPr>
        <w:numPr>
          <w:ilvl w:val="0"/>
          <w:numId w:val="3"/>
        </w:numPr>
        <w:spacing w:line="360" w:lineRule="auto"/>
      </w:pPr>
      <w:r>
        <w:rPr>
          <w:highlight w:val="white"/>
        </w:rPr>
        <w:t xml:space="preserve">These turtles have a long lifespan, about 70 to 80 years, and do not reproduce until they are 20 to 25 years old. They produce few offspring and hence cannot handle a loss of more than a 2% to 3% of adult turtles each year. Since </w:t>
      </w:r>
      <w:r>
        <w:rPr>
          <w:color w:val="222222"/>
          <w:highlight w:val="white"/>
        </w:rPr>
        <w:t>the Blanding’s Turtle cannot recover quickly from population losses, a more protective legal interpretation of the term habitat is required.</w:t>
      </w:r>
    </w:p>
    <w:p w14:paraId="7EBD56D8" w14:textId="77777777" w:rsidR="0088713B" w:rsidRDefault="002735DE">
      <w:pPr>
        <w:numPr>
          <w:ilvl w:val="0"/>
          <w:numId w:val="3"/>
        </w:numPr>
        <w:spacing w:line="360" w:lineRule="auto"/>
      </w:pPr>
      <w:r>
        <w:rPr>
          <w:highlight w:val="white"/>
        </w:rPr>
        <w:t>Blanding's Turtle live in wetlands and nearby areas around North Bay, including Circle Lake.</w:t>
      </w:r>
    </w:p>
    <w:p w14:paraId="40B99913" w14:textId="77777777" w:rsidR="0088713B" w:rsidRDefault="002735DE">
      <w:pPr>
        <w:numPr>
          <w:ilvl w:val="0"/>
          <w:numId w:val="3"/>
        </w:numPr>
        <w:spacing w:line="360" w:lineRule="auto"/>
      </w:pPr>
      <w:r>
        <w:rPr>
          <w:highlight w:val="white"/>
        </w:rPr>
        <w:t>In June and August 2018 (“Material Time”), Consolidated Homes Ltd. (“CHL”) used a large machine to clear land on a property on Circle Lake (the “Site”) to assess its suitability for residential development. The company removed plants, leveled the ground, and created piles of dirt and rocks. The Ministry of Natural Resources, the local Conservation Authority, CHL’s own consultant, and a surveyor all advised that Blanding’s Turtle were likely present in the area. Despite these warnings, CHL proceeded with the</w:t>
      </w:r>
      <w:r>
        <w:rPr>
          <w:highlight w:val="white"/>
        </w:rPr>
        <w:t xml:space="preserve"> clearing.</w:t>
      </w:r>
    </w:p>
    <w:p w14:paraId="2B324A71" w14:textId="77777777" w:rsidR="0088713B" w:rsidRDefault="002735DE">
      <w:pPr>
        <w:numPr>
          <w:ilvl w:val="0"/>
          <w:numId w:val="3"/>
        </w:numPr>
        <w:spacing w:line="360" w:lineRule="auto"/>
      </w:pPr>
      <w:r>
        <w:rPr>
          <w:highlight w:val="white"/>
        </w:rPr>
        <w:t>Shamus Snell, a Management Biologist for Ontario, is highly knowledgeable on Blanding's Turtle. He testified as an expert on the species and their habitat, and CHL agreed that he was an expert.</w:t>
      </w:r>
    </w:p>
    <w:p w14:paraId="435E910A" w14:textId="77777777" w:rsidR="0088713B" w:rsidRDefault="002735DE">
      <w:pPr>
        <w:numPr>
          <w:ilvl w:val="0"/>
          <w:numId w:val="3"/>
        </w:numPr>
        <w:spacing w:line="360" w:lineRule="auto"/>
      </w:pPr>
      <w:r>
        <w:rPr>
          <w:highlight w:val="white"/>
        </w:rPr>
        <w:t>The Province of Ontario produced a GHD document that explains where protected species live. Mr. Snell relied on the GHD for the Blanding's Turtle during his testimony and used  it to form his opinion about the turtle's habitat. CHL did not argue that the GHD was not a good description of the turtle’s habitat.</w:t>
      </w:r>
    </w:p>
    <w:p w14:paraId="1DEF0B1F" w14:textId="77777777" w:rsidR="0088713B" w:rsidRDefault="002735DE">
      <w:pPr>
        <w:numPr>
          <w:ilvl w:val="0"/>
          <w:numId w:val="3"/>
        </w:numPr>
        <w:spacing w:line="360" w:lineRule="auto"/>
      </w:pPr>
      <w:r>
        <w:rPr>
          <w:highlight w:val="white"/>
        </w:rPr>
        <w:t xml:space="preserve"> The GHD divides habitat into three categories. Category 1, the most important, includes nesting and wintering areas and a 30-meter zone around them. These areas are hard to find without tracking the turtles. Category 2 includes wetlands within two kilometers of a Blanding's Turtle sighting, plus a 30-meter zone around the wetlands. Category 3, the least important, extends 250 meters from those wetlands.</w:t>
      </w:r>
    </w:p>
    <w:p w14:paraId="768A599C" w14:textId="77777777" w:rsidR="0088713B" w:rsidRDefault="002735DE">
      <w:pPr>
        <w:numPr>
          <w:ilvl w:val="0"/>
          <w:numId w:val="3"/>
        </w:numPr>
        <w:spacing w:line="360" w:lineRule="auto"/>
      </w:pPr>
      <w:r>
        <w:rPr>
          <w:highlight w:val="white"/>
        </w:rPr>
        <w:lastRenderedPageBreak/>
        <w:t>Mr. Snell testified, and the GHD indicated, that CHL conducted most of its clearing in Category 2 habitat.</w:t>
      </w:r>
    </w:p>
    <w:p w14:paraId="349C9C1A" w14:textId="77777777" w:rsidR="0088713B" w:rsidRDefault="002735DE">
      <w:pPr>
        <w:numPr>
          <w:ilvl w:val="0"/>
          <w:numId w:val="3"/>
        </w:numPr>
        <w:spacing w:line="360" w:lineRule="auto"/>
        <w:rPr>
          <w:highlight w:val="white"/>
        </w:rPr>
      </w:pPr>
      <w:r>
        <w:rPr>
          <w:highlight w:val="white"/>
        </w:rPr>
        <w:t xml:space="preserve">Mr. Snell explained that the clearing occurred in an area used by Blanding's Turtle. Removing the plants harmed the habitat by making it harder for turtles to regulate their body temperatures. It also reduced the Site’s value as nesting habitats by increasing the susceptibility of eggs and young turtles to predators. </w:t>
      </w:r>
    </w:p>
    <w:p w14:paraId="771D509B" w14:textId="77777777" w:rsidR="0088713B" w:rsidRDefault="002735DE">
      <w:pPr>
        <w:numPr>
          <w:ilvl w:val="0"/>
          <w:numId w:val="3"/>
        </w:numPr>
        <w:spacing w:line="360" w:lineRule="auto"/>
        <w:rPr>
          <w:highlight w:val="white"/>
        </w:rPr>
      </w:pPr>
      <w:r>
        <w:rPr>
          <w:highlight w:val="white"/>
        </w:rPr>
        <w:t>Mr. Snell also said that the Site helped Blanding's Turtle indirectly and that removing plants and changing the land hurt those benefits by:</w:t>
      </w:r>
    </w:p>
    <w:p w14:paraId="3AAA4F3B" w14:textId="77777777" w:rsidR="0088713B" w:rsidRDefault="002735DE">
      <w:pPr>
        <w:spacing w:line="360" w:lineRule="auto"/>
        <w:ind w:left="720"/>
        <w:rPr>
          <w:highlight w:val="white"/>
        </w:rPr>
      </w:pPr>
      <w:r>
        <w:rPr>
          <w:highlight w:val="white"/>
        </w:rPr>
        <w:t>(i) reducing the number of insects and other animals that the turtles eat;</w:t>
      </w:r>
    </w:p>
    <w:p w14:paraId="32AE6D44" w14:textId="77777777" w:rsidR="0088713B" w:rsidRDefault="002735DE">
      <w:pPr>
        <w:spacing w:line="360" w:lineRule="auto"/>
        <w:ind w:left="720"/>
        <w:rPr>
          <w:highlight w:val="white"/>
        </w:rPr>
      </w:pPr>
      <w:r>
        <w:rPr>
          <w:highlight w:val="white"/>
        </w:rPr>
        <w:t>(ii) exposing the soil, which increased erosion, and sediment entering the wetland;</w:t>
      </w:r>
    </w:p>
    <w:p w14:paraId="68A29395" w14:textId="77777777" w:rsidR="0088713B" w:rsidRDefault="002735DE">
      <w:pPr>
        <w:spacing w:line="360" w:lineRule="auto"/>
        <w:ind w:left="720"/>
        <w:rPr>
          <w:highlight w:val="white"/>
        </w:rPr>
      </w:pPr>
      <w:r>
        <w:rPr>
          <w:highlight w:val="white"/>
        </w:rPr>
        <w:t>(iii) destroying the plants that filter the water, which increased harmful runoff into the wetland, like lawn fertilizers;</w:t>
      </w:r>
    </w:p>
    <w:p w14:paraId="400498B7" w14:textId="77777777" w:rsidR="0088713B" w:rsidRDefault="002735DE">
      <w:pPr>
        <w:spacing w:line="360" w:lineRule="auto"/>
        <w:ind w:left="720"/>
        <w:rPr>
          <w:highlight w:val="white"/>
        </w:rPr>
      </w:pPr>
      <w:r>
        <w:rPr>
          <w:highlight w:val="white"/>
        </w:rPr>
        <w:t>(iv) changing the way water flows by creating dirt walls along the wetland edge, which stopped water from flowing into the wetland.</w:t>
      </w:r>
    </w:p>
    <w:p w14:paraId="0B63794E" w14:textId="77777777" w:rsidR="0088713B" w:rsidRDefault="002735DE">
      <w:pPr>
        <w:numPr>
          <w:ilvl w:val="1"/>
          <w:numId w:val="2"/>
        </w:numPr>
        <w:spacing w:line="360" w:lineRule="auto"/>
      </w:pPr>
      <w:r>
        <w:rPr>
          <w:b/>
          <w:bCs/>
        </w:rPr>
        <w:t>Procedural History</w:t>
      </w:r>
    </w:p>
    <w:p w14:paraId="02314A21" w14:textId="77777777" w:rsidR="0088713B" w:rsidRDefault="002735DE">
      <w:pPr>
        <w:pStyle w:val="Heading3"/>
        <w:numPr>
          <w:ilvl w:val="2"/>
          <w:numId w:val="2"/>
        </w:numPr>
        <w:spacing w:before="0" w:after="0" w:line="360" w:lineRule="auto"/>
        <w:rPr>
          <w:i/>
          <w:iCs/>
        </w:rPr>
      </w:pPr>
      <w:bookmarkStart w:id="4" w:name="_heading=h.b6fi3fvkarn2" w:colFirst="0" w:colLast="0"/>
      <w:bookmarkEnd w:id="4"/>
      <w:r>
        <w:rPr>
          <w:rFonts w:ascii="Times New Roman" w:eastAsia="Times New Roman" w:hAnsi="Times New Roman" w:cs="Times New Roman"/>
          <w:b w:val="0"/>
          <w:bCs w:val="0"/>
          <w:i/>
          <w:iCs/>
          <w:sz w:val="24"/>
          <w:szCs w:val="24"/>
        </w:rPr>
        <w:t>The Trial Decision</w:t>
      </w:r>
    </w:p>
    <w:p w14:paraId="37F58E95" w14:textId="77777777" w:rsidR="0088713B" w:rsidRDefault="002735DE">
      <w:pPr>
        <w:numPr>
          <w:ilvl w:val="0"/>
          <w:numId w:val="3"/>
        </w:numPr>
        <w:spacing w:line="360" w:lineRule="auto"/>
        <w:jc w:val="both"/>
      </w:pPr>
      <w:r>
        <w:t xml:space="preserve">The TJ accepted the Crown’s evidence and found that CHL’s grubbing activities damaged or destroyed the Blanding’s Turtle habitat, contrary to s. 2(1) the </w:t>
      </w:r>
      <w:r>
        <w:rPr>
          <w:i/>
          <w:iCs/>
        </w:rPr>
        <w:t>ESA</w:t>
      </w:r>
      <w:r>
        <w:t>. In reaching this conclusion, the TJ relied on the totality of the evidence, including sightings before and after the offence, expert testimony, and scientific context provided by the GHD.</w:t>
      </w:r>
    </w:p>
    <w:p w14:paraId="626BC59E" w14:textId="77777777" w:rsidR="0088713B" w:rsidRDefault="002735DE">
      <w:pPr>
        <w:spacing w:line="360" w:lineRule="auto"/>
        <w:ind w:firstLine="720"/>
        <w:jc w:val="both"/>
        <w:rPr>
          <w:b/>
          <w:bCs/>
        </w:rPr>
      </w:pPr>
      <w:r>
        <w:rPr>
          <w:i/>
          <w:iCs/>
          <w:sz w:val="20"/>
          <w:szCs w:val="20"/>
        </w:rPr>
        <w:t>Endangered Species Act</w:t>
      </w:r>
      <w:r>
        <w:rPr>
          <w:sz w:val="20"/>
          <w:szCs w:val="20"/>
        </w:rPr>
        <w:t>, SO 2007, c 6, s 2(1) [</w:t>
      </w:r>
      <w:r>
        <w:rPr>
          <w:i/>
          <w:iCs/>
          <w:sz w:val="20"/>
          <w:szCs w:val="20"/>
        </w:rPr>
        <w:t>ESA</w:t>
      </w:r>
      <w:r>
        <w:rPr>
          <w:sz w:val="20"/>
          <w:szCs w:val="20"/>
        </w:rPr>
        <w:t>].</w:t>
      </w:r>
    </w:p>
    <w:p w14:paraId="5B8926EC" w14:textId="77777777" w:rsidR="0088713B" w:rsidRDefault="002735DE">
      <w:pPr>
        <w:numPr>
          <w:ilvl w:val="0"/>
          <w:numId w:val="3"/>
        </w:numPr>
        <w:spacing w:line="360" w:lineRule="auto"/>
        <w:jc w:val="both"/>
      </w:pPr>
      <w:r>
        <w:t xml:space="preserve">The TJ found that the </w:t>
      </w:r>
      <w:r>
        <w:rPr>
          <w:i/>
          <w:iCs/>
        </w:rPr>
        <w:t>ESA</w:t>
      </w:r>
      <w:r>
        <w:t xml:space="preserve"> does not require direct, contemporaneous observation of turtles at the exact location and time of the offence to meet the definition of habitat under the </w:t>
      </w:r>
      <w:r>
        <w:rPr>
          <w:i/>
          <w:iCs/>
        </w:rPr>
        <w:t>ESA</w:t>
      </w:r>
      <w:r>
        <w:t>, and that reasonable inferences could be drawn from circumstantial and ecological evidence.</w:t>
      </w:r>
    </w:p>
    <w:p w14:paraId="37A7147C" w14:textId="77777777" w:rsidR="0088713B" w:rsidRDefault="002735DE">
      <w:pPr>
        <w:numPr>
          <w:ilvl w:val="2"/>
          <w:numId w:val="2"/>
        </w:numPr>
        <w:spacing w:after="200"/>
        <w:rPr>
          <w:i/>
          <w:iCs/>
        </w:rPr>
      </w:pPr>
      <w:r>
        <w:rPr>
          <w:i/>
          <w:iCs/>
        </w:rPr>
        <w:t>The Appeal to the OCJ</w:t>
      </w:r>
    </w:p>
    <w:p w14:paraId="1FC9B057" w14:textId="77777777" w:rsidR="0088713B" w:rsidRDefault="002735DE">
      <w:pPr>
        <w:numPr>
          <w:ilvl w:val="0"/>
          <w:numId w:val="3"/>
        </w:numPr>
        <w:spacing w:line="360" w:lineRule="auto"/>
        <w:jc w:val="both"/>
      </w:pPr>
      <w:r>
        <w:t xml:space="preserve">On appeal, the OCJ overturned the TJ’s decision to convict CHL. The OCJ held that the sightings evidence could not support a finding of habitat because the sightings were temporally remote or post-dated the offence. </w:t>
      </w:r>
    </w:p>
    <w:p w14:paraId="177EC489" w14:textId="77777777" w:rsidR="0088713B" w:rsidRDefault="002735DE">
      <w:pPr>
        <w:numPr>
          <w:ilvl w:val="0"/>
          <w:numId w:val="3"/>
        </w:numPr>
        <w:spacing w:line="360" w:lineRule="auto"/>
        <w:jc w:val="both"/>
      </w:pPr>
      <w:r>
        <w:t>The OCJ further held that the TJ erred by relying on the GHD, finding that it was not a legal instrument or binding document.</w:t>
      </w:r>
    </w:p>
    <w:p w14:paraId="754687D2" w14:textId="77777777" w:rsidR="0088713B" w:rsidRDefault="002735DE">
      <w:pPr>
        <w:numPr>
          <w:ilvl w:val="0"/>
          <w:numId w:val="3"/>
        </w:numPr>
        <w:spacing w:line="360" w:lineRule="auto"/>
        <w:jc w:val="both"/>
      </w:pPr>
      <w:r>
        <w:lastRenderedPageBreak/>
        <w:t xml:space="preserve">The OCJ relied on the lack of proof that Blanding’s Turtle used the specific parcel of land where the grubbing activities occurred for nesting, travel, or thermoregulation at the Material Time. On that basis, the OCJ held that the Crown had failed to establish the existence of habitat within the meaning of the </w:t>
      </w:r>
      <w:r>
        <w:rPr>
          <w:i/>
          <w:iCs/>
        </w:rPr>
        <w:t>ESA</w:t>
      </w:r>
      <w:r>
        <w:t>.</w:t>
      </w:r>
    </w:p>
    <w:p w14:paraId="2DD56B24" w14:textId="77777777" w:rsidR="0088713B" w:rsidRDefault="002735DE">
      <w:pPr>
        <w:numPr>
          <w:ilvl w:val="2"/>
          <w:numId w:val="2"/>
        </w:numPr>
        <w:spacing w:before="200" w:after="200" w:line="360" w:lineRule="auto"/>
        <w:rPr>
          <w:i/>
          <w:iCs/>
        </w:rPr>
      </w:pPr>
      <w:r>
        <w:rPr>
          <w:i/>
          <w:iCs/>
        </w:rPr>
        <w:t>The Present Appeal</w:t>
      </w:r>
    </w:p>
    <w:p w14:paraId="6F7C14A0" w14:textId="77777777" w:rsidR="0088713B" w:rsidRDefault="002735DE">
      <w:pPr>
        <w:numPr>
          <w:ilvl w:val="0"/>
          <w:numId w:val="3"/>
        </w:numPr>
        <w:spacing w:line="360" w:lineRule="auto"/>
        <w:jc w:val="both"/>
      </w:pPr>
      <w:r>
        <w:t>The Crown appeals the OCJ’s decision on the basis that it:</w:t>
      </w:r>
    </w:p>
    <w:p w14:paraId="06302215" w14:textId="77777777" w:rsidR="0088713B" w:rsidRDefault="002735DE">
      <w:pPr>
        <w:numPr>
          <w:ilvl w:val="1"/>
          <w:numId w:val="3"/>
        </w:numPr>
        <w:spacing w:line="360" w:lineRule="auto"/>
        <w:jc w:val="both"/>
      </w:pPr>
      <w:r>
        <w:t xml:space="preserve">imposed legal and evidentiary requirements not found in the </w:t>
      </w:r>
      <w:r>
        <w:rPr>
          <w:i/>
          <w:iCs/>
        </w:rPr>
        <w:t>ESA</w:t>
      </w:r>
      <w:r>
        <w:t xml:space="preserve">, </w:t>
      </w:r>
    </w:p>
    <w:p w14:paraId="7F983F17" w14:textId="77777777" w:rsidR="0088713B" w:rsidRDefault="002735DE">
      <w:pPr>
        <w:numPr>
          <w:ilvl w:val="1"/>
          <w:numId w:val="3"/>
        </w:numPr>
        <w:spacing w:line="360" w:lineRule="auto"/>
        <w:jc w:val="both"/>
      </w:pPr>
      <w:r>
        <w:t xml:space="preserve">failed to accord deference to the TJs factual findings, </w:t>
      </w:r>
    </w:p>
    <w:p w14:paraId="0EB94FCB" w14:textId="77777777" w:rsidR="0088713B" w:rsidRDefault="002735DE">
      <w:pPr>
        <w:numPr>
          <w:ilvl w:val="1"/>
          <w:numId w:val="3"/>
        </w:numPr>
        <w:spacing w:line="360" w:lineRule="auto"/>
        <w:jc w:val="both"/>
      </w:pPr>
      <w:r>
        <w:t xml:space="preserve">and improperly narrowed the statutory definition of “habitat” in a manner that is inconsistent with the purpose of the </w:t>
      </w:r>
      <w:r>
        <w:rPr>
          <w:i/>
          <w:iCs/>
        </w:rPr>
        <w:t>ESA</w:t>
      </w:r>
      <w:r>
        <w:t>.</w:t>
      </w:r>
    </w:p>
    <w:p w14:paraId="7636CABA" w14:textId="77777777" w:rsidR="0088713B" w:rsidRDefault="002735DE">
      <w:pPr>
        <w:pStyle w:val="Heading2"/>
        <w:numPr>
          <w:ilvl w:val="1"/>
          <w:numId w:val="6"/>
        </w:numPr>
        <w:spacing w:before="0" w:after="0" w:line="360" w:lineRule="auto"/>
      </w:pPr>
      <w:bookmarkStart w:id="5" w:name="_heading=h.7ip5puub6w5d" w:colFirst="0" w:colLast="0"/>
      <w:bookmarkEnd w:id="5"/>
      <w:r>
        <w:rPr>
          <w:rFonts w:ascii="Times New Roman" w:eastAsia="Times New Roman" w:hAnsi="Times New Roman" w:cs="Times New Roman"/>
          <w:i w:val="0"/>
          <w:iCs w:val="0"/>
          <w:sz w:val="24"/>
          <w:szCs w:val="24"/>
        </w:rPr>
        <w:t>Applicable Legislation</w:t>
      </w:r>
    </w:p>
    <w:p w14:paraId="2F0C3350" w14:textId="77777777" w:rsidR="0088713B" w:rsidRDefault="002735DE">
      <w:pPr>
        <w:numPr>
          <w:ilvl w:val="0"/>
          <w:numId w:val="3"/>
        </w:numPr>
        <w:spacing w:line="360" w:lineRule="auto"/>
        <w:jc w:val="both"/>
      </w:pPr>
      <w:r>
        <w:rPr>
          <w:i/>
          <w:iCs/>
        </w:rPr>
        <w:t>ESA</w:t>
      </w:r>
      <w:r>
        <w:t xml:space="preserve">, section 2(1) states: </w:t>
      </w:r>
    </w:p>
    <w:p w14:paraId="021953B7" w14:textId="77777777" w:rsidR="0088713B" w:rsidRDefault="002735DE">
      <w:pPr>
        <w:ind w:left="720"/>
        <w:jc w:val="both"/>
      </w:pPr>
      <w:r>
        <w:t>with respect to a species of animal, plant or other organism for which a regulation made under clause 56(1)(a) is in force, the area prescribed by that regulation as the habitat of the species, or</w:t>
      </w:r>
    </w:p>
    <w:p w14:paraId="20AD4A2E" w14:textId="77777777" w:rsidR="0088713B" w:rsidRDefault="0088713B">
      <w:pPr>
        <w:ind w:left="720"/>
        <w:jc w:val="both"/>
      </w:pPr>
    </w:p>
    <w:p w14:paraId="3303911E" w14:textId="77777777" w:rsidR="0088713B" w:rsidRDefault="002735DE">
      <w:pPr>
        <w:ind w:left="720"/>
        <w:jc w:val="both"/>
        <w:rPr>
          <w:b/>
          <w:bCs/>
        </w:rPr>
      </w:pPr>
      <w:r>
        <w:t xml:space="preserve">with respect to any other species of animal, plant or other organism, an area on which the species depends, </w:t>
      </w:r>
      <w:r>
        <w:rPr>
          <w:b/>
          <w:bCs/>
        </w:rPr>
        <w:t>directly or indirectly</w:t>
      </w:r>
      <w:r>
        <w:t>, to carry on its life processes, including life processes such as reproduction, rearing, hibernation, migration or feeding.</w:t>
      </w:r>
    </w:p>
    <w:p w14:paraId="2AE3048A" w14:textId="77777777" w:rsidR="0088713B" w:rsidRDefault="0088713B">
      <w:pPr>
        <w:ind w:left="720"/>
        <w:jc w:val="both"/>
        <w:rPr>
          <w:b/>
          <w:bCs/>
        </w:rPr>
      </w:pPr>
    </w:p>
    <w:p w14:paraId="6231F766" w14:textId="77777777" w:rsidR="0088713B" w:rsidRDefault="002735DE">
      <w:pPr>
        <w:ind w:left="720"/>
        <w:jc w:val="both"/>
        <w:rPr>
          <w:b/>
          <w:bCs/>
          <w:sz w:val="20"/>
          <w:szCs w:val="20"/>
        </w:rPr>
      </w:pPr>
      <w:r>
        <w:t>and includes places in the area described in clause (a) or (b), whichever is applicable, that are used by members of the species as dens, nests, hibernacula or other residences; (“habitat”).</w:t>
      </w:r>
    </w:p>
    <w:p w14:paraId="31ECF905" w14:textId="77777777" w:rsidR="0088713B" w:rsidRDefault="002735DE">
      <w:pPr>
        <w:spacing w:before="200" w:after="200"/>
        <w:ind w:left="720" w:firstLine="720"/>
        <w:jc w:val="both"/>
        <w:rPr>
          <w:b/>
          <w:bCs/>
        </w:rPr>
      </w:pPr>
      <w:r>
        <w:rPr>
          <w:i/>
          <w:iCs/>
          <w:sz w:val="20"/>
          <w:szCs w:val="20"/>
        </w:rPr>
        <w:t>ESA</w:t>
      </w:r>
      <w:r>
        <w:rPr>
          <w:sz w:val="20"/>
          <w:szCs w:val="20"/>
        </w:rPr>
        <w:t>, supra para 16.</w:t>
      </w:r>
    </w:p>
    <w:p w14:paraId="6B19FD0C" w14:textId="77777777" w:rsidR="0088713B" w:rsidRDefault="002735DE">
      <w:pPr>
        <w:numPr>
          <w:ilvl w:val="0"/>
          <w:numId w:val="3"/>
        </w:numPr>
        <w:spacing w:line="360" w:lineRule="auto"/>
        <w:jc w:val="both"/>
      </w:pPr>
      <w:r>
        <w:rPr>
          <w:i/>
          <w:iCs/>
        </w:rPr>
        <w:t>ESA</w:t>
      </w:r>
      <w:r>
        <w:t>, section 10 states:</w:t>
      </w:r>
    </w:p>
    <w:p w14:paraId="5F0D9318" w14:textId="77777777" w:rsidR="0088713B" w:rsidRDefault="002735DE">
      <w:pPr>
        <w:numPr>
          <w:ilvl w:val="0"/>
          <w:numId w:val="4"/>
        </w:numPr>
        <w:spacing w:line="360" w:lineRule="auto"/>
        <w:jc w:val="both"/>
      </w:pPr>
      <w:r>
        <w:t xml:space="preserve">No person shall damage or destroy the habitat of, </w:t>
      </w:r>
    </w:p>
    <w:p w14:paraId="26D0E28D" w14:textId="77777777" w:rsidR="0088713B" w:rsidRDefault="002735DE">
      <w:pPr>
        <w:numPr>
          <w:ilvl w:val="0"/>
          <w:numId w:val="5"/>
        </w:numPr>
        <w:jc w:val="both"/>
      </w:pPr>
      <w:r>
        <w:t>A species that is listed on the Species at Risk in Ontario List as an endangered or threatened species; or</w:t>
      </w:r>
    </w:p>
    <w:p w14:paraId="3690051A" w14:textId="77777777" w:rsidR="0088713B" w:rsidRDefault="002735DE">
      <w:pPr>
        <w:numPr>
          <w:ilvl w:val="0"/>
          <w:numId w:val="5"/>
        </w:numPr>
        <w:jc w:val="both"/>
      </w:pPr>
      <w:r>
        <w:t>A species that is listed on the Species at Risk in Ontario List as an extirpated species, if the species is prescribed by the regulations for the purpose of this clause.</w:t>
      </w:r>
    </w:p>
    <w:p w14:paraId="4E209408" w14:textId="77777777" w:rsidR="0088713B" w:rsidRDefault="002735DE">
      <w:pPr>
        <w:jc w:val="both"/>
      </w:pPr>
      <w:r>
        <w:t xml:space="preserve"> </w:t>
      </w:r>
    </w:p>
    <w:p w14:paraId="52DBCBB9" w14:textId="77777777" w:rsidR="0088713B" w:rsidRDefault="002735DE">
      <w:pPr>
        <w:numPr>
          <w:ilvl w:val="0"/>
          <w:numId w:val="4"/>
        </w:numPr>
        <w:jc w:val="both"/>
      </w:pPr>
      <w:r>
        <w:t xml:space="preserve">If the Species at Risk in Ontario List specifies a geographic area that a classification of a species applies to, subsection (1) only applies to that species in that area. </w:t>
      </w:r>
    </w:p>
    <w:p w14:paraId="552369B9" w14:textId="77777777" w:rsidR="0088713B" w:rsidRDefault="002735DE">
      <w:pPr>
        <w:spacing w:before="200" w:after="200"/>
        <w:ind w:left="720" w:firstLine="720"/>
        <w:jc w:val="both"/>
        <w:rPr>
          <w:b/>
          <w:bCs/>
        </w:rPr>
      </w:pPr>
      <w:r>
        <w:rPr>
          <w:i/>
          <w:iCs/>
          <w:sz w:val="20"/>
          <w:szCs w:val="20"/>
        </w:rPr>
        <w:t>ESA</w:t>
      </w:r>
      <w:r>
        <w:rPr>
          <w:sz w:val="20"/>
          <w:szCs w:val="20"/>
        </w:rPr>
        <w:t>, supra para 16, s 10.</w:t>
      </w:r>
    </w:p>
    <w:p w14:paraId="4A9BBF2A" w14:textId="77777777" w:rsidR="0088713B" w:rsidRDefault="002735DE">
      <w:pPr>
        <w:pStyle w:val="Heading1"/>
        <w:numPr>
          <w:ilvl w:val="0"/>
          <w:numId w:val="2"/>
        </w:numPr>
        <w:spacing w:before="0" w:after="0" w:line="360" w:lineRule="auto"/>
        <w:ind w:left="720" w:hanging="720"/>
        <w:rPr>
          <w:sz w:val="24"/>
          <w:szCs w:val="24"/>
        </w:rPr>
      </w:pPr>
      <w:bookmarkStart w:id="6" w:name="_heading=h.js8qtw36iknp" w:colFirst="0" w:colLast="0"/>
      <w:bookmarkEnd w:id="6"/>
      <w:r>
        <w:rPr>
          <w:rFonts w:ascii="Times New Roman" w:eastAsia="Times New Roman" w:hAnsi="Times New Roman" w:cs="Times New Roman"/>
          <w:sz w:val="24"/>
          <w:szCs w:val="24"/>
        </w:rPr>
        <w:lastRenderedPageBreak/>
        <w:t>QUESTIONS IN ISSUE</w:t>
      </w:r>
    </w:p>
    <w:p w14:paraId="540189BF" w14:textId="77777777" w:rsidR="0088713B" w:rsidRDefault="002735DE">
      <w:pPr>
        <w:numPr>
          <w:ilvl w:val="0"/>
          <w:numId w:val="3"/>
        </w:numPr>
        <w:pBdr>
          <w:top w:val="nil"/>
          <w:left w:val="nil"/>
          <w:bottom w:val="nil"/>
          <w:right w:val="nil"/>
          <w:between w:val="nil"/>
        </w:pBdr>
        <w:spacing w:line="360" w:lineRule="auto"/>
      </w:pPr>
      <w:r>
        <w:t>This appeal raises the following issues:</w:t>
      </w:r>
    </w:p>
    <w:p w14:paraId="5A0E35E8" w14:textId="77777777" w:rsidR="0088713B" w:rsidRDefault="002735DE">
      <w:pPr>
        <w:numPr>
          <w:ilvl w:val="1"/>
          <w:numId w:val="3"/>
        </w:numPr>
        <w:pBdr>
          <w:top w:val="nil"/>
          <w:left w:val="nil"/>
          <w:bottom w:val="nil"/>
          <w:right w:val="nil"/>
          <w:between w:val="nil"/>
        </w:pBdr>
        <w:spacing w:line="360" w:lineRule="auto"/>
        <w:jc w:val="both"/>
      </w:pPr>
      <w:r>
        <w:t>Did the OCJ err in finding that the TJ should not have relied on evidence of sightings of a Blanding’s Turtle near the Site on various dates before and after the material time?</w:t>
      </w:r>
    </w:p>
    <w:p w14:paraId="6E36F718" w14:textId="77777777" w:rsidR="0088713B" w:rsidRDefault="002735DE">
      <w:pPr>
        <w:numPr>
          <w:ilvl w:val="1"/>
          <w:numId w:val="3"/>
        </w:numPr>
        <w:pBdr>
          <w:top w:val="nil"/>
          <w:left w:val="nil"/>
          <w:bottom w:val="nil"/>
          <w:right w:val="nil"/>
          <w:between w:val="nil"/>
        </w:pBdr>
        <w:spacing w:line="360" w:lineRule="auto"/>
        <w:jc w:val="both"/>
      </w:pPr>
      <w:r>
        <w:t>Did the OCJ err by finding that it was an error for the Trial Justice to rely on the “General Habitat Description for the Blanding’s Turtle” document because that document “is not a legal instrument” and “not a legal document”?</w:t>
      </w:r>
    </w:p>
    <w:p w14:paraId="4DB2508C" w14:textId="77777777" w:rsidR="0088713B" w:rsidRDefault="002735DE">
      <w:pPr>
        <w:numPr>
          <w:ilvl w:val="1"/>
          <w:numId w:val="3"/>
        </w:numPr>
        <w:pBdr>
          <w:top w:val="nil"/>
          <w:left w:val="nil"/>
          <w:bottom w:val="nil"/>
          <w:right w:val="nil"/>
          <w:between w:val="nil"/>
        </w:pBdr>
        <w:spacing w:line="360" w:lineRule="auto"/>
        <w:jc w:val="both"/>
      </w:pPr>
      <w:r>
        <w:t>Did the OCJ err by failing to consider or give effect to the part of the statutory definition of “habitat” that includes within the scope of a species’ habitat not only areas on which a species depends directly, but also areas on which it depends indirectly to carry on its life processes?</w:t>
      </w:r>
    </w:p>
    <w:p w14:paraId="4CC8FC60" w14:textId="77777777" w:rsidR="0088713B" w:rsidRDefault="002735DE">
      <w:pPr>
        <w:numPr>
          <w:ilvl w:val="1"/>
          <w:numId w:val="3"/>
        </w:numPr>
        <w:pBdr>
          <w:top w:val="nil"/>
          <w:left w:val="nil"/>
          <w:bottom w:val="nil"/>
          <w:right w:val="nil"/>
          <w:between w:val="nil"/>
        </w:pBdr>
        <w:spacing w:line="360" w:lineRule="auto"/>
        <w:jc w:val="both"/>
      </w:pPr>
      <w:r>
        <w:t xml:space="preserve">The definition of “habitat” in the </w:t>
      </w:r>
      <w:r>
        <w:rPr>
          <w:i/>
          <w:iCs/>
        </w:rPr>
        <w:t>ESA</w:t>
      </w:r>
      <w:r>
        <w:t xml:space="preserve">, 2007 was amended by the Protect Ontario by Unleashing our </w:t>
      </w:r>
      <w:r>
        <w:rPr>
          <w:i/>
          <w:iCs/>
        </w:rPr>
        <w:t>Economy Act</w:t>
      </w:r>
      <w:r>
        <w:t>, 2025, Sched. 2, s 2(3). How should the trial have been decided if the new definition of “habitat” was in force when CHL was charged and tried?</w:t>
      </w:r>
    </w:p>
    <w:p w14:paraId="5586CFD5" w14:textId="77777777" w:rsidR="0088713B" w:rsidRDefault="002735DE">
      <w:pPr>
        <w:pStyle w:val="Heading1"/>
        <w:numPr>
          <w:ilvl w:val="0"/>
          <w:numId w:val="2"/>
        </w:numPr>
        <w:spacing w:before="0" w:after="0" w:line="360" w:lineRule="auto"/>
        <w:ind w:left="720" w:hanging="720"/>
        <w:rPr>
          <w:sz w:val="24"/>
          <w:szCs w:val="24"/>
        </w:rPr>
      </w:pPr>
      <w:bookmarkStart w:id="7" w:name="_heading=h.48op3ggke6ah" w:colFirst="0" w:colLast="0"/>
      <w:bookmarkEnd w:id="7"/>
      <w:r>
        <w:rPr>
          <w:rFonts w:ascii="Times New Roman" w:eastAsia="Times New Roman" w:hAnsi="Times New Roman" w:cs="Times New Roman"/>
          <w:sz w:val="24"/>
          <w:szCs w:val="24"/>
        </w:rPr>
        <w:t>ARGUMENT</w:t>
      </w:r>
    </w:p>
    <w:p w14:paraId="2FDFF9DE" w14:textId="77777777" w:rsidR="0088713B" w:rsidRDefault="002735DE">
      <w:pPr>
        <w:pStyle w:val="Heading2"/>
        <w:numPr>
          <w:ilvl w:val="1"/>
          <w:numId w:val="2"/>
        </w:numPr>
        <w:spacing w:before="0" w:after="200"/>
        <w:rPr>
          <w:i w:val="0"/>
          <w:iCs w:val="0"/>
          <w:sz w:val="24"/>
          <w:szCs w:val="24"/>
        </w:rPr>
      </w:pPr>
      <w:bookmarkStart w:id="8" w:name="_heading=h.1ss7jgr7yhwl" w:colFirst="0" w:colLast="0"/>
      <w:bookmarkEnd w:id="8"/>
      <w:r>
        <w:rPr>
          <w:rFonts w:ascii="Times New Roman" w:eastAsia="Times New Roman" w:hAnsi="Times New Roman" w:cs="Times New Roman"/>
          <w:i w:val="0"/>
          <w:iCs w:val="0"/>
          <w:sz w:val="24"/>
          <w:szCs w:val="24"/>
        </w:rPr>
        <w:t>ISSUE 1: THE OCJ ERRED IN FINDING THAT THE TRIAL JUSTICE SHOULD NOT HAVE RELIED ON EVIDENCE OF SIGHTINGS OF A BLANDING’S TURTLE NEAR THE SITE ON VARIOUS DATES BEFORE AND AFTER THE MATERIAL TIME.</w:t>
      </w:r>
    </w:p>
    <w:p w14:paraId="3E818B2C" w14:textId="77777777" w:rsidR="0088713B" w:rsidRDefault="002735DE">
      <w:pPr>
        <w:pStyle w:val="Heading2"/>
        <w:numPr>
          <w:ilvl w:val="2"/>
          <w:numId w:val="2"/>
        </w:numPr>
        <w:spacing w:before="0" w:after="0" w:line="360" w:lineRule="auto"/>
        <w:rPr>
          <w:i w:val="0"/>
          <w:iCs w:val="0"/>
          <w:sz w:val="24"/>
          <w:szCs w:val="24"/>
        </w:rPr>
      </w:pPr>
      <w:bookmarkStart w:id="9" w:name="_heading=h.gfs3xaq46d7r" w:colFirst="0" w:colLast="0"/>
      <w:bookmarkEnd w:id="9"/>
      <w:r>
        <w:rPr>
          <w:rFonts w:ascii="Times New Roman" w:eastAsia="Times New Roman" w:hAnsi="Times New Roman" w:cs="Times New Roman"/>
          <w:b w:val="0"/>
          <w:bCs w:val="0"/>
          <w:sz w:val="24"/>
          <w:szCs w:val="24"/>
        </w:rPr>
        <w:t>Standard of Review</w:t>
      </w:r>
    </w:p>
    <w:p w14:paraId="0AC4E271" w14:textId="77777777" w:rsidR="0088713B" w:rsidRDefault="002735DE">
      <w:pPr>
        <w:numPr>
          <w:ilvl w:val="0"/>
          <w:numId w:val="3"/>
        </w:numPr>
        <w:spacing w:line="360" w:lineRule="auto"/>
        <w:jc w:val="both"/>
      </w:pPr>
      <w:r>
        <w:t xml:space="preserve">The applicable standard of review depends on the nature of the alleged error. Questions of statutory interpretation and the legal relevance of evidence are questions of law reviewable on a correctness standard. In contrast, a TJ’s factual findings and the weighing of evidence are entitled to deference and may be disturbed only for palpable and overriding error. </w:t>
      </w:r>
    </w:p>
    <w:p w14:paraId="3E2FB928" w14:textId="77777777" w:rsidR="0088713B" w:rsidRDefault="002735DE">
      <w:pPr>
        <w:spacing w:line="360" w:lineRule="auto"/>
        <w:ind w:firstLine="720"/>
        <w:jc w:val="both"/>
        <w:rPr>
          <w:sz w:val="20"/>
          <w:szCs w:val="20"/>
        </w:rPr>
      </w:pPr>
      <w:r>
        <w:rPr>
          <w:i/>
          <w:iCs/>
          <w:sz w:val="20"/>
          <w:szCs w:val="20"/>
        </w:rPr>
        <w:t>Housen v Nikolaisen</w:t>
      </w:r>
      <w:r>
        <w:rPr>
          <w:sz w:val="20"/>
          <w:szCs w:val="20"/>
        </w:rPr>
        <w:t>, 2002 SCC 38 at paras 8 and 10 [</w:t>
      </w:r>
      <w:r>
        <w:rPr>
          <w:i/>
          <w:iCs/>
          <w:sz w:val="20"/>
          <w:szCs w:val="20"/>
        </w:rPr>
        <w:t>Housen</w:t>
      </w:r>
      <w:r>
        <w:rPr>
          <w:sz w:val="20"/>
          <w:szCs w:val="20"/>
        </w:rPr>
        <w:t>].</w:t>
      </w:r>
    </w:p>
    <w:p w14:paraId="47DEFE89" w14:textId="77777777" w:rsidR="0088713B" w:rsidRDefault="002735DE">
      <w:pPr>
        <w:numPr>
          <w:ilvl w:val="0"/>
          <w:numId w:val="3"/>
        </w:numPr>
        <w:spacing w:line="360" w:lineRule="auto"/>
        <w:jc w:val="both"/>
      </w:pPr>
      <w:r>
        <w:t>An appellate court commits an error of law where it excludes or discounts evidence by applying an incorrect legal standard (</w:t>
      </w:r>
      <w:r>
        <w:rPr>
          <w:i/>
          <w:iCs/>
        </w:rPr>
        <w:t>JMH</w:t>
      </w:r>
      <w:r>
        <w:t>). In such circumstances, the issue is reviewable on a correctness standard, and no deference is owed to the reviewing court’s interpretation.</w:t>
      </w:r>
    </w:p>
    <w:p w14:paraId="50D7A0CA" w14:textId="77777777" w:rsidR="0088713B" w:rsidRDefault="002735DE">
      <w:pPr>
        <w:spacing w:line="360" w:lineRule="auto"/>
        <w:ind w:firstLine="720"/>
        <w:jc w:val="both"/>
        <w:rPr>
          <w:sz w:val="20"/>
          <w:szCs w:val="20"/>
        </w:rPr>
      </w:pPr>
      <w:r>
        <w:rPr>
          <w:i/>
          <w:iCs/>
          <w:sz w:val="20"/>
          <w:szCs w:val="20"/>
        </w:rPr>
        <w:t>R v JMH</w:t>
      </w:r>
      <w:r>
        <w:rPr>
          <w:sz w:val="20"/>
          <w:szCs w:val="20"/>
        </w:rPr>
        <w:t>, 2011 SCC 45 at para 33 [</w:t>
      </w:r>
      <w:r>
        <w:rPr>
          <w:i/>
          <w:iCs/>
          <w:sz w:val="20"/>
          <w:szCs w:val="20"/>
        </w:rPr>
        <w:t>JMH</w:t>
      </w:r>
      <w:r>
        <w:rPr>
          <w:sz w:val="20"/>
          <w:szCs w:val="20"/>
        </w:rPr>
        <w:t>].</w:t>
      </w:r>
    </w:p>
    <w:p w14:paraId="7B40491C" w14:textId="77777777" w:rsidR="0088713B" w:rsidRDefault="002735DE">
      <w:pPr>
        <w:numPr>
          <w:ilvl w:val="0"/>
          <w:numId w:val="3"/>
        </w:numPr>
        <w:spacing w:line="360" w:lineRule="auto"/>
        <w:jc w:val="both"/>
      </w:pPr>
      <w:r>
        <w:t xml:space="preserve">In the present case, the OCJ did not merely reassess the weight of the evidence relied upon by the TJ. Rather, the OCJ imposed a non-existent legal requirement that habitat be established </w:t>
      </w:r>
      <w:r>
        <w:lastRenderedPageBreak/>
        <w:t xml:space="preserve">through contemporaneous, site-specific observation. There is no basis for such a requirement under the </w:t>
      </w:r>
      <w:r>
        <w:rPr>
          <w:i/>
          <w:iCs/>
        </w:rPr>
        <w:t>ESA</w:t>
      </w:r>
      <w:r>
        <w:t xml:space="preserve"> and constitutes a legal error reviewable on a correctness standard. </w:t>
      </w:r>
    </w:p>
    <w:p w14:paraId="6C41AE4E" w14:textId="77777777" w:rsidR="0088713B" w:rsidRDefault="002735DE">
      <w:pPr>
        <w:numPr>
          <w:ilvl w:val="0"/>
          <w:numId w:val="3"/>
        </w:numPr>
        <w:spacing w:line="360" w:lineRule="auto"/>
      </w:pPr>
      <w:r>
        <w:t xml:space="preserve">Absent such a legal error, the TJ’s assessment of circumstantial and expert evidence was entitled to deference. The OCJ’s failure to accord that deference further underscores the need for intervention and restoration of the TJ’s original conviction. </w:t>
      </w:r>
    </w:p>
    <w:p w14:paraId="2EC8DF59" w14:textId="77777777" w:rsidR="0088713B" w:rsidRDefault="0088713B">
      <w:pPr>
        <w:spacing w:line="360" w:lineRule="auto"/>
      </w:pPr>
    </w:p>
    <w:p w14:paraId="6B2D1A4B" w14:textId="77777777" w:rsidR="0088713B" w:rsidRDefault="002735DE">
      <w:pPr>
        <w:pStyle w:val="Heading2"/>
        <w:numPr>
          <w:ilvl w:val="2"/>
          <w:numId w:val="2"/>
        </w:numPr>
        <w:spacing w:before="0" w:after="0" w:line="360" w:lineRule="auto"/>
        <w:rPr>
          <w:i w:val="0"/>
          <w:iCs w:val="0"/>
          <w:sz w:val="24"/>
          <w:szCs w:val="24"/>
        </w:rPr>
      </w:pPr>
      <w:bookmarkStart w:id="10" w:name="_heading=h.88b5txjqdgfr" w:colFirst="0" w:colLast="0"/>
      <w:bookmarkEnd w:id="10"/>
      <w:r>
        <w:rPr>
          <w:rFonts w:ascii="Times New Roman" w:eastAsia="Times New Roman" w:hAnsi="Times New Roman" w:cs="Times New Roman"/>
          <w:b w:val="0"/>
          <w:bCs w:val="0"/>
          <w:sz w:val="24"/>
          <w:szCs w:val="24"/>
        </w:rPr>
        <w:t xml:space="preserve">The </w:t>
      </w:r>
      <w:r>
        <w:rPr>
          <w:rFonts w:ascii="Times New Roman" w:eastAsia="Times New Roman" w:hAnsi="Times New Roman" w:cs="Times New Roman"/>
          <w:b w:val="0"/>
          <w:bCs w:val="0"/>
          <w:sz w:val="24"/>
          <w:szCs w:val="24"/>
        </w:rPr>
        <w:t xml:space="preserve">OCJ Misapplied the Statutory Definition of “Habitat” Under the ESA </w:t>
      </w:r>
    </w:p>
    <w:p w14:paraId="3C569B98" w14:textId="77777777" w:rsidR="0088713B" w:rsidRDefault="002735DE">
      <w:pPr>
        <w:numPr>
          <w:ilvl w:val="0"/>
          <w:numId w:val="3"/>
        </w:numPr>
        <w:pBdr>
          <w:top w:val="nil"/>
          <w:left w:val="nil"/>
          <w:bottom w:val="nil"/>
          <w:right w:val="nil"/>
          <w:between w:val="nil"/>
        </w:pBdr>
        <w:spacing w:line="360" w:lineRule="auto"/>
        <w:jc w:val="both"/>
      </w:pPr>
      <w:r>
        <w:t xml:space="preserve">The OCJ erred in law by misapplying the statutory definition of “habitat” under the </w:t>
      </w:r>
      <w:r>
        <w:rPr>
          <w:i/>
          <w:iCs/>
        </w:rPr>
        <w:t>ESA</w:t>
      </w:r>
      <w:r>
        <w:t xml:space="preserve">. In concluding that the sightings of a Blanding’s Turtle before and after the offence could not be relied upon, the OCJ imposed a temporal and evidentiary restriction that finds no support in the text, context, or purpose of sections 2 and 10 (as discussed further below) of the </w:t>
      </w:r>
      <w:r>
        <w:rPr>
          <w:i/>
          <w:iCs/>
        </w:rPr>
        <w:t>ESA</w:t>
      </w:r>
      <w:r>
        <w:t xml:space="preserve">.  </w:t>
      </w:r>
    </w:p>
    <w:p w14:paraId="619BE2DE" w14:textId="77777777" w:rsidR="0088713B" w:rsidRDefault="002735DE">
      <w:pPr>
        <w:numPr>
          <w:ilvl w:val="0"/>
          <w:numId w:val="3"/>
        </w:numPr>
        <w:pBdr>
          <w:top w:val="nil"/>
          <w:left w:val="nil"/>
          <w:bottom w:val="nil"/>
          <w:right w:val="nil"/>
          <w:between w:val="nil"/>
        </w:pBdr>
        <w:spacing w:line="360" w:lineRule="auto"/>
      </w:pPr>
      <w:r>
        <w:t xml:space="preserve">Section 2(1)(a) defines “habitat” to include, </w:t>
      </w:r>
    </w:p>
    <w:p w14:paraId="345B57E2" w14:textId="77777777" w:rsidR="0088713B" w:rsidRDefault="002735DE">
      <w:pPr>
        <w:numPr>
          <w:ilvl w:val="1"/>
          <w:numId w:val="3"/>
        </w:numPr>
        <w:pBdr>
          <w:top w:val="nil"/>
          <w:left w:val="nil"/>
          <w:bottom w:val="nil"/>
          <w:right w:val="nil"/>
          <w:between w:val="nil"/>
        </w:pBdr>
        <w:spacing w:line="360" w:lineRule="auto"/>
        <w:jc w:val="both"/>
      </w:pPr>
      <w:r>
        <w:t xml:space="preserve">In respect of an animal species, </w:t>
      </w:r>
    </w:p>
    <w:p w14:paraId="2F474EE5" w14:textId="77777777" w:rsidR="0088713B" w:rsidRDefault="002735DE">
      <w:pPr>
        <w:numPr>
          <w:ilvl w:val="2"/>
          <w:numId w:val="3"/>
        </w:numPr>
        <w:pBdr>
          <w:top w:val="nil"/>
          <w:left w:val="nil"/>
          <w:bottom w:val="nil"/>
          <w:right w:val="nil"/>
          <w:between w:val="nil"/>
        </w:pBdr>
        <w:spacing w:line="360" w:lineRule="auto"/>
        <w:jc w:val="both"/>
      </w:pPr>
      <w:r>
        <w:t xml:space="preserve">A dwelling-place, such as a den, nest or other similar place, that is occupied or habitually occupied by one of more members of a species for the purposes of breeding, rearing, staging, wintering, or hibernating, and </w:t>
      </w:r>
    </w:p>
    <w:p w14:paraId="5DAA8034" w14:textId="77777777" w:rsidR="0088713B" w:rsidRDefault="002735DE">
      <w:pPr>
        <w:numPr>
          <w:ilvl w:val="2"/>
          <w:numId w:val="3"/>
        </w:numPr>
        <w:pBdr>
          <w:top w:val="nil"/>
          <w:left w:val="nil"/>
          <w:bottom w:val="nil"/>
          <w:right w:val="nil"/>
          <w:between w:val="nil"/>
        </w:pBdr>
        <w:spacing w:line="360" w:lineRule="auto"/>
        <w:jc w:val="both"/>
      </w:pPr>
      <w:r>
        <w:t xml:space="preserve">The area immediately around a dwelling place described in subclause (i) that is essentially for the purposes set out in that subclause. </w:t>
      </w:r>
    </w:p>
    <w:p w14:paraId="710542FF" w14:textId="77777777" w:rsidR="0088713B" w:rsidRDefault="002735DE">
      <w:pPr>
        <w:spacing w:line="360" w:lineRule="auto"/>
        <w:ind w:firstLine="720"/>
        <w:jc w:val="both"/>
        <w:rPr>
          <w:sz w:val="20"/>
          <w:szCs w:val="20"/>
        </w:rPr>
      </w:pPr>
      <w:r>
        <w:rPr>
          <w:i/>
          <w:iCs/>
          <w:sz w:val="20"/>
          <w:szCs w:val="20"/>
        </w:rPr>
        <w:t>ESA</w:t>
      </w:r>
      <w:r>
        <w:rPr>
          <w:sz w:val="20"/>
          <w:szCs w:val="20"/>
        </w:rPr>
        <w:t>, supra para 16, s 2(1)(a).</w:t>
      </w:r>
    </w:p>
    <w:p w14:paraId="71E8375B" w14:textId="77777777" w:rsidR="0088713B" w:rsidRDefault="002735DE">
      <w:pPr>
        <w:numPr>
          <w:ilvl w:val="0"/>
          <w:numId w:val="3"/>
        </w:numPr>
        <w:pBdr>
          <w:top w:val="nil"/>
          <w:left w:val="nil"/>
          <w:bottom w:val="nil"/>
          <w:right w:val="nil"/>
          <w:between w:val="nil"/>
        </w:pBdr>
        <w:spacing w:line="360" w:lineRule="auto"/>
        <w:jc w:val="both"/>
      </w:pPr>
      <w:r>
        <w:t xml:space="preserve">The definition is open-textured and does not prescribe </w:t>
      </w:r>
      <w:r>
        <w:rPr>
          <w:i/>
          <w:iCs/>
        </w:rPr>
        <w:t>how</w:t>
      </w:r>
      <w:r>
        <w:t xml:space="preserve"> dependence must be established, nor does it require contemporaneous observation of a species of a particular area. </w:t>
      </w:r>
    </w:p>
    <w:p w14:paraId="74A08EAC" w14:textId="77777777" w:rsidR="0088713B" w:rsidRDefault="002735DE">
      <w:pPr>
        <w:numPr>
          <w:ilvl w:val="0"/>
          <w:numId w:val="3"/>
        </w:numPr>
        <w:pBdr>
          <w:top w:val="nil"/>
          <w:left w:val="nil"/>
          <w:bottom w:val="nil"/>
          <w:right w:val="nil"/>
          <w:between w:val="nil"/>
        </w:pBdr>
        <w:spacing w:line="360" w:lineRule="auto"/>
        <w:jc w:val="both"/>
      </w:pPr>
      <w:r>
        <w:t xml:space="preserve">Section 2(2) of the </w:t>
      </w:r>
      <w:r>
        <w:rPr>
          <w:i/>
          <w:iCs/>
        </w:rPr>
        <w:t xml:space="preserve">ESA </w:t>
      </w:r>
      <w:r>
        <w:t>explicitly excludes from the definition of habitat areas “where a species formerly occurred or has the potential to be reintroduced, unless existing members of the species currently depend on that area to carry on their life processes”. Appropriately interpreted, this provision operates as a safeguard against speculative or hypothetical habitat, not as a prohibition on drawing reasonable inferences of present dependence from ecological evidence.</w:t>
      </w:r>
    </w:p>
    <w:p w14:paraId="4E8E5CFC" w14:textId="77777777" w:rsidR="0088713B" w:rsidRDefault="002735DE">
      <w:pPr>
        <w:pBdr>
          <w:top w:val="nil"/>
          <w:left w:val="nil"/>
          <w:bottom w:val="nil"/>
          <w:right w:val="nil"/>
          <w:between w:val="nil"/>
        </w:pBdr>
        <w:spacing w:line="360" w:lineRule="auto"/>
        <w:ind w:firstLine="720"/>
        <w:jc w:val="both"/>
        <w:rPr>
          <w:sz w:val="20"/>
          <w:szCs w:val="20"/>
        </w:rPr>
      </w:pPr>
      <w:r>
        <w:rPr>
          <w:i/>
          <w:iCs/>
          <w:sz w:val="20"/>
          <w:szCs w:val="20"/>
        </w:rPr>
        <w:t>ESA</w:t>
      </w:r>
      <w:r>
        <w:rPr>
          <w:sz w:val="20"/>
          <w:szCs w:val="20"/>
        </w:rPr>
        <w:t xml:space="preserve">, supra para 16, s 2(2). </w:t>
      </w:r>
    </w:p>
    <w:p w14:paraId="46921D2B" w14:textId="77777777" w:rsidR="0088713B" w:rsidRDefault="002735DE">
      <w:pPr>
        <w:numPr>
          <w:ilvl w:val="0"/>
          <w:numId w:val="3"/>
        </w:numPr>
        <w:pBdr>
          <w:top w:val="nil"/>
          <w:left w:val="nil"/>
          <w:bottom w:val="nil"/>
          <w:right w:val="nil"/>
          <w:between w:val="nil"/>
        </w:pBdr>
        <w:spacing w:line="360" w:lineRule="auto"/>
        <w:jc w:val="both"/>
      </w:pPr>
      <w:r>
        <w:t>By treating temporally remote and post-offence sightings</w:t>
      </w:r>
      <w:r>
        <w:t xml:space="preserve"> as legally incapable of supporting a finding of habitat, the OCJ mischaracterized and unreasonably transformed </w:t>
      </w:r>
      <w:r>
        <w:rPr>
          <w:i/>
          <w:iCs/>
        </w:rPr>
        <w:t>ESA</w:t>
      </w:r>
      <w:r>
        <w:t xml:space="preserve">, section 2(2) into a rigid temporal exclusion rule. Nothing in the text of the </w:t>
      </w:r>
      <w:r>
        <w:rPr>
          <w:i/>
          <w:iCs/>
        </w:rPr>
        <w:t xml:space="preserve">ESA </w:t>
      </w:r>
      <w:r>
        <w:t xml:space="preserve">or existing case law supports such a narrow interpretation. </w:t>
      </w:r>
    </w:p>
    <w:p w14:paraId="6E75CA7E" w14:textId="77777777" w:rsidR="0088713B" w:rsidRDefault="002735DE">
      <w:pPr>
        <w:numPr>
          <w:ilvl w:val="0"/>
          <w:numId w:val="3"/>
        </w:numPr>
        <w:pBdr>
          <w:top w:val="nil"/>
          <w:left w:val="nil"/>
          <w:bottom w:val="nil"/>
          <w:right w:val="nil"/>
          <w:between w:val="nil"/>
        </w:pBdr>
        <w:spacing w:line="360" w:lineRule="auto"/>
        <w:jc w:val="both"/>
      </w:pPr>
      <w:r>
        <w:lastRenderedPageBreak/>
        <w:t xml:space="preserve">The </w:t>
      </w:r>
      <w:r>
        <w:rPr>
          <w:i/>
          <w:iCs/>
        </w:rPr>
        <w:t xml:space="preserve">ESA </w:t>
      </w:r>
      <w:r>
        <w:t xml:space="preserve">does not explicitly nor implicitly require proof that a species was observed using the precise site at the exact time of the alleged offence. Nor does it mandate direct evidence of a particular life process being carried out on the land in question. These requirements were inappropriately imposed by the OCJ, not by the legislature. </w:t>
      </w:r>
    </w:p>
    <w:p w14:paraId="37E635BD" w14:textId="77777777" w:rsidR="0088713B" w:rsidRDefault="002735DE">
      <w:pPr>
        <w:numPr>
          <w:ilvl w:val="0"/>
          <w:numId w:val="3"/>
        </w:numPr>
        <w:pBdr>
          <w:top w:val="nil"/>
          <w:left w:val="nil"/>
          <w:bottom w:val="nil"/>
          <w:right w:val="nil"/>
          <w:between w:val="nil"/>
        </w:pBdr>
        <w:spacing w:line="360" w:lineRule="auto"/>
        <w:jc w:val="both"/>
      </w:pPr>
      <w:r>
        <w:t>The Supreme Court of Canada (“SCC”) has repeatedly held that environmental protection statutes must be interpreted broadly and purposively in order to fulfill their preventive and remedial objectives (</w:t>
      </w:r>
      <w:r>
        <w:rPr>
          <w:i/>
          <w:iCs/>
        </w:rPr>
        <w:t>Castonguay)</w:t>
      </w:r>
      <w:r>
        <w:t xml:space="preserve">. The OCJ’s interpretation, in contrast, narrows the scope of admissible evidence capable of establishing habitat and is inconsistent with the purpose of the </w:t>
      </w:r>
      <w:r>
        <w:rPr>
          <w:i/>
          <w:iCs/>
        </w:rPr>
        <w:t>ESA</w:t>
      </w:r>
      <w:r>
        <w:t>.</w:t>
      </w:r>
    </w:p>
    <w:p w14:paraId="15A87824" w14:textId="77777777" w:rsidR="0088713B" w:rsidRDefault="002735DE">
      <w:pPr>
        <w:pBdr>
          <w:top w:val="nil"/>
          <w:left w:val="nil"/>
          <w:bottom w:val="nil"/>
          <w:right w:val="nil"/>
          <w:between w:val="nil"/>
        </w:pBdr>
        <w:spacing w:after="200"/>
        <w:ind w:firstLine="720"/>
        <w:jc w:val="both"/>
        <w:rPr>
          <w:sz w:val="20"/>
          <w:szCs w:val="20"/>
        </w:rPr>
      </w:pPr>
      <w:r>
        <w:rPr>
          <w:i/>
          <w:iCs/>
          <w:sz w:val="20"/>
          <w:szCs w:val="20"/>
        </w:rPr>
        <w:t>Castonguay Blasting Ltd v Ontario</w:t>
      </w:r>
      <w:r>
        <w:rPr>
          <w:sz w:val="20"/>
          <w:szCs w:val="20"/>
        </w:rPr>
        <w:t>, 2013 SCC 52 at para 9 [</w:t>
      </w:r>
      <w:r>
        <w:rPr>
          <w:i/>
          <w:iCs/>
          <w:sz w:val="20"/>
          <w:szCs w:val="20"/>
        </w:rPr>
        <w:t>Castonguay</w:t>
      </w:r>
      <w:r>
        <w:rPr>
          <w:sz w:val="20"/>
          <w:szCs w:val="20"/>
        </w:rPr>
        <w:t>].</w:t>
      </w:r>
    </w:p>
    <w:p w14:paraId="7B15C6CE" w14:textId="77777777" w:rsidR="0088713B" w:rsidRDefault="002735DE">
      <w:pPr>
        <w:numPr>
          <w:ilvl w:val="0"/>
          <w:numId w:val="3"/>
        </w:numPr>
        <w:pBdr>
          <w:top w:val="nil"/>
          <w:left w:val="nil"/>
          <w:bottom w:val="nil"/>
          <w:right w:val="nil"/>
          <w:between w:val="nil"/>
        </w:pBdr>
        <w:spacing w:line="360" w:lineRule="auto"/>
        <w:jc w:val="both"/>
      </w:pPr>
      <w:r>
        <w:t xml:space="preserve">Properly interpreted, </w:t>
      </w:r>
      <w:r>
        <w:rPr>
          <w:i/>
          <w:iCs/>
        </w:rPr>
        <w:t>ESA</w:t>
      </w:r>
      <w:r>
        <w:t xml:space="preserve">, sections 2 and 10 permit the trier of fact to determine habitat based on circumstantial and inferential ecological evidence. The </w:t>
      </w:r>
      <w:r>
        <w:rPr>
          <w:i/>
          <w:iCs/>
        </w:rPr>
        <w:t>ESA</w:t>
      </w:r>
      <w:r>
        <w:t xml:space="preserve"> does not prescribe a particular mode of proof, nor does it require direct or contemporaneous observation of a species engaging in a specific life process at the precise location and time of the alleged offence. </w:t>
      </w:r>
    </w:p>
    <w:p w14:paraId="0D78C2DA" w14:textId="77777777" w:rsidR="0088713B" w:rsidRDefault="002735DE">
      <w:pPr>
        <w:numPr>
          <w:ilvl w:val="0"/>
          <w:numId w:val="3"/>
        </w:numPr>
        <w:pBdr>
          <w:top w:val="nil"/>
          <w:left w:val="nil"/>
          <w:bottom w:val="nil"/>
          <w:right w:val="nil"/>
          <w:between w:val="nil"/>
        </w:pBdr>
        <w:spacing w:line="360" w:lineRule="auto"/>
        <w:jc w:val="both"/>
      </w:pPr>
      <w:r>
        <w:t xml:space="preserve">Drawing an inference is a core fact-finding function. It requires the trier of fact to assess whether the evidence, viewed as a whole, is sufficiently persuasive to support a particular conclusion. That assessment necessarily involves weighing the evidence, including the strength of the circumstantial proof, the expert testimony, and the continuity of ecological features over time. </w:t>
      </w:r>
    </w:p>
    <w:p w14:paraId="6CD7DBF7" w14:textId="77777777" w:rsidR="0088713B" w:rsidRDefault="002735DE">
      <w:pPr>
        <w:numPr>
          <w:ilvl w:val="0"/>
          <w:numId w:val="3"/>
        </w:numPr>
        <w:pBdr>
          <w:top w:val="nil"/>
          <w:left w:val="nil"/>
          <w:bottom w:val="nil"/>
          <w:right w:val="nil"/>
          <w:between w:val="nil"/>
        </w:pBdr>
        <w:spacing w:line="360" w:lineRule="auto"/>
        <w:jc w:val="both"/>
      </w:pPr>
      <w:r>
        <w:t xml:space="preserve">Whether the evidence relied upon by the TJ was sufficient to support an inference that the Site functioned as habitat was therefore a question of weight, not legal admissibility. Absent an error in the legal test applied, that evaluative judgment law within the TJ’s discretion and was entitled to deference on appeal. </w:t>
      </w:r>
    </w:p>
    <w:p w14:paraId="301E8A78" w14:textId="77777777" w:rsidR="0088713B" w:rsidRDefault="0088713B">
      <w:pPr>
        <w:pBdr>
          <w:top w:val="nil"/>
          <w:left w:val="nil"/>
          <w:bottom w:val="nil"/>
          <w:right w:val="nil"/>
          <w:between w:val="nil"/>
        </w:pBdr>
        <w:spacing w:line="360" w:lineRule="auto"/>
        <w:jc w:val="both"/>
      </w:pPr>
    </w:p>
    <w:p w14:paraId="1EB2DB43" w14:textId="77777777" w:rsidR="0088713B" w:rsidRDefault="002735DE">
      <w:pPr>
        <w:numPr>
          <w:ilvl w:val="2"/>
          <w:numId w:val="2"/>
        </w:numPr>
        <w:spacing w:after="200"/>
        <w:rPr>
          <w:i/>
          <w:iCs/>
        </w:rPr>
      </w:pPr>
      <w:r>
        <w:rPr>
          <w:i/>
          <w:iCs/>
        </w:rPr>
        <w:t>The Trial Justice was Entitled to Rely on Circumstantial and Inferential Evidence, Including Sightings Evidence</w:t>
      </w:r>
    </w:p>
    <w:p w14:paraId="4E925F9F" w14:textId="77777777" w:rsidR="0088713B" w:rsidRDefault="002735DE">
      <w:pPr>
        <w:numPr>
          <w:ilvl w:val="0"/>
          <w:numId w:val="3"/>
        </w:numPr>
        <w:pBdr>
          <w:top w:val="nil"/>
          <w:left w:val="nil"/>
          <w:bottom w:val="nil"/>
          <w:right w:val="nil"/>
          <w:between w:val="nil"/>
        </w:pBdr>
        <w:spacing w:line="360" w:lineRule="auto"/>
        <w:jc w:val="both"/>
      </w:pPr>
      <w:r>
        <w:t xml:space="preserve">Having regard to the proper interpretation of the </w:t>
      </w:r>
      <w:r>
        <w:rPr>
          <w:i/>
          <w:iCs/>
        </w:rPr>
        <w:t xml:space="preserve">ESA, </w:t>
      </w:r>
      <w:r>
        <w:t xml:space="preserve">the TJ was entitled to determine the existence of habitat based on circumstantial and inferential evidence. Environmental offences are routinely established through patterns, proximity, and scientific inference, rather than direct observation. The sightings evidence formed part of a broader evidentiary matrix that the TJ was permitted to consider. </w:t>
      </w:r>
    </w:p>
    <w:p w14:paraId="606B3F23" w14:textId="77777777" w:rsidR="0088713B" w:rsidRDefault="002735DE">
      <w:pPr>
        <w:numPr>
          <w:ilvl w:val="0"/>
          <w:numId w:val="3"/>
        </w:numPr>
        <w:pBdr>
          <w:top w:val="nil"/>
          <w:left w:val="nil"/>
          <w:bottom w:val="nil"/>
          <w:right w:val="nil"/>
          <w:between w:val="nil"/>
        </w:pBdr>
        <w:spacing w:line="360" w:lineRule="auto"/>
        <w:jc w:val="both"/>
      </w:pPr>
      <w:r>
        <w:lastRenderedPageBreak/>
        <w:t>Drawing upon the principle in (</w:t>
      </w:r>
      <w:r>
        <w:rPr>
          <w:i/>
          <w:iCs/>
        </w:rPr>
        <w:t>Villaroman</w:t>
      </w:r>
      <w:r>
        <w:t>), and as the case law has consistently affirmed in cases such as</w:t>
      </w:r>
      <w:r>
        <w:rPr>
          <w:i/>
          <w:iCs/>
        </w:rPr>
        <w:t xml:space="preserve"> (UBC) </w:t>
      </w:r>
      <w:r>
        <w:t>and (</w:t>
      </w:r>
      <w:r>
        <w:rPr>
          <w:i/>
          <w:iCs/>
        </w:rPr>
        <w:t>Marathassa</w:t>
      </w:r>
      <w:r>
        <w:t xml:space="preserve">), environmental regulatory offences may be proven through circumstantial evidence, and direct observation of the prohibited act is not required. This practice is commensurate with the practical reality that environmental harm often occurs gradually or indirectly. </w:t>
      </w:r>
    </w:p>
    <w:p w14:paraId="0D61FC88" w14:textId="77777777" w:rsidR="0088713B" w:rsidRDefault="002735DE">
      <w:pPr>
        <w:pBdr>
          <w:top w:val="nil"/>
          <w:left w:val="nil"/>
          <w:bottom w:val="nil"/>
          <w:right w:val="nil"/>
          <w:between w:val="nil"/>
        </w:pBdr>
        <w:jc w:val="both"/>
        <w:rPr>
          <w:sz w:val="20"/>
          <w:szCs w:val="20"/>
        </w:rPr>
      </w:pPr>
      <w:r>
        <w:tab/>
      </w:r>
      <w:r>
        <w:rPr>
          <w:i/>
          <w:iCs/>
          <w:sz w:val="20"/>
          <w:szCs w:val="20"/>
        </w:rPr>
        <w:t>R v Villaroman</w:t>
      </w:r>
      <w:r>
        <w:rPr>
          <w:sz w:val="20"/>
          <w:szCs w:val="20"/>
        </w:rPr>
        <w:t>, 2016 SCC 33 at para 35 [</w:t>
      </w:r>
      <w:r>
        <w:rPr>
          <w:i/>
          <w:iCs/>
          <w:sz w:val="20"/>
          <w:szCs w:val="20"/>
        </w:rPr>
        <w:t>Villaroman</w:t>
      </w:r>
      <w:r>
        <w:rPr>
          <w:sz w:val="20"/>
          <w:szCs w:val="20"/>
        </w:rPr>
        <w:t>].</w:t>
      </w:r>
    </w:p>
    <w:p w14:paraId="0321A695" w14:textId="77777777" w:rsidR="0088713B" w:rsidRDefault="002735DE">
      <w:pPr>
        <w:pBdr>
          <w:top w:val="nil"/>
          <w:left w:val="nil"/>
          <w:bottom w:val="nil"/>
          <w:right w:val="nil"/>
          <w:between w:val="nil"/>
        </w:pBdr>
        <w:jc w:val="both"/>
        <w:rPr>
          <w:sz w:val="20"/>
          <w:szCs w:val="20"/>
        </w:rPr>
      </w:pPr>
      <w:r>
        <w:rPr>
          <w:sz w:val="20"/>
          <w:szCs w:val="20"/>
        </w:rPr>
        <w:tab/>
      </w:r>
      <w:r>
        <w:rPr>
          <w:i/>
          <w:iCs/>
          <w:sz w:val="20"/>
          <w:szCs w:val="20"/>
        </w:rPr>
        <w:t>R v University of British Columbia</w:t>
      </w:r>
      <w:r>
        <w:rPr>
          <w:sz w:val="20"/>
          <w:szCs w:val="20"/>
        </w:rPr>
        <w:t>, 2001 BCCA 188 [</w:t>
      </w:r>
      <w:r>
        <w:rPr>
          <w:i/>
          <w:iCs/>
          <w:sz w:val="20"/>
          <w:szCs w:val="20"/>
        </w:rPr>
        <w:t>UBC</w:t>
      </w:r>
      <w:r>
        <w:rPr>
          <w:sz w:val="20"/>
          <w:szCs w:val="20"/>
        </w:rPr>
        <w:t>].</w:t>
      </w:r>
    </w:p>
    <w:p w14:paraId="3D0045F2" w14:textId="77777777" w:rsidR="0088713B" w:rsidRDefault="002735DE">
      <w:pPr>
        <w:pBdr>
          <w:top w:val="nil"/>
          <w:left w:val="nil"/>
          <w:bottom w:val="nil"/>
          <w:right w:val="nil"/>
          <w:between w:val="nil"/>
        </w:pBdr>
        <w:spacing w:after="200"/>
        <w:jc w:val="both"/>
        <w:rPr>
          <w:sz w:val="20"/>
          <w:szCs w:val="20"/>
        </w:rPr>
      </w:pPr>
      <w:r>
        <w:rPr>
          <w:i/>
          <w:iCs/>
          <w:sz w:val="20"/>
          <w:szCs w:val="20"/>
        </w:rPr>
        <w:tab/>
        <w:t xml:space="preserve">R v MV Marathassa, </w:t>
      </w:r>
      <w:r>
        <w:rPr>
          <w:sz w:val="20"/>
          <w:szCs w:val="20"/>
        </w:rPr>
        <w:t>2019 BCPC 13 [</w:t>
      </w:r>
      <w:r>
        <w:rPr>
          <w:i/>
          <w:iCs/>
          <w:sz w:val="20"/>
          <w:szCs w:val="20"/>
        </w:rPr>
        <w:t>Marathassa</w:t>
      </w:r>
      <w:r>
        <w:rPr>
          <w:sz w:val="20"/>
          <w:szCs w:val="20"/>
        </w:rPr>
        <w:t>].</w:t>
      </w:r>
    </w:p>
    <w:p w14:paraId="4E882803" w14:textId="77777777" w:rsidR="0088713B" w:rsidRDefault="002735DE">
      <w:pPr>
        <w:numPr>
          <w:ilvl w:val="0"/>
          <w:numId w:val="3"/>
        </w:numPr>
        <w:pBdr>
          <w:top w:val="nil"/>
          <w:left w:val="nil"/>
          <w:bottom w:val="nil"/>
          <w:right w:val="nil"/>
          <w:between w:val="nil"/>
        </w:pBdr>
        <w:spacing w:line="360" w:lineRule="auto"/>
        <w:jc w:val="both"/>
      </w:pPr>
      <w:r>
        <w:t xml:space="preserve">The TJ did not treat sightings of a Blanding’s Turtle as determinative in isolation. Rather, the sightings were considered alongside expert evidence regarding the species’ known habitat use, the ecological characteristics of the surrounding wetland, and the continuity of those features over time. </w:t>
      </w:r>
    </w:p>
    <w:p w14:paraId="5873D66D" w14:textId="77777777" w:rsidR="0088713B" w:rsidRDefault="002735DE">
      <w:pPr>
        <w:numPr>
          <w:ilvl w:val="0"/>
          <w:numId w:val="3"/>
        </w:numPr>
        <w:pBdr>
          <w:top w:val="nil"/>
          <w:left w:val="nil"/>
          <w:bottom w:val="nil"/>
          <w:right w:val="nil"/>
          <w:between w:val="nil"/>
        </w:pBdr>
        <w:spacing w:line="360" w:lineRule="auto"/>
        <w:jc w:val="both"/>
      </w:pPr>
      <w:r>
        <w:t>Experts are entitled to draw inferences from observed facts and to rely on scientific knowledge and experience to interpret those facts (</w:t>
      </w:r>
      <w:r>
        <w:rPr>
          <w:i/>
          <w:iCs/>
        </w:rPr>
        <w:t>Abbey</w:t>
      </w:r>
      <w:r>
        <w:t xml:space="preserve">). In this case, the expert evidence contextualized the sightings within accepted ecological principles, enabling the TJ to assess whether the site functioned as a habitat. </w:t>
      </w:r>
    </w:p>
    <w:p w14:paraId="6EF5FD8B" w14:textId="77777777" w:rsidR="0088713B" w:rsidRDefault="002735DE">
      <w:pPr>
        <w:pBdr>
          <w:top w:val="nil"/>
          <w:left w:val="nil"/>
          <w:bottom w:val="nil"/>
          <w:right w:val="nil"/>
          <w:between w:val="nil"/>
        </w:pBdr>
        <w:spacing w:after="200"/>
        <w:jc w:val="both"/>
        <w:rPr>
          <w:sz w:val="20"/>
          <w:szCs w:val="20"/>
        </w:rPr>
      </w:pPr>
      <w:r>
        <w:tab/>
      </w:r>
      <w:r>
        <w:rPr>
          <w:i/>
          <w:iCs/>
          <w:sz w:val="20"/>
          <w:szCs w:val="20"/>
        </w:rPr>
        <w:t>R v Abbey</w:t>
      </w:r>
      <w:r>
        <w:rPr>
          <w:sz w:val="20"/>
          <w:szCs w:val="20"/>
        </w:rPr>
        <w:t>, 2009 ONCA 624 at para 71 [</w:t>
      </w:r>
      <w:r>
        <w:rPr>
          <w:i/>
          <w:iCs/>
          <w:sz w:val="20"/>
          <w:szCs w:val="20"/>
        </w:rPr>
        <w:t>Abbey</w:t>
      </w:r>
      <w:r>
        <w:rPr>
          <w:sz w:val="20"/>
          <w:szCs w:val="20"/>
        </w:rPr>
        <w:t>].</w:t>
      </w:r>
    </w:p>
    <w:p w14:paraId="6E0CB78D" w14:textId="77777777" w:rsidR="0088713B" w:rsidRDefault="002735DE">
      <w:pPr>
        <w:numPr>
          <w:ilvl w:val="0"/>
          <w:numId w:val="3"/>
        </w:numPr>
        <w:pBdr>
          <w:top w:val="nil"/>
          <w:left w:val="nil"/>
          <w:bottom w:val="nil"/>
          <w:right w:val="nil"/>
          <w:between w:val="nil"/>
        </w:pBdr>
        <w:spacing w:line="360" w:lineRule="auto"/>
        <w:jc w:val="both"/>
      </w:pPr>
      <w:r>
        <w:t xml:space="preserve">The OCJ did not identify a flaw in the admissibility or accuracy of the evidence relied upon by the TJ. Instead, the OCJ characterized that evidence as legally incapable of supporting a finding of habitat. In doing so, the OCJ substituted a question of legal relevance for one of evidentiary weight. </w:t>
      </w:r>
    </w:p>
    <w:p w14:paraId="78EA9860" w14:textId="77777777" w:rsidR="0088713B" w:rsidRDefault="0088713B">
      <w:pPr>
        <w:pBdr>
          <w:top w:val="nil"/>
          <w:left w:val="nil"/>
          <w:bottom w:val="nil"/>
          <w:right w:val="nil"/>
          <w:between w:val="nil"/>
        </w:pBdr>
        <w:spacing w:line="360" w:lineRule="auto"/>
        <w:jc w:val="both"/>
      </w:pPr>
    </w:p>
    <w:p w14:paraId="5AE49A54" w14:textId="77777777" w:rsidR="0088713B" w:rsidRDefault="002735DE">
      <w:pPr>
        <w:numPr>
          <w:ilvl w:val="2"/>
          <w:numId w:val="2"/>
        </w:numPr>
        <w:rPr>
          <w:i/>
          <w:iCs/>
        </w:rPr>
      </w:pPr>
      <w:r>
        <w:rPr>
          <w:i/>
          <w:iCs/>
        </w:rPr>
        <w:t xml:space="preserve">The OCJ Improperly Substituted a New Legal Threshold and Exceeded its Appellate Role </w:t>
      </w:r>
    </w:p>
    <w:p w14:paraId="0F01614F" w14:textId="77777777" w:rsidR="0088713B" w:rsidRDefault="0088713B">
      <w:pPr>
        <w:ind w:left="720"/>
        <w:rPr>
          <w:i/>
          <w:iCs/>
        </w:rPr>
      </w:pPr>
    </w:p>
    <w:p w14:paraId="42FED08B" w14:textId="77777777" w:rsidR="0088713B" w:rsidRDefault="002735DE">
      <w:pPr>
        <w:numPr>
          <w:ilvl w:val="0"/>
          <w:numId w:val="3"/>
        </w:numPr>
        <w:pBdr>
          <w:top w:val="nil"/>
          <w:left w:val="nil"/>
          <w:bottom w:val="nil"/>
          <w:right w:val="nil"/>
          <w:between w:val="nil"/>
        </w:pBdr>
        <w:spacing w:line="360" w:lineRule="auto"/>
        <w:jc w:val="both"/>
      </w:pPr>
      <w:r>
        <w:t>The OCJ’s intervention was not grounded in a palpable and overriding error by the TJ. Instead, the OCJ imposed a new legal threshold requiring contemporaneous, site-specific proof of habitat use, thereby exceeding the appropriate scope of appellate review.</w:t>
      </w:r>
    </w:p>
    <w:p w14:paraId="44932ADB" w14:textId="77777777" w:rsidR="0088713B" w:rsidRDefault="002735DE">
      <w:pPr>
        <w:numPr>
          <w:ilvl w:val="0"/>
          <w:numId w:val="3"/>
        </w:numPr>
        <w:pBdr>
          <w:top w:val="nil"/>
          <w:left w:val="nil"/>
          <w:bottom w:val="nil"/>
          <w:right w:val="nil"/>
          <w:between w:val="nil"/>
        </w:pBdr>
        <w:spacing w:line="360" w:lineRule="auto"/>
        <w:jc w:val="both"/>
      </w:pPr>
      <w:r>
        <w:t xml:space="preserve">As affirmed in </w:t>
      </w:r>
      <w:r>
        <w:rPr>
          <w:i/>
          <w:iCs/>
        </w:rPr>
        <w:t>Housen</w:t>
      </w:r>
      <w:r>
        <w:t xml:space="preserve"> and </w:t>
      </w:r>
      <w:r>
        <w:rPr>
          <w:i/>
          <w:iCs/>
        </w:rPr>
        <w:t>HL</w:t>
      </w:r>
      <w:r>
        <w:t>,  a TJ is entitled to draw reasonable inferences from the totality of the evidence and to assess the weight to be given to circumstantial and expert evidence. Absent a legal error, a TJ's determinations are owed deference.</w:t>
      </w:r>
    </w:p>
    <w:p w14:paraId="5CDFDC8A" w14:textId="77777777" w:rsidR="0088713B" w:rsidRDefault="002735DE">
      <w:pPr>
        <w:pBdr>
          <w:top w:val="nil"/>
          <w:left w:val="nil"/>
          <w:bottom w:val="nil"/>
          <w:right w:val="nil"/>
          <w:between w:val="nil"/>
        </w:pBdr>
        <w:ind w:firstLine="720"/>
        <w:jc w:val="both"/>
        <w:rPr>
          <w:sz w:val="20"/>
          <w:szCs w:val="20"/>
        </w:rPr>
      </w:pPr>
      <w:r>
        <w:rPr>
          <w:i/>
          <w:iCs/>
          <w:sz w:val="20"/>
          <w:szCs w:val="20"/>
        </w:rPr>
        <w:t>Housen, supra</w:t>
      </w:r>
      <w:r>
        <w:rPr>
          <w:sz w:val="20"/>
          <w:szCs w:val="20"/>
        </w:rPr>
        <w:t xml:space="preserve"> para 25</w:t>
      </w:r>
      <w:r>
        <w:rPr>
          <w:i/>
          <w:iCs/>
          <w:sz w:val="20"/>
          <w:szCs w:val="20"/>
        </w:rPr>
        <w:t xml:space="preserve"> </w:t>
      </w:r>
      <w:r>
        <w:rPr>
          <w:sz w:val="20"/>
          <w:szCs w:val="20"/>
        </w:rPr>
        <w:t xml:space="preserve">at para 22. </w:t>
      </w:r>
    </w:p>
    <w:p w14:paraId="131C70D4" w14:textId="77777777" w:rsidR="0088713B" w:rsidRDefault="002735DE">
      <w:pPr>
        <w:spacing w:after="200"/>
        <w:ind w:firstLine="720"/>
        <w:jc w:val="both"/>
      </w:pPr>
      <w:r>
        <w:rPr>
          <w:i/>
          <w:iCs/>
          <w:sz w:val="20"/>
          <w:szCs w:val="20"/>
        </w:rPr>
        <w:t>HL v Canada (Attorney General)</w:t>
      </w:r>
      <w:r>
        <w:rPr>
          <w:sz w:val="20"/>
          <w:szCs w:val="20"/>
        </w:rPr>
        <w:t>, 2005 SCC 25 at para 11 [</w:t>
      </w:r>
      <w:r>
        <w:rPr>
          <w:i/>
          <w:iCs/>
          <w:sz w:val="20"/>
          <w:szCs w:val="20"/>
        </w:rPr>
        <w:t>HL</w:t>
      </w:r>
      <w:r>
        <w:rPr>
          <w:sz w:val="20"/>
          <w:szCs w:val="20"/>
        </w:rPr>
        <w:t>].</w:t>
      </w:r>
    </w:p>
    <w:p w14:paraId="45212E90" w14:textId="77777777" w:rsidR="0088713B" w:rsidRDefault="002735DE">
      <w:pPr>
        <w:numPr>
          <w:ilvl w:val="0"/>
          <w:numId w:val="3"/>
        </w:numPr>
        <w:pBdr>
          <w:top w:val="nil"/>
          <w:left w:val="nil"/>
          <w:bottom w:val="nil"/>
          <w:right w:val="nil"/>
          <w:between w:val="nil"/>
        </w:pBdr>
        <w:spacing w:line="360" w:lineRule="auto"/>
        <w:jc w:val="both"/>
      </w:pPr>
      <w:r>
        <w:lastRenderedPageBreak/>
        <w:t>The TJ expressly accepted Mr. Snell as an expert in Blanding’s Turtle ecology. The OCJ did not identify an error in the admissibility of the sightings evidence, nor did it find the expert testimony to be unreliable. Rather, it held that the evidence could not, as a matter of law, establish habitat because it was temporarily remote or post-dated the offence. In doing so, the OCJ transformed a question of evidentiary weight into a question of legal relevance and impermissibly reweighted expert evidence rather</w:t>
      </w:r>
      <w:r>
        <w:t xml:space="preserve"> than identifying a legal error.</w:t>
      </w:r>
    </w:p>
    <w:p w14:paraId="250410F9" w14:textId="77777777" w:rsidR="0088713B" w:rsidRDefault="002735DE">
      <w:pPr>
        <w:numPr>
          <w:ilvl w:val="0"/>
          <w:numId w:val="3"/>
        </w:numPr>
        <w:pBdr>
          <w:top w:val="nil"/>
          <w:left w:val="nil"/>
          <w:bottom w:val="nil"/>
          <w:right w:val="nil"/>
          <w:between w:val="nil"/>
        </w:pBdr>
        <w:spacing w:line="360" w:lineRule="auto"/>
        <w:jc w:val="both"/>
      </w:pPr>
      <w:r>
        <w:t xml:space="preserve">As affirmed in </w:t>
      </w:r>
      <w:r>
        <w:rPr>
          <w:i/>
          <w:iCs/>
        </w:rPr>
        <w:t>JMH</w:t>
      </w:r>
      <w:r>
        <w:t>,</w:t>
      </w:r>
    </w:p>
    <w:p w14:paraId="280BDEF3" w14:textId="77777777" w:rsidR="0088713B" w:rsidRDefault="002735DE">
      <w:pPr>
        <w:pBdr>
          <w:top w:val="nil"/>
          <w:left w:val="nil"/>
          <w:bottom w:val="nil"/>
          <w:right w:val="nil"/>
          <w:between w:val="nil"/>
        </w:pBdr>
        <w:ind w:left="720" w:firstLine="720"/>
        <w:jc w:val="both"/>
        <w:rPr>
          <w:sz w:val="22"/>
          <w:szCs w:val="22"/>
        </w:rPr>
      </w:pPr>
      <w:r>
        <w:t>“It will be more difficult in an appeal from an acquittal to establish with certainty that the error committed by the trial judge raised a question of law alone because of the burden of proof on the Crown in all criminal prosecutions and the increased importance of examining critically all evidence that may raise a reasonable doubt”.</w:t>
      </w:r>
      <w:r>
        <w:rPr>
          <w:sz w:val="22"/>
          <w:szCs w:val="22"/>
        </w:rPr>
        <w:t xml:space="preserve"> </w:t>
      </w:r>
    </w:p>
    <w:p w14:paraId="6A74D67C" w14:textId="77777777" w:rsidR="0088713B" w:rsidRDefault="002735DE">
      <w:pPr>
        <w:spacing w:before="200" w:after="200"/>
        <w:ind w:firstLine="720"/>
        <w:jc w:val="both"/>
        <w:rPr>
          <w:sz w:val="20"/>
          <w:szCs w:val="20"/>
        </w:rPr>
      </w:pPr>
      <w:r>
        <w:rPr>
          <w:i/>
          <w:iCs/>
          <w:sz w:val="20"/>
          <w:szCs w:val="20"/>
        </w:rPr>
        <w:t>JMH, supra</w:t>
      </w:r>
      <w:r>
        <w:rPr>
          <w:sz w:val="20"/>
          <w:szCs w:val="20"/>
        </w:rPr>
        <w:t xml:space="preserve"> para 25</w:t>
      </w:r>
      <w:r>
        <w:rPr>
          <w:i/>
          <w:iCs/>
          <w:sz w:val="20"/>
          <w:szCs w:val="20"/>
        </w:rPr>
        <w:t xml:space="preserve"> </w:t>
      </w:r>
      <w:r>
        <w:rPr>
          <w:sz w:val="20"/>
          <w:szCs w:val="20"/>
        </w:rPr>
        <w:t xml:space="preserve">at para 29. </w:t>
      </w:r>
    </w:p>
    <w:p w14:paraId="1F553475" w14:textId="77777777" w:rsidR="0088713B" w:rsidRDefault="002735DE">
      <w:pPr>
        <w:numPr>
          <w:ilvl w:val="0"/>
          <w:numId w:val="3"/>
        </w:numPr>
        <w:pBdr>
          <w:top w:val="nil"/>
          <w:left w:val="nil"/>
          <w:bottom w:val="nil"/>
          <w:right w:val="nil"/>
          <w:between w:val="nil"/>
        </w:pBdr>
        <w:spacing w:line="360" w:lineRule="auto"/>
        <w:jc w:val="both"/>
      </w:pPr>
      <w:r>
        <w:t xml:space="preserve">Here, the TJ applied the correct legal principles. It was the OCJ that applied the wrong legal standard by excluding otherwise relevant evidence through the imposition of a novel legal requirement. </w:t>
      </w:r>
    </w:p>
    <w:p w14:paraId="22CA2514" w14:textId="77777777" w:rsidR="0088713B" w:rsidRDefault="002735DE">
      <w:pPr>
        <w:numPr>
          <w:ilvl w:val="0"/>
          <w:numId w:val="3"/>
        </w:numPr>
        <w:pBdr>
          <w:top w:val="nil"/>
          <w:left w:val="nil"/>
          <w:bottom w:val="nil"/>
          <w:right w:val="nil"/>
          <w:between w:val="nil"/>
        </w:pBdr>
        <w:spacing w:line="360" w:lineRule="auto"/>
        <w:jc w:val="both"/>
      </w:pPr>
      <w:r>
        <w:t xml:space="preserve">The </w:t>
      </w:r>
      <w:r>
        <w:rPr>
          <w:i/>
          <w:iCs/>
        </w:rPr>
        <w:t xml:space="preserve">ESA </w:t>
      </w:r>
      <w:r>
        <w:t xml:space="preserve">does not require direct observation of habitat use at the precise time of the alleged offence. Nor does it require proof tied exclusively to the specific parcel of land at issue. These requirements were introduced by the OCJ without statutory or jurisprudential support. </w:t>
      </w:r>
    </w:p>
    <w:p w14:paraId="3FFD2910" w14:textId="77777777" w:rsidR="0088713B" w:rsidRDefault="002735DE">
      <w:pPr>
        <w:numPr>
          <w:ilvl w:val="0"/>
          <w:numId w:val="3"/>
        </w:numPr>
        <w:pBdr>
          <w:top w:val="nil"/>
          <w:left w:val="nil"/>
          <w:bottom w:val="nil"/>
          <w:right w:val="nil"/>
          <w:between w:val="nil"/>
        </w:pBdr>
        <w:spacing w:line="360" w:lineRule="auto"/>
        <w:jc w:val="both"/>
      </w:pPr>
      <w:r>
        <w:t>As the SCC cautioned in (</w:t>
      </w:r>
      <w:r>
        <w:rPr>
          <w:i/>
          <w:iCs/>
        </w:rPr>
        <w:t>Housen</w:t>
      </w:r>
      <w:r>
        <w:t xml:space="preserve">), appellate courts must not substitute their own view of evidence at trial for that of the TJ, absent an error of law or a palpable and overriding error of fact. </w:t>
      </w:r>
    </w:p>
    <w:p w14:paraId="6E1D1883" w14:textId="77777777" w:rsidR="0088713B" w:rsidRDefault="002735DE">
      <w:pPr>
        <w:spacing w:line="360" w:lineRule="auto"/>
        <w:ind w:firstLine="720"/>
        <w:jc w:val="both"/>
        <w:rPr>
          <w:sz w:val="20"/>
          <w:szCs w:val="20"/>
        </w:rPr>
      </w:pPr>
      <w:r>
        <w:rPr>
          <w:i/>
          <w:iCs/>
          <w:sz w:val="20"/>
          <w:szCs w:val="20"/>
        </w:rPr>
        <w:t>Housen, supra</w:t>
      </w:r>
      <w:r>
        <w:rPr>
          <w:sz w:val="20"/>
          <w:szCs w:val="20"/>
        </w:rPr>
        <w:t xml:space="preserve"> para 25</w:t>
      </w:r>
      <w:r>
        <w:rPr>
          <w:i/>
          <w:iCs/>
          <w:sz w:val="20"/>
          <w:szCs w:val="20"/>
        </w:rPr>
        <w:t xml:space="preserve"> </w:t>
      </w:r>
      <w:r>
        <w:rPr>
          <w:sz w:val="20"/>
          <w:szCs w:val="20"/>
        </w:rPr>
        <w:t>at para 3.</w:t>
      </w:r>
    </w:p>
    <w:p w14:paraId="6D42414A" w14:textId="77777777" w:rsidR="0088713B" w:rsidRDefault="002735DE">
      <w:pPr>
        <w:numPr>
          <w:ilvl w:val="0"/>
          <w:numId w:val="3"/>
        </w:numPr>
        <w:pBdr>
          <w:top w:val="nil"/>
          <w:left w:val="nil"/>
          <w:bottom w:val="nil"/>
          <w:right w:val="nil"/>
          <w:between w:val="nil"/>
        </w:pBdr>
        <w:spacing w:line="360" w:lineRule="auto"/>
        <w:jc w:val="both"/>
      </w:pPr>
      <w:r>
        <w:t xml:space="preserve">By redefining what evidence may be relied upon to establish habitat, the OCJ displaced the TJ’s fact-finding role and imposed a legal constraint inconsistent with the </w:t>
      </w:r>
      <w:r>
        <w:rPr>
          <w:i/>
          <w:iCs/>
        </w:rPr>
        <w:t xml:space="preserve">ESA. </w:t>
      </w:r>
      <w:r>
        <w:t xml:space="preserve">That error warrants intervention by the SEMCC. </w:t>
      </w:r>
    </w:p>
    <w:p w14:paraId="21CF9CB6" w14:textId="77777777" w:rsidR="0088713B" w:rsidRDefault="002735DE">
      <w:pPr>
        <w:pStyle w:val="Heading2"/>
        <w:numPr>
          <w:ilvl w:val="1"/>
          <w:numId w:val="1"/>
        </w:numPr>
        <w:spacing w:before="0" w:after="200"/>
        <w:rPr>
          <w:i w:val="0"/>
          <w:iCs w:val="0"/>
          <w:sz w:val="24"/>
          <w:szCs w:val="24"/>
        </w:rPr>
      </w:pPr>
      <w:bookmarkStart w:id="11" w:name="_heading=h.7elwpkkjxbdv" w:colFirst="0" w:colLast="0"/>
      <w:bookmarkEnd w:id="11"/>
      <w:r>
        <w:rPr>
          <w:rFonts w:ascii="Times New Roman" w:eastAsia="Times New Roman" w:hAnsi="Times New Roman" w:cs="Times New Roman"/>
          <w:i w:val="0"/>
          <w:iCs w:val="0"/>
          <w:sz w:val="24"/>
          <w:szCs w:val="24"/>
        </w:rPr>
        <w:t>ISSUE 2: THE OCJ ERR BY FINDING THAT IT WAS AN ERROR FOR THE TRIAL JUSTICE TO RELY ON THE “GENERAL HABITAT DESCRIPTION FOR THE BLANDING’S TURTLE”.</w:t>
      </w:r>
    </w:p>
    <w:p w14:paraId="34BBAA17" w14:textId="77777777" w:rsidR="0088713B" w:rsidRDefault="002735DE">
      <w:pPr>
        <w:pStyle w:val="Heading3"/>
        <w:keepNext w:val="0"/>
        <w:numPr>
          <w:ilvl w:val="0"/>
          <w:numId w:val="3"/>
        </w:numPr>
        <w:spacing w:before="200" w:after="80" w:line="360" w:lineRule="auto"/>
        <w:jc w:val="both"/>
        <w:rPr>
          <w:rFonts w:ascii="Times New Roman" w:eastAsia="Times New Roman" w:hAnsi="Times New Roman" w:cs="Times New Roman"/>
          <w:b w:val="0"/>
          <w:bCs w:val="0"/>
        </w:rPr>
      </w:pPr>
      <w:bookmarkStart w:id="12" w:name="_heading=h.733mpfj0ure8" w:colFirst="0" w:colLast="0"/>
      <w:bookmarkEnd w:id="12"/>
      <w:r>
        <w:rPr>
          <w:rFonts w:ascii="Times New Roman" w:eastAsia="Times New Roman" w:hAnsi="Times New Roman" w:cs="Times New Roman"/>
          <w:b w:val="0"/>
          <w:bCs w:val="0"/>
          <w:sz w:val="24"/>
          <w:szCs w:val="24"/>
        </w:rPr>
        <w:t xml:space="preserve">Yes, the OCJ erred in law by finding that it was an error for the TJ to rely on the GHD for the Blanding’s Turtle on the grounds that the document is “not a legal instrument” and “not a legal document”. </w:t>
      </w:r>
    </w:p>
    <w:p w14:paraId="1E790222" w14:textId="77777777" w:rsidR="0088713B" w:rsidRDefault="002735DE">
      <w:pPr>
        <w:spacing w:after="200"/>
        <w:rPr>
          <w:sz w:val="20"/>
          <w:szCs w:val="20"/>
        </w:rPr>
      </w:pPr>
      <w:r>
        <w:tab/>
      </w:r>
      <w:r>
        <w:rPr>
          <w:i/>
          <w:iCs/>
          <w:sz w:val="20"/>
          <w:szCs w:val="20"/>
        </w:rPr>
        <w:t>R v Consolidated Homes Ltd</w:t>
      </w:r>
      <w:r>
        <w:rPr>
          <w:sz w:val="20"/>
          <w:szCs w:val="20"/>
        </w:rPr>
        <w:t>, 2025 ONCA 41 at para 44 [</w:t>
      </w:r>
      <w:r>
        <w:rPr>
          <w:i/>
          <w:iCs/>
          <w:sz w:val="20"/>
          <w:szCs w:val="20"/>
        </w:rPr>
        <w:t>Consolidated Homes</w:t>
      </w:r>
      <w:r>
        <w:rPr>
          <w:sz w:val="20"/>
          <w:szCs w:val="20"/>
        </w:rPr>
        <w:t>].</w:t>
      </w:r>
    </w:p>
    <w:p w14:paraId="23539AA9" w14:textId="77777777" w:rsidR="0088713B" w:rsidRDefault="002735DE">
      <w:pPr>
        <w:numPr>
          <w:ilvl w:val="0"/>
          <w:numId w:val="3"/>
        </w:numPr>
        <w:spacing w:line="360" w:lineRule="auto"/>
        <w:jc w:val="both"/>
      </w:pPr>
      <w:r>
        <w:lastRenderedPageBreak/>
        <w:t xml:space="preserve">The question of whether the TJ was entitled to rely on a non-binding scientific document in determining the existence of habitat is a question of law reviewable on a correctness standard. </w:t>
      </w:r>
    </w:p>
    <w:p w14:paraId="596103BC" w14:textId="77777777" w:rsidR="0088713B" w:rsidRDefault="002735DE">
      <w:pPr>
        <w:pStyle w:val="Heading3"/>
        <w:numPr>
          <w:ilvl w:val="2"/>
          <w:numId w:val="1"/>
        </w:numPr>
        <w:spacing w:before="0" w:after="0" w:line="360" w:lineRule="auto"/>
        <w:rPr>
          <w:i/>
          <w:iCs/>
          <w:sz w:val="24"/>
          <w:szCs w:val="24"/>
        </w:rPr>
      </w:pPr>
      <w:bookmarkStart w:id="13" w:name="_heading=h.aq84r6oqdkpw" w:colFirst="0" w:colLast="0"/>
      <w:bookmarkEnd w:id="13"/>
      <w:r>
        <w:rPr>
          <w:rFonts w:ascii="Times New Roman" w:eastAsia="Times New Roman" w:hAnsi="Times New Roman" w:cs="Times New Roman"/>
          <w:b w:val="0"/>
          <w:bCs w:val="0"/>
          <w:i/>
          <w:iCs/>
          <w:sz w:val="24"/>
          <w:szCs w:val="24"/>
        </w:rPr>
        <w:t xml:space="preserve">The OCJ Erred by Treating Legal Force as a Precondition to Evidentiary Relevance </w:t>
      </w:r>
    </w:p>
    <w:p w14:paraId="79D921EE" w14:textId="77777777" w:rsidR="0088713B" w:rsidRDefault="002735DE">
      <w:pPr>
        <w:numPr>
          <w:ilvl w:val="0"/>
          <w:numId w:val="3"/>
        </w:numPr>
        <w:pBdr>
          <w:top w:val="nil"/>
          <w:left w:val="nil"/>
          <w:bottom w:val="nil"/>
          <w:right w:val="nil"/>
          <w:between w:val="nil"/>
        </w:pBdr>
        <w:spacing w:line="360" w:lineRule="auto"/>
        <w:jc w:val="both"/>
      </w:pPr>
      <w:r>
        <w:t xml:space="preserve">The OCJ erred in law by concluding that the GHD was irrelevant because it is “not a legal instrument” or a “legal document”. That reasoning improperly conflates legal force with evidentiary relevance and imposes a constraint that is unsupported by the </w:t>
      </w:r>
      <w:r>
        <w:rPr>
          <w:i/>
          <w:iCs/>
        </w:rPr>
        <w:t>ESA</w:t>
      </w:r>
      <w:r>
        <w:t xml:space="preserve"> or by evidentiary principles. </w:t>
      </w:r>
    </w:p>
    <w:p w14:paraId="19F7911D" w14:textId="77777777" w:rsidR="0088713B" w:rsidRDefault="002735DE">
      <w:pPr>
        <w:numPr>
          <w:ilvl w:val="0"/>
          <w:numId w:val="3"/>
        </w:numPr>
        <w:spacing w:line="360" w:lineRule="auto"/>
        <w:jc w:val="both"/>
      </w:pPr>
      <w:r>
        <w:t>Experts may rely on external materials and background information in forming and explaining their opinions, with any concerns about reliability or authority influencing  weight rather than admissibility (</w:t>
      </w:r>
      <w:r>
        <w:rPr>
          <w:i/>
          <w:iCs/>
        </w:rPr>
        <w:t>Abbey</w:t>
      </w:r>
      <w:r>
        <w:t>).</w:t>
      </w:r>
    </w:p>
    <w:p w14:paraId="4986BD82" w14:textId="77777777" w:rsidR="0088713B" w:rsidRDefault="002735DE">
      <w:pPr>
        <w:pBdr>
          <w:top w:val="nil"/>
          <w:left w:val="nil"/>
          <w:bottom w:val="nil"/>
          <w:right w:val="nil"/>
          <w:between w:val="nil"/>
        </w:pBdr>
        <w:spacing w:line="360" w:lineRule="auto"/>
        <w:ind w:firstLine="720"/>
        <w:jc w:val="both"/>
        <w:rPr>
          <w:sz w:val="20"/>
          <w:szCs w:val="20"/>
        </w:rPr>
      </w:pPr>
      <w:r>
        <w:rPr>
          <w:i/>
          <w:iCs/>
          <w:sz w:val="20"/>
          <w:szCs w:val="20"/>
        </w:rPr>
        <w:t>Abbey, supra</w:t>
      </w:r>
      <w:r>
        <w:rPr>
          <w:sz w:val="20"/>
          <w:szCs w:val="20"/>
        </w:rPr>
        <w:t xml:space="preserve"> para 42</w:t>
      </w:r>
      <w:r>
        <w:rPr>
          <w:i/>
          <w:iCs/>
          <w:sz w:val="20"/>
          <w:szCs w:val="20"/>
        </w:rPr>
        <w:t xml:space="preserve"> </w:t>
      </w:r>
      <w:r>
        <w:rPr>
          <w:sz w:val="20"/>
          <w:szCs w:val="20"/>
        </w:rPr>
        <w:t>at para 62.</w:t>
      </w:r>
    </w:p>
    <w:p w14:paraId="5120F200" w14:textId="77777777" w:rsidR="0088713B" w:rsidRDefault="002735DE">
      <w:pPr>
        <w:numPr>
          <w:ilvl w:val="0"/>
          <w:numId w:val="3"/>
        </w:numPr>
        <w:spacing w:line="360" w:lineRule="auto"/>
        <w:jc w:val="both"/>
      </w:pPr>
      <w:r>
        <w:t xml:space="preserve">Courts routinely rely on non-binding materials, including policy documents, guidelines, and scientific summaries, as contextual or background evidence. The absence of legal force does not render such materials irrelevant; at most, it may affect the weight ultimately assigned to them. </w:t>
      </w:r>
    </w:p>
    <w:p w14:paraId="77F0D8AA" w14:textId="77777777" w:rsidR="0088713B" w:rsidRDefault="002735DE">
      <w:pPr>
        <w:numPr>
          <w:ilvl w:val="0"/>
          <w:numId w:val="3"/>
        </w:numPr>
        <w:pBdr>
          <w:top w:val="nil"/>
          <w:left w:val="nil"/>
          <w:bottom w:val="nil"/>
          <w:right w:val="nil"/>
          <w:between w:val="nil"/>
        </w:pBdr>
        <w:spacing w:line="360" w:lineRule="auto"/>
        <w:jc w:val="both"/>
      </w:pPr>
      <w:r>
        <w:t>The OCJ did not suggest that the GHD was inaccurate, unreliable, or irrelevant to the biology of the Blanding’s Turtle. Its sole basis for excluding the document was that it lacked legal status. That is not a recognized basis for treating evidence as incapable of consideration.</w:t>
      </w:r>
    </w:p>
    <w:p w14:paraId="6DB4FCD2" w14:textId="77777777" w:rsidR="0088713B" w:rsidRDefault="002735DE">
      <w:pPr>
        <w:numPr>
          <w:ilvl w:val="0"/>
          <w:numId w:val="3"/>
        </w:numPr>
        <w:pBdr>
          <w:top w:val="nil"/>
          <w:left w:val="nil"/>
          <w:bottom w:val="nil"/>
          <w:right w:val="nil"/>
          <w:between w:val="nil"/>
        </w:pBdr>
        <w:spacing w:line="360" w:lineRule="auto"/>
        <w:jc w:val="both"/>
      </w:pPr>
      <w:r>
        <w:t xml:space="preserve">Nothing in the </w:t>
      </w:r>
      <w:r>
        <w:rPr>
          <w:i/>
          <w:iCs/>
        </w:rPr>
        <w:t>ESA</w:t>
      </w:r>
      <w:r>
        <w:t xml:space="preserve"> requires that the existence or scope of habitat be determined solely by reference to regulations or legally binding instruments. The statute employs open-textured language and reliance on scientific content and guidelines is sometimes necessary to give context to legal and ecological concepts such as “habitat”.</w:t>
      </w:r>
    </w:p>
    <w:p w14:paraId="53540949" w14:textId="77777777" w:rsidR="0088713B" w:rsidRDefault="002735DE">
      <w:pPr>
        <w:pBdr>
          <w:top w:val="nil"/>
          <w:left w:val="nil"/>
          <w:bottom w:val="nil"/>
          <w:right w:val="nil"/>
          <w:between w:val="nil"/>
        </w:pBdr>
        <w:spacing w:line="360" w:lineRule="auto"/>
        <w:jc w:val="both"/>
        <w:rPr>
          <w:sz w:val="20"/>
          <w:szCs w:val="20"/>
        </w:rPr>
      </w:pPr>
      <w:r>
        <w:rPr>
          <w:sz w:val="20"/>
          <w:szCs w:val="20"/>
        </w:rPr>
        <w:tab/>
      </w:r>
      <w:r>
        <w:rPr>
          <w:i/>
          <w:iCs/>
          <w:sz w:val="20"/>
          <w:szCs w:val="20"/>
        </w:rPr>
        <w:t>Baker v Canada</w:t>
      </w:r>
      <w:r>
        <w:rPr>
          <w:sz w:val="20"/>
          <w:szCs w:val="20"/>
        </w:rPr>
        <w:t>, 1999 CanLII 699 at para 72 (SCC) [</w:t>
      </w:r>
      <w:r>
        <w:rPr>
          <w:i/>
          <w:iCs/>
          <w:sz w:val="20"/>
          <w:szCs w:val="20"/>
        </w:rPr>
        <w:t>Baker</w:t>
      </w:r>
      <w:r>
        <w:rPr>
          <w:sz w:val="20"/>
          <w:szCs w:val="20"/>
        </w:rPr>
        <w:t>].</w:t>
      </w:r>
    </w:p>
    <w:p w14:paraId="59F51F3E" w14:textId="77777777" w:rsidR="0088713B" w:rsidRDefault="002735DE">
      <w:pPr>
        <w:numPr>
          <w:ilvl w:val="0"/>
          <w:numId w:val="3"/>
        </w:numPr>
        <w:pBdr>
          <w:top w:val="nil"/>
          <w:left w:val="nil"/>
          <w:bottom w:val="nil"/>
          <w:right w:val="nil"/>
          <w:between w:val="nil"/>
        </w:pBdr>
        <w:spacing w:line="360" w:lineRule="auto"/>
        <w:jc w:val="both"/>
      </w:pPr>
      <w:r>
        <w:t>The error identified by the OCJ lies not in how the TJ used the GHD, but in the OCJ’s assumption that the document was legally irrelevant altogether because it lacked binding legal force. That assumption is incorrect. The TJ relied on the GHD as contextual scientific evidence to inform the application of the statutory definition of habitat, not as determinative of the legal test.</w:t>
      </w:r>
    </w:p>
    <w:p w14:paraId="2BBC72AE" w14:textId="77777777" w:rsidR="0088713B" w:rsidRDefault="0088713B">
      <w:pPr>
        <w:pBdr>
          <w:top w:val="nil"/>
          <w:left w:val="nil"/>
          <w:bottom w:val="nil"/>
          <w:right w:val="nil"/>
          <w:between w:val="nil"/>
        </w:pBdr>
        <w:spacing w:line="360" w:lineRule="auto"/>
        <w:jc w:val="both"/>
      </w:pPr>
    </w:p>
    <w:p w14:paraId="778838ED" w14:textId="77777777" w:rsidR="0088713B" w:rsidRDefault="002735DE">
      <w:pPr>
        <w:pStyle w:val="Heading3"/>
        <w:numPr>
          <w:ilvl w:val="2"/>
          <w:numId w:val="1"/>
        </w:numPr>
        <w:spacing w:before="0" w:after="0"/>
        <w:rPr>
          <w:i/>
          <w:iCs/>
        </w:rPr>
      </w:pPr>
      <w:bookmarkStart w:id="14" w:name="_heading=h.tkkiz462f7py" w:colFirst="0" w:colLast="0"/>
      <w:bookmarkEnd w:id="14"/>
      <w:r>
        <w:rPr>
          <w:rFonts w:ascii="Times New Roman" w:eastAsia="Times New Roman" w:hAnsi="Times New Roman" w:cs="Times New Roman"/>
          <w:b w:val="0"/>
          <w:bCs w:val="0"/>
          <w:i/>
          <w:iCs/>
          <w:sz w:val="24"/>
          <w:szCs w:val="24"/>
        </w:rPr>
        <w:t>The Trial Justice Relied on the General Habitat Description as Contextual Scientific Evidence, Not as Law</w:t>
      </w:r>
    </w:p>
    <w:p w14:paraId="3FFCD362" w14:textId="77777777" w:rsidR="0088713B" w:rsidRDefault="0088713B">
      <w:pPr>
        <w:ind w:left="720"/>
      </w:pPr>
    </w:p>
    <w:p w14:paraId="61463708" w14:textId="77777777" w:rsidR="0088713B" w:rsidRDefault="002735DE">
      <w:pPr>
        <w:numPr>
          <w:ilvl w:val="0"/>
          <w:numId w:val="3"/>
        </w:numPr>
        <w:spacing w:line="360" w:lineRule="auto"/>
        <w:jc w:val="both"/>
      </w:pPr>
      <w:r>
        <w:t xml:space="preserve">The TJ did not treat the GHD as determinative of the legal meaning of “habitat”, nor as a source of binding obligations. Rather, the GHD was used as contextual scientific evidence to assist </w:t>
      </w:r>
      <w:r>
        <w:lastRenderedPageBreak/>
        <w:t xml:space="preserve">in understanding the ecological characteristics and life processes of the Blanding’s Turtle, and to assess whether the disturbed area functioned as a habitat within the meaning of the </w:t>
      </w:r>
      <w:r>
        <w:rPr>
          <w:i/>
          <w:iCs/>
        </w:rPr>
        <w:t>ESA</w:t>
      </w:r>
      <w:r>
        <w:t>.</w:t>
      </w:r>
    </w:p>
    <w:p w14:paraId="5DBA2557" w14:textId="77777777" w:rsidR="0088713B" w:rsidRDefault="002735DE">
      <w:pPr>
        <w:numPr>
          <w:ilvl w:val="0"/>
          <w:numId w:val="3"/>
        </w:numPr>
        <w:spacing w:line="360" w:lineRule="auto"/>
        <w:jc w:val="both"/>
      </w:pPr>
      <w:r>
        <w:t xml:space="preserve">The GHD formed part of a broader evidentiary matrix that included other evidence: expert testimony, ecological features of the site, and sightings evidence. It provided general information about habitat features commonly relied upon by the species, such as wetland adjacency, vegetative cover, and buffer zones that support movement, thermoregulation, and protection from predators. </w:t>
      </w:r>
    </w:p>
    <w:p w14:paraId="493768F9" w14:textId="77777777" w:rsidR="0088713B" w:rsidRDefault="002735DE">
      <w:pPr>
        <w:numPr>
          <w:ilvl w:val="0"/>
          <w:numId w:val="3"/>
        </w:numPr>
        <w:spacing w:line="360" w:lineRule="auto"/>
        <w:jc w:val="both"/>
      </w:pPr>
      <w:r>
        <w:t xml:space="preserve">The TJ did not substitute the GHD for the statutory definition of habitat. The Court expressly applied sections 2 and 10 of the </w:t>
      </w:r>
      <w:r>
        <w:rPr>
          <w:i/>
          <w:iCs/>
        </w:rPr>
        <w:t>ESA</w:t>
      </w:r>
      <w:r>
        <w:t xml:space="preserve"> and assessed whether, on the evidence as a whole, the area in question was one on which the species depended to carry on its life processes. </w:t>
      </w:r>
    </w:p>
    <w:p w14:paraId="6DC307A6" w14:textId="77777777" w:rsidR="0088713B" w:rsidRDefault="002735DE">
      <w:pPr>
        <w:numPr>
          <w:ilvl w:val="0"/>
          <w:numId w:val="3"/>
        </w:numPr>
        <w:spacing w:line="360" w:lineRule="auto"/>
        <w:jc w:val="both"/>
      </w:pPr>
      <w:r>
        <w:t>It is well established that experts may rely on background scientific materials in forming and explaining their opinions, with any concerns about the scope or generality of those materials going to weight rather than admissibility (</w:t>
      </w:r>
      <w:r>
        <w:rPr>
          <w:i/>
          <w:iCs/>
        </w:rPr>
        <w:t>Abbey</w:t>
      </w:r>
      <w:r>
        <w:t>).</w:t>
      </w:r>
    </w:p>
    <w:p w14:paraId="6E095A6C" w14:textId="77777777" w:rsidR="0088713B" w:rsidRDefault="002735DE">
      <w:pPr>
        <w:spacing w:line="360" w:lineRule="auto"/>
        <w:jc w:val="both"/>
        <w:rPr>
          <w:sz w:val="20"/>
          <w:szCs w:val="20"/>
        </w:rPr>
      </w:pPr>
      <w:r>
        <w:tab/>
      </w:r>
      <w:r>
        <w:rPr>
          <w:i/>
          <w:iCs/>
          <w:sz w:val="20"/>
          <w:szCs w:val="20"/>
        </w:rPr>
        <w:t>Abbey, supra</w:t>
      </w:r>
      <w:r>
        <w:rPr>
          <w:sz w:val="20"/>
          <w:szCs w:val="20"/>
        </w:rPr>
        <w:t xml:space="preserve"> para 42</w:t>
      </w:r>
      <w:r>
        <w:rPr>
          <w:i/>
          <w:iCs/>
          <w:sz w:val="20"/>
          <w:szCs w:val="20"/>
        </w:rPr>
        <w:t xml:space="preserve"> </w:t>
      </w:r>
      <w:r>
        <w:rPr>
          <w:sz w:val="20"/>
          <w:szCs w:val="20"/>
        </w:rPr>
        <w:t>at para 71.</w:t>
      </w:r>
    </w:p>
    <w:p w14:paraId="77DEC975" w14:textId="77777777" w:rsidR="0088713B" w:rsidRDefault="002735DE">
      <w:pPr>
        <w:numPr>
          <w:ilvl w:val="0"/>
          <w:numId w:val="3"/>
        </w:numPr>
        <w:spacing w:line="360" w:lineRule="auto"/>
        <w:jc w:val="both"/>
      </w:pPr>
      <w:r>
        <w:t xml:space="preserve">The OCJ did not find that the TJ misapplied the statutory test or treated the GHD as legally binding. Instead, it excluded the document altogether on the basis that it lacked legal force. That approach misconstrues the role the GHD played in the TJ’s reasoning and amounts to a categorical rejection of contextual scientific evidence. </w:t>
      </w:r>
    </w:p>
    <w:p w14:paraId="38E380D2" w14:textId="77777777" w:rsidR="0088713B" w:rsidRDefault="002735DE">
      <w:pPr>
        <w:numPr>
          <w:ilvl w:val="0"/>
          <w:numId w:val="3"/>
        </w:numPr>
        <w:spacing w:line="360" w:lineRule="auto"/>
        <w:jc w:val="both"/>
      </w:pPr>
      <w:r>
        <w:t xml:space="preserve">The </w:t>
      </w:r>
      <w:r>
        <w:rPr>
          <w:i/>
          <w:iCs/>
        </w:rPr>
        <w:t>ESA</w:t>
      </w:r>
      <w:r>
        <w:t xml:space="preserve"> employs ecological concepts that cannot be understood in isolation from scientific context. Permitting trial courts to consider GHDs as contextual evidence is consistent with the statute’s reliance on the best available scientific information as well as the </w:t>
      </w:r>
      <w:r>
        <w:rPr>
          <w:i/>
          <w:iCs/>
        </w:rPr>
        <w:t>ESA’</w:t>
      </w:r>
      <w:r>
        <w:t xml:space="preserve">s precautionary, preventive purpose. </w:t>
      </w:r>
    </w:p>
    <w:p w14:paraId="0AD1C0C0" w14:textId="77777777" w:rsidR="0088713B" w:rsidRDefault="002735DE">
      <w:pPr>
        <w:numPr>
          <w:ilvl w:val="0"/>
          <w:numId w:val="3"/>
        </w:numPr>
        <w:spacing w:line="360" w:lineRule="auto"/>
        <w:jc w:val="both"/>
      </w:pPr>
      <w:r>
        <w:t xml:space="preserve">By relying on the GHD as contextual scientific evidence rather than as law, the TJ acted within the scope of permissible fact-finding. The OCJ’s contrary conclusion rests on a misunderstanding of both the TJ’s reasoning and the proper role of non-binding scientific materials in environmental prosecutions. </w:t>
      </w:r>
    </w:p>
    <w:p w14:paraId="2BDC2BAA" w14:textId="77777777" w:rsidR="0088713B" w:rsidRDefault="002735DE">
      <w:pPr>
        <w:pStyle w:val="Heading3"/>
        <w:numPr>
          <w:ilvl w:val="2"/>
          <w:numId w:val="1"/>
        </w:numPr>
        <w:spacing w:before="0" w:after="0" w:line="360" w:lineRule="auto"/>
        <w:rPr>
          <w:i/>
          <w:iCs/>
        </w:rPr>
      </w:pPr>
      <w:bookmarkStart w:id="15" w:name="_heading=h.sepk8d9kadsq" w:colFirst="0" w:colLast="0"/>
      <w:bookmarkEnd w:id="15"/>
      <w:r>
        <w:rPr>
          <w:rFonts w:ascii="Times New Roman" w:eastAsia="Times New Roman" w:hAnsi="Times New Roman" w:cs="Times New Roman"/>
          <w:b w:val="0"/>
          <w:bCs w:val="0"/>
          <w:i/>
          <w:iCs/>
          <w:sz w:val="24"/>
          <w:szCs w:val="24"/>
        </w:rPr>
        <w:t>Excluding Scientific Guidance Undermines the Statutory Scheme and Purpose of the ESA</w:t>
      </w:r>
    </w:p>
    <w:p w14:paraId="3883EF27" w14:textId="77777777" w:rsidR="0088713B" w:rsidRDefault="002735DE">
      <w:pPr>
        <w:numPr>
          <w:ilvl w:val="0"/>
          <w:numId w:val="3"/>
        </w:numPr>
        <w:spacing w:line="360" w:lineRule="auto"/>
        <w:jc w:val="both"/>
      </w:pPr>
      <w:r>
        <w:t xml:space="preserve">The </w:t>
      </w:r>
      <w:r>
        <w:rPr>
          <w:i/>
          <w:iCs/>
        </w:rPr>
        <w:t>ESA</w:t>
      </w:r>
      <w:r>
        <w:t xml:space="preserve"> is designed to operate in a scientific and ecological context. The </w:t>
      </w:r>
      <w:r>
        <w:rPr>
          <w:i/>
          <w:iCs/>
        </w:rPr>
        <w:t>ESA</w:t>
      </w:r>
      <w:r>
        <w:t xml:space="preserve">’s protections depend on the ability of courts to assess habitat based on the best available scientific information, even where that information is not embodied in binding legal instruments. Excluding non-binding scientific guidance from consideration frustrates the statutory scheme and undermines the </w:t>
      </w:r>
      <w:r>
        <w:rPr>
          <w:i/>
          <w:iCs/>
        </w:rPr>
        <w:t>ESA</w:t>
      </w:r>
      <w:r>
        <w:t xml:space="preserve">’s preventive and remedial purpose. </w:t>
      </w:r>
    </w:p>
    <w:p w14:paraId="387A6F34" w14:textId="77777777" w:rsidR="0088713B" w:rsidRDefault="002735DE">
      <w:pPr>
        <w:numPr>
          <w:ilvl w:val="0"/>
          <w:numId w:val="3"/>
        </w:numPr>
        <w:spacing w:line="360" w:lineRule="auto"/>
        <w:jc w:val="both"/>
      </w:pPr>
      <w:r>
        <w:lastRenderedPageBreak/>
        <w:t xml:space="preserve">The </w:t>
      </w:r>
      <w:r>
        <w:rPr>
          <w:i/>
          <w:iCs/>
        </w:rPr>
        <w:t>ESA</w:t>
      </w:r>
      <w:r>
        <w:t xml:space="preserve"> intentionally employs open-textured terms such as “habitat”, “dependence”, and “life processes”. These concepts cannot be applied meaningfully without reference to ecological knowledge. Scientific guidance documents, such as GHDs, provide the contextual framework necessary for courts to give practical effect to the statutory definition.</w:t>
      </w:r>
    </w:p>
    <w:p w14:paraId="4C08F508" w14:textId="77777777" w:rsidR="0088713B" w:rsidRDefault="002735DE">
      <w:pPr>
        <w:numPr>
          <w:ilvl w:val="0"/>
          <w:numId w:val="3"/>
        </w:numPr>
        <w:spacing w:line="360" w:lineRule="auto"/>
        <w:jc w:val="both"/>
      </w:pPr>
      <w:r>
        <w:t>The SCC has repeatedly affirmed that environmental protection legislation must be interpreted in a precautionary and purposive manner, informed by scientific understanding rather constrained by evidentiary formalism (</w:t>
      </w:r>
      <w:r>
        <w:rPr>
          <w:i/>
          <w:iCs/>
        </w:rPr>
        <w:t>Spraytech</w:t>
      </w:r>
      <w:r>
        <w:t xml:space="preserve">). An approach that excludes non-binding scientific guidance because it lacks legal force is inconsistent with </w:t>
      </w:r>
      <w:r>
        <w:rPr>
          <w:i/>
          <w:iCs/>
        </w:rPr>
        <w:t>Spraytech</w:t>
      </w:r>
      <w:r>
        <w:t xml:space="preserve">’s directive and risks undermining the preventive objectives of the </w:t>
      </w:r>
      <w:r>
        <w:rPr>
          <w:i/>
          <w:iCs/>
        </w:rPr>
        <w:t>ESA</w:t>
      </w:r>
      <w:r>
        <w:t>.</w:t>
      </w:r>
    </w:p>
    <w:p w14:paraId="0EAD1744" w14:textId="77777777" w:rsidR="0088713B" w:rsidRDefault="002735DE">
      <w:pPr>
        <w:spacing w:after="200"/>
        <w:ind w:left="720"/>
        <w:rPr>
          <w:sz w:val="20"/>
          <w:szCs w:val="20"/>
        </w:rPr>
      </w:pPr>
      <w:r>
        <w:rPr>
          <w:i/>
          <w:iCs/>
          <w:sz w:val="20"/>
          <w:szCs w:val="20"/>
        </w:rPr>
        <w:t>114957 Canada Ltée (Spraytech, Société d’arrosage) v Hudson (Town)</w:t>
      </w:r>
      <w:r>
        <w:rPr>
          <w:sz w:val="20"/>
          <w:szCs w:val="20"/>
        </w:rPr>
        <w:t>, 2001 SCC 40 at para 31 [</w:t>
      </w:r>
      <w:r>
        <w:rPr>
          <w:i/>
          <w:iCs/>
          <w:sz w:val="20"/>
          <w:szCs w:val="20"/>
        </w:rPr>
        <w:t>Spraytech</w:t>
      </w:r>
      <w:r>
        <w:rPr>
          <w:sz w:val="20"/>
          <w:szCs w:val="20"/>
        </w:rPr>
        <w:t>].</w:t>
      </w:r>
    </w:p>
    <w:p w14:paraId="216239A3" w14:textId="77777777" w:rsidR="0088713B" w:rsidRDefault="002735DE">
      <w:pPr>
        <w:numPr>
          <w:ilvl w:val="0"/>
          <w:numId w:val="3"/>
        </w:numPr>
        <w:spacing w:line="360" w:lineRule="auto"/>
        <w:jc w:val="both"/>
      </w:pPr>
      <w:r>
        <w:t xml:space="preserve">The precautionary principle further supports a broad interpretation of “habitat”. Blanding’s Turtle do not reproduce until 20-25 years of age and can only sustain 2-3% annual adult mortality. Given this extreme biological vulnerability, a narrow interpretation of habitat would expose the species to irreversible harm before scientific certainty could be achieved, contrary to the preventive purpose of the </w:t>
      </w:r>
      <w:r>
        <w:rPr>
          <w:i/>
          <w:iCs/>
        </w:rPr>
        <w:t>ESA</w:t>
      </w:r>
      <w:r>
        <w:t>.</w:t>
      </w:r>
    </w:p>
    <w:p w14:paraId="5049E2F4" w14:textId="77777777" w:rsidR="0088713B" w:rsidRDefault="002735DE">
      <w:pPr>
        <w:numPr>
          <w:ilvl w:val="0"/>
          <w:numId w:val="3"/>
        </w:numPr>
        <w:spacing w:line="360" w:lineRule="auto"/>
        <w:jc w:val="both"/>
      </w:pPr>
      <w:r>
        <w:t>If upheld, the OCJ’s approach would require the Crown to prove habitat exclusively through direct, site-specific, and contemporaneous observation, while excluding general scientific context. Such a requirement would impose an evidentiary burden that is incompatible with the realities of how the environment functions, where ecological functions operate over time and are rarely susceptible to continuous observation.</w:t>
      </w:r>
    </w:p>
    <w:p w14:paraId="3D948215" w14:textId="77777777" w:rsidR="0088713B" w:rsidRDefault="002735DE">
      <w:pPr>
        <w:numPr>
          <w:ilvl w:val="0"/>
          <w:numId w:val="3"/>
        </w:numPr>
        <w:spacing w:line="360" w:lineRule="auto"/>
        <w:jc w:val="both"/>
      </w:pPr>
      <w:r>
        <w:t xml:space="preserve">Concerns about the generality or applicability of scientific guidance are properly addressed through the TJ’s assessment of weight, not by categorical exclusion. TJs are well-placed to evaluate how such materials fit within the evidentiary record as a whole. </w:t>
      </w:r>
    </w:p>
    <w:p w14:paraId="054F387F" w14:textId="77777777" w:rsidR="0088713B" w:rsidRDefault="002735DE">
      <w:pPr>
        <w:numPr>
          <w:ilvl w:val="0"/>
          <w:numId w:val="3"/>
        </w:numPr>
        <w:spacing w:line="360" w:lineRule="auto"/>
        <w:jc w:val="both"/>
      </w:pPr>
      <w:r>
        <w:t xml:space="preserve">Permitting the consideration of non-binding scientific guidance preserves the </w:t>
      </w:r>
      <w:r>
        <w:rPr>
          <w:i/>
          <w:iCs/>
        </w:rPr>
        <w:t>ESA</w:t>
      </w:r>
      <w:r>
        <w:t xml:space="preserve">’s ability to respond to incremental and cumulative environmental harm. The OCJ’s contrary approach risks insulating harmful conduct from accountability and undermining the legislature’s intent to protect species at risk and their habitats, based on sound ecological understanding. </w:t>
      </w:r>
    </w:p>
    <w:p w14:paraId="4B3723F2" w14:textId="77777777" w:rsidR="0088713B" w:rsidRDefault="0088713B">
      <w:pPr>
        <w:spacing w:line="360" w:lineRule="auto"/>
        <w:jc w:val="both"/>
      </w:pPr>
    </w:p>
    <w:p w14:paraId="1D6AE384" w14:textId="77777777" w:rsidR="0088713B" w:rsidRDefault="002735DE">
      <w:pPr>
        <w:numPr>
          <w:ilvl w:val="1"/>
          <w:numId w:val="1"/>
        </w:numPr>
        <w:spacing w:after="200"/>
      </w:pPr>
      <w:r>
        <w:rPr>
          <w:b/>
          <w:bCs/>
        </w:rPr>
        <w:t>ISSUE 3: THE OCJ ERRED BY FAILING TO CONSIDER AND GIVE EFFECT TO THE INDIRECT COMPONENT OF THE STATUTORY DEFINITION OF “HABITAT” UNDER SECTION 2(1)(b) OF THE</w:t>
      </w:r>
      <w:r>
        <w:rPr>
          <w:b/>
          <w:bCs/>
          <w:i/>
          <w:iCs/>
        </w:rPr>
        <w:t xml:space="preserve"> ESA</w:t>
      </w:r>
      <w:r>
        <w:rPr>
          <w:b/>
          <w:bCs/>
        </w:rPr>
        <w:t>.</w:t>
      </w:r>
    </w:p>
    <w:p w14:paraId="28A7084F" w14:textId="77777777" w:rsidR="0088713B" w:rsidRDefault="002735DE">
      <w:pPr>
        <w:pStyle w:val="Heading3"/>
        <w:keepNext w:val="0"/>
        <w:numPr>
          <w:ilvl w:val="0"/>
          <w:numId w:val="3"/>
        </w:numPr>
        <w:spacing w:before="200" w:after="80" w:line="360" w:lineRule="auto"/>
        <w:rPr>
          <w:rFonts w:ascii="Times New Roman" w:eastAsia="Times New Roman" w:hAnsi="Times New Roman" w:cs="Times New Roman"/>
          <w:b w:val="0"/>
          <w:bCs w:val="0"/>
        </w:rPr>
      </w:pPr>
      <w:bookmarkStart w:id="16" w:name="_heading=h.nkvy9bpxsf4s" w:colFirst="0" w:colLast="0"/>
      <w:bookmarkEnd w:id="16"/>
      <w:r>
        <w:rPr>
          <w:rFonts w:ascii="Times New Roman" w:eastAsia="Times New Roman" w:hAnsi="Times New Roman" w:cs="Times New Roman"/>
          <w:b w:val="0"/>
          <w:bCs w:val="0"/>
          <w:sz w:val="24"/>
          <w:szCs w:val="24"/>
        </w:rPr>
        <w:lastRenderedPageBreak/>
        <w:t>The OCJ’s ruling was driven by her interpretation of Mr. Snell’s testimony, which is quoted twice in her decision:</w:t>
      </w:r>
    </w:p>
    <w:p w14:paraId="2AF691DF" w14:textId="77777777" w:rsidR="0088713B" w:rsidRDefault="002735DE">
      <w:pPr>
        <w:spacing w:before="240" w:after="240"/>
        <w:ind w:left="720" w:right="600"/>
        <w:jc w:val="both"/>
      </w:pPr>
      <w:r>
        <w:t xml:space="preserve">Q: But you don't have any confirmation or proof that [the Site] was utilized for travel purposes, nesting or thermogenic activities by Blanding’s Turtle. </w:t>
      </w:r>
    </w:p>
    <w:p w14:paraId="5046E350" w14:textId="77777777" w:rsidR="0088713B" w:rsidRDefault="002735DE">
      <w:pPr>
        <w:spacing w:before="240" w:after="240"/>
        <w:ind w:left="720" w:right="600"/>
        <w:jc w:val="both"/>
      </w:pPr>
      <w:r>
        <w:t>A: That is correct.</w:t>
      </w:r>
    </w:p>
    <w:p w14:paraId="4A8B62F5" w14:textId="77777777" w:rsidR="0088713B" w:rsidRDefault="002735DE">
      <w:pPr>
        <w:spacing w:before="240" w:after="240"/>
        <w:ind w:left="720" w:right="600"/>
        <w:jc w:val="both"/>
        <w:rPr>
          <w:sz w:val="20"/>
          <w:szCs w:val="20"/>
        </w:rPr>
      </w:pPr>
      <w:r>
        <w:rPr>
          <w:sz w:val="20"/>
          <w:szCs w:val="20"/>
        </w:rPr>
        <w:t>Reasons for Judgment of Justice C. Mathias, Transcript for August 20, 2024, at p. 12, l. 11, to p. 14, l. 17, and p. 17, l. 29, to p. 18, l. 4</w:t>
      </w:r>
    </w:p>
    <w:p w14:paraId="6060243F" w14:textId="77777777" w:rsidR="0088713B" w:rsidRDefault="002735DE">
      <w:pPr>
        <w:numPr>
          <w:ilvl w:val="0"/>
          <w:numId w:val="3"/>
        </w:numPr>
        <w:spacing w:before="240" w:line="360" w:lineRule="auto"/>
        <w:ind w:right="600"/>
        <w:jc w:val="both"/>
      </w:pPr>
      <w:r>
        <w:t xml:space="preserve">The OCJ misinterpreted Mr. Snell’s answer as meaning that the Site was only a </w:t>
      </w:r>
      <w:r>
        <w:rPr>
          <w:i/>
          <w:iCs/>
        </w:rPr>
        <w:t>potential</w:t>
      </w:r>
      <w:r>
        <w:t xml:space="preserve"> habitat, and that there was no evidence that the Site was actually a habitat of the Blanding’s Turtle. However, since these references (traveling, nesting, and thermogenic activities) pertained only to the </w:t>
      </w:r>
      <w:r>
        <w:rPr>
          <w:i/>
          <w:iCs/>
        </w:rPr>
        <w:t xml:space="preserve">direct </w:t>
      </w:r>
      <w:r>
        <w:t xml:space="preserve">use of land by the Blanding Turtle, the concession was narrower than the definition of habitat under </w:t>
      </w:r>
      <w:r>
        <w:rPr>
          <w:i/>
          <w:iCs/>
        </w:rPr>
        <w:t>ESA</w:t>
      </w:r>
      <w:r>
        <w:t xml:space="preserve">, section 2(1)(b), which includes </w:t>
      </w:r>
      <w:r>
        <w:rPr>
          <w:i/>
          <w:iCs/>
        </w:rPr>
        <w:t xml:space="preserve">indirect </w:t>
      </w:r>
      <w:r>
        <w:t>use of land to support the turtle’s life process. Hence, it did not amount to an admission that the Site was not considered a habitat within t</w:t>
      </w:r>
      <w:r>
        <w:t xml:space="preserve">he meaning of the </w:t>
      </w:r>
      <w:r>
        <w:rPr>
          <w:i/>
          <w:iCs/>
        </w:rPr>
        <w:t>ESA</w:t>
      </w:r>
      <w:r>
        <w:t>.</w:t>
      </w:r>
    </w:p>
    <w:p w14:paraId="635B7D85" w14:textId="77777777" w:rsidR="0088713B" w:rsidRDefault="002735DE">
      <w:pPr>
        <w:spacing w:line="360" w:lineRule="auto"/>
        <w:ind w:right="600" w:firstLine="720"/>
        <w:jc w:val="both"/>
        <w:rPr>
          <w:sz w:val="20"/>
          <w:szCs w:val="20"/>
        </w:rPr>
      </w:pPr>
      <w:r>
        <w:rPr>
          <w:i/>
          <w:iCs/>
          <w:sz w:val="20"/>
          <w:szCs w:val="20"/>
        </w:rPr>
        <w:t>ESA</w:t>
      </w:r>
      <w:r>
        <w:rPr>
          <w:sz w:val="20"/>
          <w:szCs w:val="20"/>
        </w:rPr>
        <w:t>, supra para 16, s 2(1)(b).</w:t>
      </w:r>
    </w:p>
    <w:p w14:paraId="47EB4217" w14:textId="77777777" w:rsidR="0088713B" w:rsidRDefault="002735DE">
      <w:pPr>
        <w:numPr>
          <w:ilvl w:val="0"/>
          <w:numId w:val="3"/>
        </w:numPr>
        <w:spacing w:after="240" w:line="360" w:lineRule="auto"/>
        <w:ind w:right="600"/>
        <w:jc w:val="both"/>
      </w:pPr>
      <w:r>
        <w:t>By treating this narrow concession as determinative, the OCJ implicitly adopted the incorrect premise that an area can only qualify as habitat if the species has been observed physically using that area at or near the material time. This erroneous premise ignores the plain wordings of the legislation and conflates mere presence with dependency, thereby narrowing the protection of necessary areas for species at risk.</w:t>
      </w:r>
    </w:p>
    <w:p w14:paraId="27533FFA" w14:textId="77777777" w:rsidR="0088713B" w:rsidRDefault="002735DE">
      <w:pPr>
        <w:pStyle w:val="Heading4"/>
        <w:keepNext w:val="0"/>
        <w:spacing w:after="40" w:line="276" w:lineRule="auto"/>
        <w:ind w:left="0"/>
        <w:rPr>
          <w:rFonts w:ascii="Times New Roman" w:eastAsia="Times New Roman" w:hAnsi="Times New Roman" w:cs="Times New Roman"/>
          <w:b w:val="0"/>
          <w:bCs w:val="0"/>
          <w:i/>
          <w:iCs/>
        </w:rPr>
      </w:pPr>
      <w:bookmarkStart w:id="17" w:name="_heading=h.mftxrrssvef8" w:colFirst="0" w:colLast="0"/>
      <w:bookmarkEnd w:id="17"/>
      <w:r>
        <w:rPr>
          <w:rFonts w:ascii="Times New Roman" w:eastAsia="Times New Roman" w:hAnsi="Times New Roman" w:cs="Times New Roman"/>
          <w:b w:val="0"/>
          <w:bCs w:val="0"/>
          <w:i/>
          <w:iCs/>
          <w:sz w:val="24"/>
          <w:szCs w:val="24"/>
        </w:rPr>
        <w:t>(i) Failure to Give Effect to the Statutory Inclusion of Indirect Dependency</w:t>
      </w:r>
    </w:p>
    <w:p w14:paraId="3FCA2892" w14:textId="77777777" w:rsidR="0088713B" w:rsidRDefault="002735DE">
      <w:pPr>
        <w:numPr>
          <w:ilvl w:val="0"/>
          <w:numId w:val="3"/>
        </w:numPr>
        <w:spacing w:before="240" w:after="240" w:line="360" w:lineRule="auto"/>
      </w:pPr>
      <w:r>
        <w:t xml:space="preserve">First, the premise in paragraph 71 ignores the plain wordings of the </w:t>
      </w:r>
      <w:r>
        <w:rPr>
          <w:i/>
          <w:iCs/>
        </w:rPr>
        <w:t>ESA</w:t>
      </w:r>
      <w:r>
        <w:t xml:space="preserve">. Section 2(1)(b) of the </w:t>
      </w:r>
      <w:r>
        <w:rPr>
          <w:i/>
          <w:iCs/>
        </w:rPr>
        <w:t>ESA</w:t>
      </w:r>
      <w:r>
        <w:t xml:space="preserve"> expressly includes both areas which the species rely on “directly” and “indirectly”. The inclusion of the word “indirectly” reflects the legislature's intent to protect areas beyond those in which a species is physically present or may be directly observed. The OCJ erred in law by failing to consider and give effect to the </w:t>
      </w:r>
      <w:r>
        <w:rPr>
          <w:i/>
          <w:iCs/>
        </w:rPr>
        <w:t>ESA</w:t>
      </w:r>
      <w:r>
        <w:t xml:space="preserve">’s inclusion of areas on which a species relies indirectly within the scope of habitat as defined in the </w:t>
      </w:r>
      <w:r>
        <w:rPr>
          <w:i/>
          <w:iCs/>
        </w:rPr>
        <w:t>ESA</w:t>
      </w:r>
      <w:r>
        <w:t>.</w:t>
      </w:r>
    </w:p>
    <w:p w14:paraId="49833F35" w14:textId="77777777" w:rsidR="0088713B" w:rsidRDefault="002735DE">
      <w:pPr>
        <w:ind w:firstLine="720"/>
        <w:rPr>
          <w:sz w:val="20"/>
          <w:szCs w:val="20"/>
        </w:rPr>
      </w:pPr>
      <w:r>
        <w:rPr>
          <w:i/>
          <w:iCs/>
          <w:sz w:val="20"/>
          <w:szCs w:val="20"/>
        </w:rPr>
        <w:t>ESA</w:t>
      </w:r>
      <w:r>
        <w:rPr>
          <w:sz w:val="20"/>
          <w:szCs w:val="20"/>
        </w:rPr>
        <w:t>, supra para 16, s 2(1)(b).</w:t>
      </w:r>
    </w:p>
    <w:p w14:paraId="4B1CA9BF" w14:textId="77777777" w:rsidR="0088713B" w:rsidRDefault="002735DE">
      <w:pPr>
        <w:numPr>
          <w:ilvl w:val="0"/>
          <w:numId w:val="3"/>
        </w:numPr>
        <w:spacing w:before="240" w:line="360" w:lineRule="auto"/>
      </w:pPr>
      <w:r>
        <w:lastRenderedPageBreak/>
        <w:t xml:space="preserve">This error was consequential in the case at hand, since Mr. Snell testified that the Site provided indirect benefits to the Blanding’s Turtle (discussed in paragraph 15 of this document). Benefits which were reduced or eliminated due to the grubbing and excavation activities done by CHL. Hence, the OCJ dismissed this evidence because it failed to establish direct use, thereby imposing a legal standard not found in the </w:t>
      </w:r>
      <w:r>
        <w:rPr>
          <w:i/>
          <w:iCs/>
        </w:rPr>
        <w:t>ESA</w:t>
      </w:r>
      <w:r>
        <w:t>.</w:t>
      </w:r>
    </w:p>
    <w:p w14:paraId="25A8E7E5" w14:textId="77777777" w:rsidR="0088713B" w:rsidRDefault="002735DE">
      <w:pPr>
        <w:numPr>
          <w:ilvl w:val="0"/>
          <w:numId w:val="3"/>
        </w:numPr>
        <w:spacing w:after="240" w:line="360" w:lineRule="auto"/>
      </w:pPr>
      <w:r>
        <w:t xml:space="preserve">Such a restrictive interpretation is inconsistent with the legislature’s “wide” and “deep” intent to protect the environment and contradicts the requirement, affirmed in </w:t>
      </w:r>
      <w:r>
        <w:rPr>
          <w:i/>
          <w:iCs/>
        </w:rPr>
        <w:t>Castonguay Blasting Ltd. v. Ontario (Environment)</w:t>
      </w:r>
      <w:r>
        <w:t xml:space="preserve">, that environmental statutes be interpreted generously and purposively. In this case, </w:t>
      </w:r>
      <w:r>
        <w:rPr>
          <w:color w:val="222222"/>
          <w:highlight w:val="white"/>
        </w:rPr>
        <w:t>given that the Blanding's Turtle have extremely low reproductive rates (they don't reproduce until age 20–25 and can only sustain 2–3% annual adult mortality), the precautionary principle strongly supports interpreting "habitat" broadly. A species that cannot quickly recover from population losses warrants a more protective legal interpretation.</w:t>
      </w:r>
    </w:p>
    <w:p w14:paraId="5BD4F80F" w14:textId="77777777" w:rsidR="0088713B" w:rsidRDefault="002735DE">
      <w:pPr>
        <w:spacing w:before="240" w:after="240" w:line="360" w:lineRule="auto"/>
        <w:ind w:firstLine="720"/>
        <w:rPr>
          <w:sz w:val="20"/>
          <w:szCs w:val="20"/>
        </w:rPr>
      </w:pPr>
      <w:r>
        <w:rPr>
          <w:i/>
          <w:iCs/>
          <w:sz w:val="20"/>
          <w:szCs w:val="20"/>
        </w:rPr>
        <w:t>Castonguay, supra</w:t>
      </w:r>
      <w:r>
        <w:rPr>
          <w:sz w:val="20"/>
          <w:szCs w:val="20"/>
        </w:rPr>
        <w:t xml:space="preserve"> para 35</w:t>
      </w:r>
      <w:r>
        <w:rPr>
          <w:i/>
          <w:iCs/>
          <w:sz w:val="20"/>
          <w:szCs w:val="20"/>
        </w:rPr>
        <w:t>.</w:t>
      </w:r>
    </w:p>
    <w:p w14:paraId="143D3650" w14:textId="77777777" w:rsidR="0088713B" w:rsidRDefault="002735DE">
      <w:pPr>
        <w:pStyle w:val="Heading4"/>
        <w:keepNext w:val="0"/>
        <w:spacing w:after="40" w:line="276" w:lineRule="auto"/>
        <w:ind w:left="0"/>
        <w:rPr>
          <w:rFonts w:ascii="Times New Roman" w:eastAsia="Times New Roman" w:hAnsi="Times New Roman" w:cs="Times New Roman"/>
          <w:b w:val="0"/>
          <w:bCs w:val="0"/>
          <w:i/>
          <w:iCs/>
        </w:rPr>
      </w:pPr>
      <w:bookmarkStart w:id="18" w:name="_heading=h.ehhytcdojse8" w:colFirst="0" w:colLast="0"/>
      <w:bookmarkEnd w:id="18"/>
      <w:r>
        <w:rPr>
          <w:rFonts w:ascii="Times New Roman" w:eastAsia="Times New Roman" w:hAnsi="Times New Roman" w:cs="Times New Roman"/>
          <w:b w:val="0"/>
          <w:bCs w:val="0"/>
          <w:i/>
          <w:iCs/>
          <w:sz w:val="24"/>
          <w:szCs w:val="24"/>
        </w:rPr>
        <w:t>(ii) Improper Rejection of Circumstantial Evidence and Scientific Inference</w:t>
      </w:r>
    </w:p>
    <w:p w14:paraId="0B594CE5" w14:textId="77777777" w:rsidR="0088713B" w:rsidRDefault="002735DE">
      <w:pPr>
        <w:numPr>
          <w:ilvl w:val="0"/>
          <w:numId w:val="3"/>
        </w:numPr>
        <w:spacing w:before="240" w:after="240" w:line="360" w:lineRule="auto"/>
      </w:pPr>
      <w:r>
        <w:t xml:space="preserve">The legal error is further underscored by the OCJ's conclusion that the Crown had "lacked evidence" because the sightings were "after the fact". This reasoning fails to account for the fundamental principle of circumstantial evidence established in </w:t>
      </w:r>
      <w:r>
        <w:rPr>
          <w:i/>
          <w:iCs/>
        </w:rPr>
        <w:t xml:space="preserve">R v Yebes, </w:t>
      </w:r>
      <w:r>
        <w:t>that a fact in issue may properly be inferred from another fact. This principle is especially important in environmental prosecutions, where direct observation of species at precise moments is often very difficult. In such cases, courts routinely rely on expert opinion and circumstantial evidence.</w:t>
      </w:r>
    </w:p>
    <w:p w14:paraId="7BE798A6" w14:textId="77777777" w:rsidR="0088713B" w:rsidRDefault="002735DE">
      <w:pPr>
        <w:spacing w:before="240" w:after="240"/>
        <w:ind w:firstLine="720"/>
        <w:rPr>
          <w:sz w:val="20"/>
          <w:szCs w:val="20"/>
        </w:rPr>
      </w:pPr>
      <w:r>
        <w:rPr>
          <w:i/>
          <w:iCs/>
          <w:sz w:val="20"/>
          <w:szCs w:val="20"/>
        </w:rPr>
        <w:t>R v Yebes</w:t>
      </w:r>
      <w:r>
        <w:rPr>
          <w:sz w:val="20"/>
          <w:szCs w:val="20"/>
        </w:rPr>
        <w:t>, 1987 CanLII 17 (SCC) [</w:t>
      </w:r>
      <w:r>
        <w:rPr>
          <w:i/>
          <w:iCs/>
          <w:sz w:val="20"/>
          <w:szCs w:val="20"/>
        </w:rPr>
        <w:t>Yebes</w:t>
      </w:r>
      <w:r>
        <w:rPr>
          <w:sz w:val="20"/>
          <w:szCs w:val="20"/>
        </w:rPr>
        <w:t>].</w:t>
      </w:r>
    </w:p>
    <w:p w14:paraId="7ED7FFA1" w14:textId="77777777" w:rsidR="0088713B" w:rsidRDefault="002735DE">
      <w:pPr>
        <w:numPr>
          <w:ilvl w:val="0"/>
          <w:numId w:val="3"/>
        </w:numPr>
        <w:spacing w:before="240" w:after="240" w:line="360" w:lineRule="auto"/>
      </w:pPr>
      <w:r>
        <w:t>This principle under</w:t>
      </w:r>
      <w:r>
        <w:rPr>
          <w:i/>
          <w:iCs/>
        </w:rPr>
        <w:t xml:space="preserve"> Yebes</w:t>
      </w:r>
      <w:r>
        <w:t xml:space="preserve"> has been applied in several environmental cases. In </w:t>
      </w:r>
      <w:r>
        <w:rPr>
          <w:i/>
          <w:iCs/>
        </w:rPr>
        <w:t xml:space="preserve">Blackbird Holdings </w:t>
      </w:r>
      <w:r>
        <w:t xml:space="preserve">and </w:t>
      </w:r>
      <w:r>
        <w:rPr>
          <w:i/>
          <w:iCs/>
        </w:rPr>
        <w:t>Beaulieu</w:t>
      </w:r>
      <w:r>
        <w:t xml:space="preserve">, courts have confirmed that essential elements of environmental offences, including impairment and causation, may be inferred from surrounding facts, without the need for direct sampling or contemporaneous proof. These cases make it clear that the mere absence of real-time observations does not equal absence of evidence, and that requiring such proof increases the evidentiary burden.  Further, in </w:t>
      </w:r>
      <w:r>
        <w:rPr>
          <w:i/>
          <w:iCs/>
        </w:rPr>
        <w:t xml:space="preserve">UBC, </w:t>
      </w:r>
      <w:r>
        <w:t>the Court accepted biological outcomes and adjacent data as adequate evidence of the existence of biologic</w:t>
      </w:r>
      <w:r>
        <w:t xml:space="preserve">al organisms even in the absence of direct physical sampling. </w:t>
      </w:r>
    </w:p>
    <w:p w14:paraId="3F76AFE9" w14:textId="77777777" w:rsidR="0088713B" w:rsidRDefault="002735DE">
      <w:pPr>
        <w:ind w:left="720"/>
        <w:jc w:val="both"/>
        <w:rPr>
          <w:sz w:val="20"/>
          <w:szCs w:val="20"/>
        </w:rPr>
      </w:pPr>
      <w:r>
        <w:rPr>
          <w:i/>
          <w:iCs/>
          <w:sz w:val="20"/>
          <w:szCs w:val="20"/>
        </w:rPr>
        <w:lastRenderedPageBreak/>
        <w:t>R v Blackbird Holdings Ltd</w:t>
      </w:r>
      <w:r>
        <w:rPr>
          <w:sz w:val="20"/>
          <w:szCs w:val="20"/>
        </w:rPr>
        <w:t>, 1990 CarswellOnt 214, [1990] OJ No 13256, CELR (NS) 119 [</w:t>
      </w:r>
      <w:r>
        <w:rPr>
          <w:i/>
          <w:iCs/>
          <w:sz w:val="20"/>
          <w:szCs w:val="20"/>
        </w:rPr>
        <w:t>Blackbird Holdings</w:t>
      </w:r>
      <w:r>
        <w:rPr>
          <w:sz w:val="20"/>
          <w:szCs w:val="20"/>
        </w:rPr>
        <w:t>].</w:t>
      </w:r>
    </w:p>
    <w:p w14:paraId="47475131" w14:textId="77777777" w:rsidR="0088713B" w:rsidRDefault="002735DE">
      <w:pPr>
        <w:ind w:firstLine="720"/>
        <w:jc w:val="both"/>
        <w:rPr>
          <w:sz w:val="20"/>
          <w:szCs w:val="20"/>
        </w:rPr>
      </w:pPr>
      <w:r>
        <w:rPr>
          <w:i/>
          <w:iCs/>
          <w:sz w:val="20"/>
          <w:szCs w:val="20"/>
        </w:rPr>
        <w:t>R v Beaulieu</w:t>
      </w:r>
      <w:r>
        <w:rPr>
          <w:sz w:val="20"/>
          <w:szCs w:val="20"/>
        </w:rPr>
        <w:t>, 2001 NWTSC 46 [</w:t>
      </w:r>
      <w:r>
        <w:rPr>
          <w:i/>
          <w:iCs/>
          <w:sz w:val="20"/>
          <w:szCs w:val="20"/>
        </w:rPr>
        <w:t>Beaulieu</w:t>
      </w:r>
      <w:r>
        <w:rPr>
          <w:sz w:val="20"/>
          <w:szCs w:val="20"/>
        </w:rPr>
        <w:t>].</w:t>
      </w:r>
    </w:p>
    <w:p w14:paraId="16028C96" w14:textId="77777777" w:rsidR="0088713B" w:rsidRDefault="002735DE">
      <w:pPr>
        <w:ind w:firstLine="720"/>
        <w:jc w:val="both"/>
        <w:rPr>
          <w:sz w:val="20"/>
          <w:szCs w:val="20"/>
          <w:shd w:val="clear" w:color="auto" w:fill="FFF2CC"/>
        </w:rPr>
      </w:pPr>
      <w:r>
        <w:rPr>
          <w:i/>
          <w:iCs/>
          <w:sz w:val="20"/>
          <w:szCs w:val="20"/>
        </w:rPr>
        <w:t>UBC, supra</w:t>
      </w:r>
      <w:r>
        <w:rPr>
          <w:sz w:val="20"/>
          <w:szCs w:val="20"/>
        </w:rPr>
        <w:t xml:space="preserve"> para 40</w:t>
      </w:r>
      <w:r>
        <w:rPr>
          <w:i/>
          <w:iCs/>
          <w:sz w:val="20"/>
          <w:szCs w:val="20"/>
        </w:rPr>
        <w:t>.</w:t>
      </w:r>
    </w:p>
    <w:p w14:paraId="7AD80A6A" w14:textId="77777777" w:rsidR="0088713B" w:rsidRDefault="002735DE">
      <w:pPr>
        <w:numPr>
          <w:ilvl w:val="0"/>
          <w:numId w:val="3"/>
        </w:numPr>
        <w:spacing w:before="240" w:after="240" w:line="360" w:lineRule="auto"/>
      </w:pPr>
      <w:r>
        <w:t>In the present case, Mr. Snell concluded that the Site constituted Blanding’s Turtle habitat by drawing from various strands of evidence, including:</w:t>
      </w:r>
    </w:p>
    <w:p w14:paraId="4D147FFD" w14:textId="77777777" w:rsidR="0088713B" w:rsidRDefault="002735DE">
      <w:pPr>
        <w:spacing w:before="240" w:after="240" w:line="360" w:lineRule="auto"/>
        <w:ind w:left="720"/>
      </w:pPr>
      <w:r>
        <w:t>(i) documented sightings of Blanding’s Turtle in 2007, 2017, and 2020, as well as their broader prevalence in the North Bay area;</w:t>
      </w:r>
      <w:r>
        <w:br/>
        <w:t>(ii) the physical characteristics of the Site and its surrounding landscape;</w:t>
      </w:r>
      <w:r>
        <w:br/>
        <w:t>(iii) fragments of turtle eggshells of an indeterminate species found at the Site; and</w:t>
      </w:r>
      <w:r>
        <w:br/>
        <w:t>(iv) his scientific understanding of the species’ biology, including longevity, movement patterns, habitat needs, and reliance on indirect environmental features.</w:t>
      </w:r>
    </w:p>
    <w:p w14:paraId="267EF3F0" w14:textId="77777777" w:rsidR="0088713B" w:rsidRDefault="002735DE">
      <w:pPr>
        <w:spacing w:before="240" w:after="240" w:line="360" w:lineRule="auto"/>
      </w:pPr>
      <w:r>
        <w:t xml:space="preserve">Considered cumulatively, these strands provide reasonable grounds to conclude, by way of circumstantial evidence, that Blanding’s Turtle were inhabiting and depending on the Circle Lake area during CHL’s grubbing and excavation activities at the Material Times. </w:t>
      </w:r>
    </w:p>
    <w:p w14:paraId="6F610EA8" w14:textId="77777777" w:rsidR="0088713B" w:rsidRDefault="002735DE">
      <w:pPr>
        <w:numPr>
          <w:ilvl w:val="0"/>
          <w:numId w:val="3"/>
        </w:numPr>
        <w:spacing w:before="240" w:after="240" w:line="360" w:lineRule="auto"/>
        <w:rPr>
          <w:highlight w:val="white"/>
        </w:rPr>
      </w:pPr>
      <w:r>
        <w:rPr>
          <w:highlight w:val="white"/>
        </w:rPr>
        <w:t xml:space="preserve">Finally, the OCJ’s approach is inconsistent with the purpose and evidentiary framework of the </w:t>
      </w:r>
      <w:r>
        <w:rPr>
          <w:i/>
          <w:iCs/>
          <w:highlight w:val="white"/>
        </w:rPr>
        <w:t>ESA</w:t>
      </w:r>
      <w:r>
        <w:rPr>
          <w:highlight w:val="white"/>
        </w:rPr>
        <w:t>. As clarified in</w:t>
      </w:r>
      <w:r>
        <w:rPr>
          <w:i/>
          <w:iCs/>
          <w:highlight w:val="white"/>
        </w:rPr>
        <w:t xml:space="preserve"> Marmora</w:t>
      </w:r>
      <w:r>
        <w:rPr>
          <w:highlight w:val="white"/>
        </w:rPr>
        <w:t xml:space="preserve">, the </w:t>
      </w:r>
      <w:r>
        <w:rPr>
          <w:i/>
          <w:iCs/>
          <w:highlight w:val="white"/>
        </w:rPr>
        <w:t>ESA</w:t>
      </w:r>
      <w:r>
        <w:rPr>
          <w:highlight w:val="white"/>
        </w:rPr>
        <w:t xml:space="preserve"> is intended to protect species at risk and their associated habitats based on the “best available scientific information,” not on perfect, continuous, or contemporaneous observation. By dismissing post-event sightings and expert ecological inference, the OCJ imposed an evidentiary standard that is unsupported by law and incompatible with the preventative and protective objectives of the </w:t>
      </w:r>
      <w:r>
        <w:rPr>
          <w:i/>
          <w:iCs/>
          <w:highlight w:val="white"/>
        </w:rPr>
        <w:t>ESA</w:t>
      </w:r>
      <w:r>
        <w:rPr>
          <w:highlight w:val="white"/>
        </w:rPr>
        <w:t>.</w:t>
      </w:r>
    </w:p>
    <w:p w14:paraId="797C4661" w14:textId="77777777" w:rsidR="0088713B" w:rsidRDefault="002735DE">
      <w:pPr>
        <w:spacing w:before="240" w:after="240" w:line="360" w:lineRule="auto"/>
        <w:ind w:firstLine="720"/>
        <w:rPr>
          <w:sz w:val="20"/>
          <w:szCs w:val="20"/>
        </w:rPr>
      </w:pPr>
      <w:r>
        <w:rPr>
          <w:i/>
          <w:iCs/>
          <w:sz w:val="20"/>
          <w:szCs w:val="20"/>
        </w:rPr>
        <w:t xml:space="preserve">Marmora and Lake (Municipality) v. Ontario, </w:t>
      </w:r>
      <w:r>
        <w:rPr>
          <w:sz w:val="20"/>
          <w:szCs w:val="20"/>
        </w:rPr>
        <w:t>2025 ONCA 10 [</w:t>
      </w:r>
      <w:r>
        <w:rPr>
          <w:i/>
          <w:iCs/>
          <w:sz w:val="20"/>
          <w:szCs w:val="20"/>
        </w:rPr>
        <w:t>Marmora</w:t>
      </w:r>
      <w:r>
        <w:rPr>
          <w:sz w:val="20"/>
          <w:szCs w:val="20"/>
        </w:rPr>
        <w:t>].</w:t>
      </w:r>
    </w:p>
    <w:p w14:paraId="2FA4E11D" w14:textId="77777777" w:rsidR="0088713B" w:rsidRDefault="002735DE">
      <w:pPr>
        <w:pStyle w:val="Heading4"/>
        <w:keepNext w:val="0"/>
        <w:spacing w:after="40" w:line="276" w:lineRule="auto"/>
        <w:ind w:left="0"/>
        <w:rPr>
          <w:rFonts w:ascii="Times New Roman" w:eastAsia="Times New Roman" w:hAnsi="Times New Roman" w:cs="Times New Roman"/>
          <w:highlight w:val="white"/>
        </w:rPr>
      </w:pPr>
      <w:bookmarkStart w:id="19" w:name="_heading=h.40ww7j63nqnt" w:colFirst="0" w:colLast="0"/>
      <w:bookmarkEnd w:id="19"/>
      <w:r>
        <w:rPr>
          <w:rFonts w:ascii="Times New Roman" w:eastAsia="Times New Roman" w:hAnsi="Times New Roman" w:cs="Times New Roman"/>
          <w:b w:val="0"/>
          <w:bCs w:val="0"/>
          <w:i/>
          <w:iCs/>
          <w:sz w:val="24"/>
          <w:szCs w:val="24"/>
        </w:rPr>
        <w:t>(iii) Public Interest and Legal Certainty</w:t>
      </w:r>
    </w:p>
    <w:p w14:paraId="635CE256" w14:textId="77777777" w:rsidR="0088713B" w:rsidRDefault="002735DE">
      <w:pPr>
        <w:numPr>
          <w:ilvl w:val="0"/>
          <w:numId w:val="3"/>
        </w:numPr>
        <w:spacing w:before="240" w:after="240" w:line="360" w:lineRule="auto"/>
      </w:pPr>
      <w:r>
        <w:t xml:space="preserve">The </w:t>
      </w:r>
      <w:r>
        <w:rPr>
          <w:i/>
          <w:iCs/>
        </w:rPr>
        <w:t>ESA</w:t>
      </w:r>
      <w:r>
        <w:t xml:space="preserve"> contains two core prohibitions. Section 9 prohibits various forms of interference with members of a species at risk, while section 10 prohibits damaging or destroying the habitat of a species at risk.</w:t>
      </w:r>
    </w:p>
    <w:p w14:paraId="7D63DE0C" w14:textId="77777777" w:rsidR="0088713B" w:rsidRDefault="002735DE">
      <w:pPr>
        <w:ind w:firstLine="720"/>
        <w:rPr>
          <w:sz w:val="20"/>
          <w:szCs w:val="20"/>
        </w:rPr>
      </w:pPr>
      <w:r>
        <w:rPr>
          <w:i/>
          <w:iCs/>
          <w:sz w:val="20"/>
          <w:szCs w:val="20"/>
        </w:rPr>
        <w:t>ESA</w:t>
      </w:r>
      <w:r>
        <w:rPr>
          <w:sz w:val="20"/>
          <w:szCs w:val="20"/>
        </w:rPr>
        <w:t>, supra para 16, s 9 &amp; 10.</w:t>
      </w:r>
    </w:p>
    <w:p w14:paraId="7B4A6645" w14:textId="77777777" w:rsidR="0088713B" w:rsidRDefault="002735DE">
      <w:pPr>
        <w:numPr>
          <w:ilvl w:val="0"/>
          <w:numId w:val="3"/>
        </w:numPr>
        <w:spacing w:before="240" w:line="360" w:lineRule="auto"/>
      </w:pPr>
      <w:r>
        <w:t>Since</w:t>
      </w:r>
      <w:r>
        <w:t xml:space="preserve"> this definition determines the scope of the habitat protections in s. 10 of the </w:t>
      </w:r>
      <w:r>
        <w:rPr>
          <w:i/>
          <w:iCs/>
        </w:rPr>
        <w:t>ESA</w:t>
      </w:r>
      <w:r>
        <w:t xml:space="preserve"> for most species at risk, the proper interpretation of the definition is central to fulfilling the </w:t>
      </w:r>
      <w:r>
        <w:lastRenderedPageBreak/>
        <w:t xml:space="preserve">purposes of the </w:t>
      </w:r>
      <w:r>
        <w:rPr>
          <w:i/>
          <w:iCs/>
        </w:rPr>
        <w:t>ESA</w:t>
      </w:r>
      <w:r>
        <w:t xml:space="preserve">. One of those purposes is “to protect species that are at risk and their habitats, and to promote the recovery of species that are at risk.” The Crown submits that the proper interpretation of this core concept in the </w:t>
      </w:r>
      <w:r>
        <w:rPr>
          <w:i/>
          <w:iCs/>
        </w:rPr>
        <w:t>ESA</w:t>
      </w:r>
      <w:r>
        <w:t xml:space="preserve"> is essential in the public interest.</w:t>
      </w:r>
    </w:p>
    <w:p w14:paraId="70426544" w14:textId="77777777" w:rsidR="0088713B" w:rsidRDefault="002735DE">
      <w:pPr>
        <w:numPr>
          <w:ilvl w:val="0"/>
          <w:numId w:val="3"/>
        </w:numPr>
        <w:spacing w:after="240" w:line="360" w:lineRule="auto"/>
      </w:pPr>
      <w:r>
        <w:rPr>
          <w:highlight w:val="white"/>
        </w:rPr>
        <w:t>We implore the SEMCC to grant leave to appeal, as this is essential to the public interest. The approach employed by the OCJ creates a prohibitive evidentiary hurdle that makes environmental protection nearly impossible to enforce. As stated in the (</w:t>
      </w:r>
      <w:r>
        <w:rPr>
          <w:i/>
          <w:iCs/>
        </w:rPr>
        <w:t xml:space="preserve">South Bruce Peninsula), </w:t>
      </w:r>
      <w:r>
        <w:t>the law must be able to address the “potential cumulative effect of small damage over an extended period of time.”</w:t>
      </w:r>
      <w:r>
        <w:rPr>
          <w:b/>
          <w:bCs/>
        </w:rPr>
        <w:t xml:space="preserve"> </w:t>
      </w:r>
      <w:r>
        <w:t xml:space="preserve"> Excluding areas that a species at risk depends on indirectly from the scope of its habitat (as defined under the </w:t>
      </w:r>
      <w:r>
        <w:rPr>
          <w:i/>
          <w:iCs/>
        </w:rPr>
        <w:t>ESA</w:t>
      </w:r>
      <w:r>
        <w:t>) will result in the slow, incremental destruction of ecosystems that make up the habitat of that species at risk.</w:t>
      </w:r>
    </w:p>
    <w:p w14:paraId="3E33D9D0" w14:textId="77777777" w:rsidR="0088713B" w:rsidRDefault="002735DE">
      <w:pPr>
        <w:ind w:left="720" w:right="720"/>
        <w:rPr>
          <w:sz w:val="20"/>
          <w:szCs w:val="20"/>
        </w:rPr>
      </w:pPr>
      <w:hyperlink r:id="rId17">
        <w:r>
          <w:rPr>
            <w:i/>
            <w:iCs/>
            <w:sz w:val="20"/>
            <w:szCs w:val="20"/>
          </w:rPr>
          <w:t>Ontario (Natural Resources and Forestry) v. South Bruce Peninsula (Town)</w:t>
        </w:r>
      </w:hyperlink>
      <w:hyperlink r:id="rId18">
        <w:r>
          <w:rPr>
            <w:sz w:val="20"/>
            <w:szCs w:val="20"/>
          </w:rPr>
          <w:t>, 2022 ONCA 315</w:t>
        </w:r>
      </w:hyperlink>
      <w:r>
        <w:rPr>
          <w:sz w:val="20"/>
          <w:szCs w:val="20"/>
        </w:rPr>
        <w:t xml:space="preserve"> at para 35 [</w:t>
      </w:r>
      <w:r>
        <w:rPr>
          <w:i/>
          <w:iCs/>
          <w:sz w:val="20"/>
          <w:szCs w:val="20"/>
        </w:rPr>
        <w:t>South Bruce Peninsula</w:t>
      </w:r>
      <w:r>
        <w:rPr>
          <w:sz w:val="20"/>
          <w:szCs w:val="20"/>
        </w:rPr>
        <w:t>].</w:t>
      </w:r>
    </w:p>
    <w:p w14:paraId="6637E0FE" w14:textId="77777777" w:rsidR="0088713B" w:rsidRDefault="002735DE">
      <w:pPr>
        <w:numPr>
          <w:ilvl w:val="0"/>
          <w:numId w:val="3"/>
        </w:numPr>
        <w:spacing w:before="240" w:after="200" w:line="360" w:lineRule="auto"/>
      </w:pPr>
      <w:r>
        <w:t xml:space="preserve">In sum, by misinterpreting expert testimony, requiring proof of direct use, and dismissing circumstantial and functional ecological evidence, the OCJ failed to give effect to the express inclusion of indirect dependency within the statutory definition of habitat under s. 2(1)(b) of the </w:t>
      </w:r>
      <w:r>
        <w:rPr>
          <w:i/>
          <w:iCs/>
        </w:rPr>
        <w:t>ESA</w:t>
      </w:r>
      <w:r>
        <w:t>. This constitutes an error of law warranting the granting of leave to appeal in the public interest. If upheld, this would make it practically impossible to enforce the ESA for many endangered species, allow developers to avoid liability by scheduling activities to avoid direct observation, and systematically underprotect species with large home ranges and cryptic behavior like Blanding's Turtle.</w:t>
      </w:r>
    </w:p>
    <w:p w14:paraId="08BF67B6" w14:textId="77777777" w:rsidR="0088713B" w:rsidRDefault="002735DE">
      <w:pPr>
        <w:pStyle w:val="Heading2"/>
        <w:numPr>
          <w:ilvl w:val="1"/>
          <w:numId w:val="1"/>
        </w:numPr>
        <w:spacing w:before="0" w:after="200"/>
        <w:rPr>
          <w:i w:val="0"/>
          <w:iCs w:val="0"/>
          <w:sz w:val="24"/>
          <w:szCs w:val="24"/>
        </w:rPr>
      </w:pPr>
      <w:bookmarkStart w:id="20" w:name="_heading=h.nmjorox1vd1v" w:colFirst="0" w:colLast="0"/>
      <w:bookmarkEnd w:id="20"/>
      <w:r>
        <w:rPr>
          <w:rFonts w:ascii="Times New Roman" w:eastAsia="Times New Roman" w:hAnsi="Times New Roman" w:cs="Times New Roman"/>
          <w:i w:val="0"/>
          <w:iCs w:val="0"/>
          <w:sz w:val="24"/>
          <w:szCs w:val="24"/>
        </w:rPr>
        <w:t xml:space="preserve">ISSUE 4: CHL SHOULD BE STILL TRIED AND CHARGED UNDER THE </w:t>
      </w:r>
      <w:r>
        <w:rPr>
          <w:rFonts w:ascii="Times New Roman" w:eastAsia="Times New Roman" w:hAnsi="Times New Roman" w:cs="Times New Roman"/>
          <w:sz w:val="24"/>
          <w:szCs w:val="24"/>
        </w:rPr>
        <w:t>PROVINCIAL OFFENCES ACT</w:t>
      </w:r>
      <w:r>
        <w:rPr>
          <w:rFonts w:ascii="Times New Roman" w:eastAsia="Times New Roman" w:hAnsi="Times New Roman" w:cs="Times New Roman"/>
          <w:i w:val="0"/>
          <w:iCs w:val="0"/>
          <w:sz w:val="24"/>
          <w:szCs w:val="24"/>
        </w:rPr>
        <w:t xml:space="preserve"> UNDER THE AMENDED DEFINITION OF “HABITAT”.</w:t>
      </w:r>
    </w:p>
    <w:p w14:paraId="31FA7920" w14:textId="77777777" w:rsidR="0088713B" w:rsidRDefault="002735DE">
      <w:pPr>
        <w:pStyle w:val="Heading3"/>
        <w:numPr>
          <w:ilvl w:val="2"/>
          <w:numId w:val="1"/>
        </w:numPr>
        <w:spacing w:before="0" w:after="200" w:line="360" w:lineRule="auto"/>
        <w:rPr>
          <w:i/>
          <w:iCs/>
          <w:sz w:val="24"/>
          <w:szCs w:val="24"/>
        </w:rPr>
      </w:pPr>
      <w:bookmarkStart w:id="21" w:name="_heading=h.w7mews6tqo50" w:colFirst="0" w:colLast="0"/>
      <w:bookmarkEnd w:id="21"/>
      <w:r>
        <w:rPr>
          <w:rFonts w:ascii="Times New Roman" w:eastAsia="Times New Roman" w:hAnsi="Times New Roman" w:cs="Times New Roman"/>
          <w:b w:val="0"/>
          <w:bCs w:val="0"/>
          <w:i/>
          <w:iCs/>
          <w:sz w:val="24"/>
          <w:szCs w:val="24"/>
        </w:rPr>
        <w:t>The Previous Definition of Habitat Under the ESA Should Be Used</w:t>
      </w:r>
    </w:p>
    <w:p w14:paraId="71058974" w14:textId="77777777" w:rsidR="0088713B" w:rsidRDefault="002735DE">
      <w:pPr>
        <w:numPr>
          <w:ilvl w:val="0"/>
          <w:numId w:val="3"/>
        </w:numPr>
        <w:pBdr>
          <w:top w:val="nil"/>
          <w:left w:val="nil"/>
          <w:bottom w:val="nil"/>
          <w:right w:val="nil"/>
          <w:between w:val="nil"/>
        </w:pBdr>
        <w:spacing w:line="360" w:lineRule="auto"/>
        <w:jc w:val="both"/>
      </w:pPr>
      <w:r>
        <w:t xml:space="preserve">CMH’s offence occurred in 2018. The definition of “habitat” under the </w:t>
      </w:r>
      <w:r>
        <w:rPr>
          <w:i/>
          <w:iCs/>
        </w:rPr>
        <w:t>ESA</w:t>
      </w:r>
      <w:r>
        <w:t xml:space="preserve"> was amended by  s. 2(3) of Sched. 2 of the </w:t>
      </w:r>
      <w:r>
        <w:rPr>
          <w:i/>
          <w:iCs/>
        </w:rPr>
        <w:t>Protect Ontario by Unleashing our Economy Act</w:t>
      </w:r>
      <w:r>
        <w:t>, 2025 (the “</w:t>
      </w:r>
      <w:r>
        <w:rPr>
          <w:i/>
          <w:iCs/>
        </w:rPr>
        <w:t>Protect Ontario Act</w:t>
      </w:r>
      <w:r>
        <w:t xml:space="preserve">”). The </w:t>
      </w:r>
      <w:r>
        <w:rPr>
          <w:i/>
          <w:iCs/>
        </w:rPr>
        <w:t>Protect Ontario Act</w:t>
      </w:r>
      <w:r>
        <w:t xml:space="preserve"> came into force several years after the offence.</w:t>
      </w:r>
    </w:p>
    <w:p w14:paraId="7C771642" w14:textId="77777777" w:rsidR="0088713B" w:rsidRDefault="002735DE">
      <w:pPr>
        <w:ind w:left="720" w:right="720"/>
        <w:rPr>
          <w:sz w:val="20"/>
          <w:szCs w:val="20"/>
        </w:rPr>
      </w:pPr>
      <w:r>
        <w:rPr>
          <w:i/>
          <w:iCs/>
          <w:sz w:val="20"/>
          <w:szCs w:val="20"/>
        </w:rPr>
        <w:t>Endangered Species Act</w:t>
      </w:r>
      <w:r>
        <w:rPr>
          <w:sz w:val="20"/>
          <w:szCs w:val="20"/>
        </w:rPr>
        <w:t xml:space="preserve">, 2007, SO 2007, c 6, s 2(1)(b), as amended by </w:t>
      </w:r>
      <w:r>
        <w:rPr>
          <w:i/>
          <w:iCs/>
          <w:sz w:val="20"/>
          <w:szCs w:val="20"/>
        </w:rPr>
        <w:t>Protect Ontario by Unleashing our Economy Act</w:t>
      </w:r>
      <w:r>
        <w:rPr>
          <w:sz w:val="20"/>
          <w:szCs w:val="20"/>
        </w:rPr>
        <w:t>, SO 2025, c 4, Schedule 2, s 2(3).</w:t>
      </w:r>
    </w:p>
    <w:p w14:paraId="7F9DCA33" w14:textId="77777777" w:rsidR="0088713B" w:rsidRDefault="0088713B">
      <w:pPr>
        <w:ind w:right="720"/>
        <w:rPr>
          <w:b/>
          <w:bCs/>
        </w:rPr>
      </w:pPr>
    </w:p>
    <w:p w14:paraId="6362F9D7" w14:textId="77777777" w:rsidR="0088713B" w:rsidRDefault="002735DE">
      <w:pPr>
        <w:numPr>
          <w:ilvl w:val="0"/>
          <w:numId w:val="3"/>
        </w:numPr>
        <w:pBdr>
          <w:top w:val="nil"/>
          <w:left w:val="nil"/>
          <w:bottom w:val="nil"/>
          <w:right w:val="nil"/>
          <w:between w:val="nil"/>
        </w:pBdr>
        <w:spacing w:line="360" w:lineRule="auto"/>
        <w:jc w:val="both"/>
      </w:pPr>
      <w:r>
        <w:t xml:space="preserve">Per </w:t>
      </w:r>
      <w:r>
        <w:rPr>
          <w:i/>
          <w:iCs/>
        </w:rPr>
        <w:t>Albashir</w:t>
      </w:r>
      <w:r>
        <w:t xml:space="preserve">, and as a general principle of statutory interpretation, there is a strong presumption against retroactivity, especially in penal or quasi-criminal contexts. Although the </w:t>
      </w:r>
      <w:r>
        <w:rPr>
          <w:i/>
          <w:iCs/>
        </w:rPr>
        <w:t>ESA</w:t>
      </w:r>
      <w:r>
        <w:t xml:space="preserve"> </w:t>
      </w:r>
      <w:r>
        <w:lastRenderedPageBreak/>
        <w:t xml:space="preserve">is regulatory in nature, offences under the </w:t>
      </w:r>
      <w:r>
        <w:rPr>
          <w:i/>
          <w:iCs/>
        </w:rPr>
        <w:t>Provincial Offences Act</w:t>
      </w:r>
      <w:r>
        <w:t xml:space="preserve"> carry significant penal consequences and therefore engage this presumption.</w:t>
      </w:r>
    </w:p>
    <w:p w14:paraId="67179BEC" w14:textId="77777777" w:rsidR="0088713B" w:rsidRDefault="002735DE">
      <w:pPr>
        <w:pBdr>
          <w:top w:val="nil"/>
          <w:left w:val="nil"/>
          <w:bottom w:val="nil"/>
          <w:right w:val="nil"/>
          <w:between w:val="nil"/>
        </w:pBdr>
        <w:spacing w:after="200"/>
        <w:ind w:left="720" w:right="720"/>
        <w:jc w:val="both"/>
        <w:rPr>
          <w:sz w:val="20"/>
          <w:szCs w:val="20"/>
        </w:rPr>
      </w:pPr>
      <w:r>
        <w:rPr>
          <w:i/>
          <w:iCs/>
          <w:sz w:val="20"/>
          <w:szCs w:val="20"/>
        </w:rPr>
        <w:t>R v Albashir</w:t>
      </w:r>
      <w:r>
        <w:rPr>
          <w:sz w:val="20"/>
          <w:szCs w:val="20"/>
        </w:rPr>
        <w:t>, 2021 SCC 48 [</w:t>
      </w:r>
      <w:r>
        <w:rPr>
          <w:i/>
          <w:iCs/>
          <w:sz w:val="20"/>
          <w:szCs w:val="20"/>
        </w:rPr>
        <w:t>Albashir</w:t>
      </w:r>
      <w:r>
        <w:rPr>
          <w:sz w:val="20"/>
          <w:szCs w:val="20"/>
        </w:rPr>
        <w:t>].</w:t>
      </w:r>
    </w:p>
    <w:p w14:paraId="0FC59F61" w14:textId="77777777" w:rsidR="0088713B" w:rsidRDefault="002735DE">
      <w:pPr>
        <w:numPr>
          <w:ilvl w:val="0"/>
          <w:numId w:val="3"/>
        </w:numPr>
        <w:pBdr>
          <w:top w:val="nil"/>
          <w:left w:val="nil"/>
          <w:bottom w:val="nil"/>
          <w:right w:val="nil"/>
          <w:between w:val="nil"/>
        </w:pBdr>
        <w:spacing w:line="360" w:lineRule="auto"/>
        <w:jc w:val="both"/>
      </w:pPr>
      <w:r>
        <w:t xml:space="preserve">Per the </w:t>
      </w:r>
      <w:r>
        <w:rPr>
          <w:i/>
          <w:iCs/>
        </w:rPr>
        <w:t>Canadian Charter of Rights and Freedoms</w:t>
      </w:r>
      <w:r>
        <w:t>, section 11(g), a person charged with an offence has the right “not to be found guilty on account of any act or omission unless, at the time of the act or omission, it constituted an offence under Canadian or international law”. This further reflects the principle that no individual may be found guilty of an offence unless the impugned conduct constituted an offence at the time it occurred.</w:t>
      </w:r>
    </w:p>
    <w:p w14:paraId="2B7FFC45" w14:textId="77777777" w:rsidR="0088713B" w:rsidRDefault="002735DE">
      <w:pPr>
        <w:pBdr>
          <w:top w:val="nil"/>
          <w:left w:val="nil"/>
          <w:bottom w:val="nil"/>
          <w:right w:val="nil"/>
          <w:between w:val="nil"/>
        </w:pBdr>
        <w:spacing w:after="200"/>
        <w:ind w:left="720" w:right="720"/>
        <w:jc w:val="both"/>
        <w:rPr>
          <w:sz w:val="20"/>
          <w:szCs w:val="20"/>
        </w:rPr>
      </w:pPr>
      <w:r>
        <w:rPr>
          <w:i/>
          <w:iCs/>
          <w:sz w:val="20"/>
          <w:szCs w:val="20"/>
        </w:rPr>
        <w:t>Canadian Charter of Rights and Freedoms</w:t>
      </w:r>
      <w:r>
        <w:rPr>
          <w:sz w:val="20"/>
          <w:szCs w:val="20"/>
        </w:rPr>
        <w:t xml:space="preserve">, Part I of the </w:t>
      </w:r>
      <w:r>
        <w:rPr>
          <w:i/>
          <w:iCs/>
          <w:sz w:val="20"/>
          <w:szCs w:val="20"/>
        </w:rPr>
        <w:t>Constitution Act</w:t>
      </w:r>
      <w:r>
        <w:rPr>
          <w:sz w:val="20"/>
          <w:szCs w:val="20"/>
        </w:rPr>
        <w:t xml:space="preserve">, 1982, being Schedule B to the </w:t>
      </w:r>
      <w:r>
        <w:rPr>
          <w:i/>
          <w:iCs/>
          <w:sz w:val="20"/>
          <w:szCs w:val="20"/>
        </w:rPr>
        <w:t>Canada Act 1982</w:t>
      </w:r>
      <w:r>
        <w:rPr>
          <w:sz w:val="20"/>
          <w:szCs w:val="20"/>
        </w:rPr>
        <w:t xml:space="preserve"> (UK), 1982, c 11, s 11(g).</w:t>
      </w:r>
    </w:p>
    <w:p w14:paraId="67FDA719" w14:textId="77777777" w:rsidR="0088713B" w:rsidRDefault="002735DE">
      <w:pPr>
        <w:numPr>
          <w:ilvl w:val="0"/>
          <w:numId w:val="3"/>
        </w:numPr>
        <w:pBdr>
          <w:top w:val="nil"/>
          <w:left w:val="nil"/>
          <w:bottom w:val="nil"/>
          <w:right w:val="nil"/>
          <w:between w:val="nil"/>
        </w:pBdr>
        <w:spacing w:line="360" w:lineRule="auto"/>
        <w:jc w:val="both"/>
      </w:pPr>
      <w:r>
        <w:t>However, for the purposes of this submission, it is assumed that the amended definition of “habitat” was in force when CHL was charged and tried. On this assumption, the question becomes whether the conduct at issue would still constitute an offense under the amended definition.</w:t>
      </w:r>
    </w:p>
    <w:p w14:paraId="09006797" w14:textId="77777777" w:rsidR="0088713B" w:rsidRDefault="002735DE">
      <w:pPr>
        <w:numPr>
          <w:ilvl w:val="0"/>
          <w:numId w:val="3"/>
        </w:numPr>
        <w:pBdr>
          <w:top w:val="nil"/>
          <w:left w:val="nil"/>
          <w:bottom w:val="nil"/>
          <w:right w:val="nil"/>
          <w:between w:val="nil"/>
        </w:pBdr>
        <w:spacing w:line="360" w:lineRule="auto"/>
        <w:jc w:val="both"/>
      </w:pPr>
      <w:r>
        <w:t xml:space="preserve">The </w:t>
      </w:r>
      <w:r>
        <w:rPr>
          <w:i/>
          <w:iCs/>
        </w:rPr>
        <w:t>Protect Ontario Act</w:t>
      </w:r>
      <w:r>
        <w:t>, as relevant to Blanding’s Turtle, defines habitat (hereafter the “New Definition of Habitat”) as:</w:t>
      </w:r>
    </w:p>
    <w:p w14:paraId="6F92C8D8" w14:textId="77777777" w:rsidR="0088713B" w:rsidRDefault="002735DE">
      <w:pPr>
        <w:ind w:left="720" w:right="720"/>
        <w:jc w:val="both"/>
      </w:pPr>
      <w:r>
        <w:t>(a)  in respect of an animal species,</w:t>
      </w:r>
    </w:p>
    <w:p w14:paraId="6D300120" w14:textId="77777777" w:rsidR="0088713B" w:rsidRDefault="0088713B">
      <w:pPr>
        <w:ind w:left="720" w:right="720"/>
        <w:jc w:val="both"/>
      </w:pPr>
    </w:p>
    <w:p w14:paraId="65A80FCD" w14:textId="77777777" w:rsidR="0088713B" w:rsidRDefault="002735DE">
      <w:pPr>
        <w:ind w:left="1440" w:right="720"/>
        <w:jc w:val="both"/>
      </w:pPr>
      <w:r>
        <w:t>(i)  a dwelling-place, such as a den, nest or other similar place, that is occupied or habitually occupied by one or more members of a species for the purposes of breeding, rearing, staging, wintering or hibernating, and</w:t>
      </w:r>
    </w:p>
    <w:p w14:paraId="7B7309F4" w14:textId="77777777" w:rsidR="0088713B" w:rsidRDefault="0088713B">
      <w:pPr>
        <w:ind w:left="1440" w:right="720"/>
        <w:jc w:val="both"/>
      </w:pPr>
    </w:p>
    <w:p w14:paraId="0751D7B8" w14:textId="77777777" w:rsidR="0088713B" w:rsidRDefault="002735DE">
      <w:pPr>
        <w:ind w:left="1440" w:right="720"/>
        <w:jc w:val="both"/>
      </w:pPr>
      <w:r>
        <w:t>(ii)  the area immediately around a dwelling place described in subclause (i) that is essential for the purposes set out in that subclause.</w:t>
      </w:r>
    </w:p>
    <w:p w14:paraId="69CD6DE8" w14:textId="77777777" w:rsidR="0088713B" w:rsidRDefault="002735DE">
      <w:pPr>
        <w:spacing w:before="200" w:after="200"/>
        <w:ind w:left="720" w:right="720"/>
      </w:pPr>
      <w:r>
        <w:rPr>
          <w:i/>
          <w:iCs/>
          <w:sz w:val="20"/>
          <w:szCs w:val="20"/>
        </w:rPr>
        <w:t>ESA</w:t>
      </w:r>
      <w:r>
        <w:rPr>
          <w:sz w:val="20"/>
          <w:szCs w:val="20"/>
        </w:rPr>
        <w:t xml:space="preserve">, supra para 16, s 2(1)(b), as amended by </w:t>
      </w:r>
      <w:r>
        <w:rPr>
          <w:i/>
          <w:iCs/>
          <w:sz w:val="20"/>
          <w:szCs w:val="20"/>
        </w:rPr>
        <w:t>Protect Ontario by Unleashing our Economy Act</w:t>
      </w:r>
      <w:r>
        <w:rPr>
          <w:sz w:val="20"/>
          <w:szCs w:val="20"/>
        </w:rPr>
        <w:t>, SO 2025, c 4, Schedule 2, s 2(3).</w:t>
      </w:r>
    </w:p>
    <w:p w14:paraId="08FE42BD" w14:textId="77777777" w:rsidR="0088713B" w:rsidRDefault="002735DE">
      <w:pPr>
        <w:numPr>
          <w:ilvl w:val="0"/>
          <w:numId w:val="3"/>
        </w:numPr>
        <w:pBdr>
          <w:top w:val="nil"/>
          <w:left w:val="nil"/>
          <w:bottom w:val="nil"/>
          <w:right w:val="nil"/>
          <w:between w:val="nil"/>
        </w:pBdr>
        <w:spacing w:line="360" w:lineRule="auto"/>
        <w:jc w:val="both"/>
      </w:pPr>
      <w:r>
        <w:t>As set out below, the conduct by CHL would still constitute an offense.</w:t>
      </w:r>
    </w:p>
    <w:p w14:paraId="1D52FDE4" w14:textId="77777777" w:rsidR="0088713B" w:rsidRDefault="002735DE">
      <w:pPr>
        <w:pStyle w:val="Heading3"/>
        <w:numPr>
          <w:ilvl w:val="2"/>
          <w:numId w:val="1"/>
        </w:numPr>
        <w:spacing w:line="360" w:lineRule="auto"/>
        <w:rPr>
          <w:i/>
          <w:iCs/>
          <w:sz w:val="22"/>
          <w:szCs w:val="22"/>
        </w:rPr>
      </w:pPr>
      <w:bookmarkStart w:id="22" w:name="_heading=h.8ubwd1z07zzr" w:colFirst="0" w:colLast="0"/>
      <w:bookmarkEnd w:id="22"/>
      <w:r>
        <w:rPr>
          <w:rFonts w:ascii="Times New Roman" w:eastAsia="Times New Roman" w:hAnsi="Times New Roman" w:cs="Times New Roman"/>
          <w:b w:val="0"/>
          <w:bCs w:val="0"/>
          <w:i/>
          <w:iCs/>
          <w:sz w:val="24"/>
          <w:szCs w:val="24"/>
        </w:rPr>
        <w:t>There Are Dwelling-Places Within the Grubbed Area</w:t>
      </w:r>
    </w:p>
    <w:p w14:paraId="13E2D445" w14:textId="77777777" w:rsidR="0088713B" w:rsidRDefault="002735DE">
      <w:pPr>
        <w:numPr>
          <w:ilvl w:val="0"/>
          <w:numId w:val="3"/>
        </w:numPr>
        <w:pBdr>
          <w:top w:val="nil"/>
          <w:left w:val="nil"/>
          <w:bottom w:val="nil"/>
          <w:right w:val="nil"/>
          <w:between w:val="nil"/>
        </w:pBdr>
        <w:spacing w:line="360" w:lineRule="auto"/>
        <w:jc w:val="both"/>
      </w:pPr>
      <w:r>
        <w:t>Active dwelling-places of a species at risk were present within the development lands at the time of the grubbing activities.</w:t>
      </w:r>
    </w:p>
    <w:p w14:paraId="7FF616A1" w14:textId="77777777" w:rsidR="0088713B" w:rsidRDefault="002735DE">
      <w:pPr>
        <w:numPr>
          <w:ilvl w:val="0"/>
          <w:numId w:val="3"/>
        </w:numPr>
        <w:pBdr>
          <w:top w:val="nil"/>
          <w:left w:val="nil"/>
          <w:bottom w:val="nil"/>
          <w:right w:val="nil"/>
          <w:between w:val="nil"/>
        </w:pBdr>
        <w:spacing w:line="360" w:lineRule="auto"/>
        <w:jc w:val="both"/>
      </w:pPr>
      <w:r>
        <w:t xml:space="preserve">Per Mr. Snell’s expert testimony, eggshell fragments of an indeterminate species were identified within metres of the areas that were grubbed, permitting a reasonable inference that nesting activity occurred in close proximity to the disturbed area. Under the New Definition of </w:t>
      </w:r>
      <w:r>
        <w:lastRenderedPageBreak/>
        <w:t xml:space="preserve">Habitat under the </w:t>
      </w:r>
      <w:r>
        <w:rPr>
          <w:i/>
          <w:iCs/>
        </w:rPr>
        <w:t>ESA</w:t>
      </w:r>
      <w:r>
        <w:t>, it can be reasonably inferred occupied or habitually occupied by members of the species during the breeding season.</w:t>
      </w:r>
    </w:p>
    <w:p w14:paraId="1ECF2E34" w14:textId="77777777" w:rsidR="0088713B" w:rsidRDefault="002735DE">
      <w:pPr>
        <w:numPr>
          <w:ilvl w:val="0"/>
          <w:numId w:val="3"/>
        </w:numPr>
        <w:pBdr>
          <w:top w:val="nil"/>
          <w:left w:val="nil"/>
          <w:bottom w:val="nil"/>
          <w:right w:val="nil"/>
          <w:between w:val="nil"/>
        </w:pBdr>
        <w:spacing w:line="360" w:lineRule="auto"/>
        <w:jc w:val="both"/>
      </w:pPr>
      <w:r>
        <w:t>The existence of these dwelling-places was not speculative. The cumulative evidence at trial led to strong inferences that nests were active and vulnerable during the period in which CHL carried out the grubbing operations.</w:t>
      </w:r>
    </w:p>
    <w:p w14:paraId="0D2C435B" w14:textId="77777777" w:rsidR="0088713B" w:rsidRDefault="002735DE">
      <w:pPr>
        <w:numPr>
          <w:ilvl w:val="0"/>
          <w:numId w:val="3"/>
        </w:numPr>
        <w:pBdr>
          <w:top w:val="nil"/>
          <w:left w:val="nil"/>
          <w:bottom w:val="nil"/>
          <w:right w:val="nil"/>
          <w:between w:val="nil"/>
        </w:pBdr>
        <w:spacing w:line="360" w:lineRule="auto"/>
        <w:jc w:val="both"/>
      </w:pPr>
      <w:r>
        <w:t>Thus, even under the amended definition of “habitat,” which continues to protect dwelling-places expressly, the factual record establishes that the grubbing activities occurred in an area that meets the New Definition of Habitat of the Blanding’s Turtle.</w:t>
      </w:r>
    </w:p>
    <w:p w14:paraId="7620B1F4" w14:textId="77777777" w:rsidR="0088713B" w:rsidRDefault="002735DE">
      <w:pPr>
        <w:pStyle w:val="Heading3"/>
        <w:numPr>
          <w:ilvl w:val="2"/>
          <w:numId w:val="1"/>
        </w:numPr>
        <w:spacing w:before="200" w:after="200"/>
        <w:rPr>
          <w:i/>
          <w:iCs/>
          <w:sz w:val="24"/>
          <w:szCs w:val="24"/>
        </w:rPr>
      </w:pPr>
      <w:bookmarkStart w:id="23" w:name="_heading=h.1uyi5amwe3a" w:colFirst="0" w:colLast="0"/>
      <w:bookmarkEnd w:id="23"/>
      <w:r>
        <w:rPr>
          <w:rFonts w:ascii="Times New Roman" w:eastAsia="Times New Roman" w:hAnsi="Times New Roman" w:cs="Times New Roman"/>
          <w:b w:val="0"/>
          <w:bCs w:val="0"/>
          <w:i/>
          <w:iCs/>
          <w:sz w:val="24"/>
          <w:szCs w:val="24"/>
        </w:rPr>
        <w:t>The Grubbed Area Is Directly Next to and Essential for the Purposes of the Dwelling-Places</w:t>
      </w:r>
    </w:p>
    <w:p w14:paraId="5F57CACF" w14:textId="77777777" w:rsidR="0088713B" w:rsidRDefault="002735DE">
      <w:pPr>
        <w:numPr>
          <w:ilvl w:val="0"/>
          <w:numId w:val="3"/>
        </w:numPr>
        <w:pBdr>
          <w:top w:val="nil"/>
          <w:left w:val="nil"/>
          <w:bottom w:val="nil"/>
          <w:right w:val="nil"/>
          <w:between w:val="nil"/>
        </w:pBdr>
        <w:spacing w:line="360" w:lineRule="auto"/>
        <w:jc w:val="both"/>
      </w:pPr>
      <w:r>
        <w:t xml:space="preserve">The Site was directly adjacent to the dwelling-places and formed part of the ecological space necessary for the Blanding’s Turtle continued use. The Site was not peripheral or incidental, but instead contributed to the functional integrity of the dwelling-places. </w:t>
      </w:r>
    </w:p>
    <w:p w14:paraId="460C5A10" w14:textId="77777777" w:rsidR="0088713B" w:rsidRDefault="002735DE">
      <w:pPr>
        <w:numPr>
          <w:ilvl w:val="0"/>
          <w:numId w:val="3"/>
        </w:numPr>
        <w:pBdr>
          <w:top w:val="nil"/>
          <w:left w:val="nil"/>
          <w:bottom w:val="nil"/>
          <w:right w:val="nil"/>
          <w:between w:val="nil"/>
        </w:pBdr>
        <w:spacing w:line="360" w:lineRule="auto"/>
        <w:jc w:val="both"/>
      </w:pPr>
      <w:r>
        <w:t>The GHD demonstrates that the disturbed land was essential for activities such as movement, shelter, thermoregulation, and protection from predators. Without this surrounding area, the dwelling-places could not serve their intended biological function.</w:t>
      </w:r>
    </w:p>
    <w:p w14:paraId="62E8031C" w14:textId="77777777" w:rsidR="0088713B" w:rsidRDefault="002735DE">
      <w:pPr>
        <w:numPr>
          <w:ilvl w:val="0"/>
          <w:numId w:val="3"/>
        </w:numPr>
        <w:pBdr>
          <w:top w:val="nil"/>
          <w:left w:val="nil"/>
          <w:bottom w:val="nil"/>
          <w:right w:val="nil"/>
          <w:between w:val="nil"/>
        </w:pBdr>
        <w:spacing w:line="360" w:lineRule="auto"/>
        <w:jc w:val="both"/>
      </w:pPr>
      <w:r>
        <w:t>The Site is less than 30 metres away from Circle Lake.</w:t>
      </w:r>
      <w:r>
        <w:t xml:space="preserve"> The relevant area was adjacent to potential dwelling-places, restricting the essential purposes of these dwelling-places.</w:t>
      </w:r>
    </w:p>
    <w:p w14:paraId="79CC2734" w14:textId="77777777" w:rsidR="0088713B" w:rsidRDefault="002735DE">
      <w:pPr>
        <w:numPr>
          <w:ilvl w:val="0"/>
          <w:numId w:val="3"/>
        </w:numPr>
        <w:pBdr>
          <w:top w:val="nil"/>
          <w:left w:val="nil"/>
          <w:bottom w:val="nil"/>
          <w:right w:val="nil"/>
          <w:between w:val="nil"/>
        </w:pBdr>
        <w:spacing w:line="360" w:lineRule="auto"/>
        <w:jc w:val="both"/>
      </w:pPr>
      <w:r>
        <w:t xml:space="preserve">Even under the amended definition of “habitat,” areas that are functionally necessary to dwelling-places remain protected. A definition of habitat that excludes land essential to the survival and use of dwelling-places would defeat the purpose of the </w:t>
      </w:r>
      <w:r>
        <w:rPr>
          <w:i/>
          <w:iCs/>
        </w:rPr>
        <w:t>ESA</w:t>
      </w:r>
      <w:r>
        <w:t>.</w:t>
      </w:r>
    </w:p>
    <w:p w14:paraId="2808F485" w14:textId="77777777" w:rsidR="0088713B" w:rsidRDefault="002735DE">
      <w:pPr>
        <w:numPr>
          <w:ilvl w:val="0"/>
          <w:numId w:val="3"/>
        </w:numPr>
        <w:pBdr>
          <w:top w:val="nil"/>
          <w:left w:val="nil"/>
          <w:bottom w:val="nil"/>
          <w:right w:val="nil"/>
          <w:between w:val="nil"/>
        </w:pBdr>
        <w:spacing w:line="360" w:lineRule="auto"/>
        <w:jc w:val="both"/>
      </w:pPr>
      <w:r>
        <w:t xml:space="preserve">Therefore, CHL’s grubbing activities at the Material Time resulted in the damage or destruction of the Site, which still meets the New Definition of Habitat under the </w:t>
      </w:r>
      <w:r>
        <w:rPr>
          <w:i/>
          <w:iCs/>
        </w:rPr>
        <w:t>ESA</w:t>
      </w:r>
      <w:r>
        <w:t>.</w:t>
      </w:r>
    </w:p>
    <w:p w14:paraId="7A996B41" w14:textId="77777777" w:rsidR="0088713B" w:rsidRDefault="002735DE">
      <w:pPr>
        <w:pStyle w:val="Heading3"/>
        <w:numPr>
          <w:ilvl w:val="2"/>
          <w:numId w:val="1"/>
        </w:numPr>
        <w:spacing w:after="200" w:line="360" w:lineRule="auto"/>
        <w:rPr>
          <w:i/>
          <w:iCs/>
          <w:sz w:val="22"/>
          <w:szCs w:val="22"/>
        </w:rPr>
      </w:pPr>
      <w:bookmarkStart w:id="24" w:name="_heading=h.97mfln2c95bh" w:colFirst="0" w:colLast="0"/>
      <w:bookmarkEnd w:id="24"/>
      <w:r>
        <w:rPr>
          <w:rFonts w:ascii="Times New Roman" w:eastAsia="Times New Roman" w:hAnsi="Times New Roman" w:cs="Times New Roman"/>
          <w:b w:val="0"/>
          <w:bCs w:val="0"/>
          <w:i/>
          <w:iCs/>
          <w:sz w:val="24"/>
          <w:szCs w:val="24"/>
        </w:rPr>
        <w:t>Environmental Legislation Should Be Interpreted with an Expansive Approach</w:t>
      </w:r>
    </w:p>
    <w:p w14:paraId="6AB48DC1" w14:textId="77777777" w:rsidR="0088713B" w:rsidRDefault="002735DE">
      <w:pPr>
        <w:numPr>
          <w:ilvl w:val="0"/>
          <w:numId w:val="3"/>
        </w:numPr>
        <w:pBdr>
          <w:top w:val="nil"/>
          <w:left w:val="nil"/>
          <w:bottom w:val="nil"/>
          <w:right w:val="nil"/>
          <w:between w:val="nil"/>
        </w:pBdr>
        <w:spacing w:line="360" w:lineRule="auto"/>
        <w:jc w:val="both"/>
      </w:pPr>
      <w:r>
        <w:t>Environmental protection legislation must be interpreted in a broad, purposive, and precautionary manner. Canadian jurisprudence has consistently emphasized that such statutes should not be read narrowly or so technically that it undermines these statutes’ remedial objectives.</w:t>
      </w:r>
    </w:p>
    <w:p w14:paraId="2BAF09BE" w14:textId="77777777" w:rsidR="0088713B" w:rsidRDefault="002735DE">
      <w:pPr>
        <w:numPr>
          <w:ilvl w:val="0"/>
          <w:numId w:val="3"/>
        </w:numPr>
        <w:pBdr>
          <w:top w:val="nil"/>
          <w:left w:val="nil"/>
          <w:bottom w:val="nil"/>
          <w:right w:val="nil"/>
          <w:between w:val="nil"/>
        </w:pBdr>
        <w:spacing w:line="360" w:lineRule="auto"/>
        <w:jc w:val="both"/>
      </w:pPr>
      <w:r>
        <w:t xml:space="preserve">In </w:t>
      </w:r>
      <w:r>
        <w:rPr>
          <w:i/>
          <w:iCs/>
        </w:rPr>
        <w:t>Castonguay</w:t>
      </w:r>
      <w:r>
        <w:t>, the Supreme Court held that environmental statutes require an interpretation that gives full effect to their protective purpose, even where this results in broader regulatory reach.</w:t>
      </w:r>
    </w:p>
    <w:p w14:paraId="751595B0" w14:textId="77777777" w:rsidR="0088713B" w:rsidRDefault="002735DE">
      <w:pPr>
        <w:pBdr>
          <w:top w:val="nil"/>
          <w:left w:val="nil"/>
          <w:bottom w:val="nil"/>
          <w:right w:val="nil"/>
          <w:between w:val="nil"/>
        </w:pBdr>
        <w:spacing w:line="360" w:lineRule="auto"/>
        <w:ind w:firstLine="720"/>
        <w:jc w:val="both"/>
        <w:rPr>
          <w:sz w:val="20"/>
          <w:szCs w:val="20"/>
        </w:rPr>
      </w:pPr>
      <w:r>
        <w:rPr>
          <w:i/>
          <w:iCs/>
          <w:sz w:val="20"/>
          <w:szCs w:val="20"/>
        </w:rPr>
        <w:lastRenderedPageBreak/>
        <w:t>Castonguay, supra</w:t>
      </w:r>
      <w:r>
        <w:rPr>
          <w:sz w:val="20"/>
          <w:szCs w:val="20"/>
        </w:rPr>
        <w:t xml:space="preserve"> para 35.</w:t>
      </w:r>
    </w:p>
    <w:p w14:paraId="581C6EB5" w14:textId="77777777" w:rsidR="0088713B" w:rsidRDefault="002735DE">
      <w:pPr>
        <w:numPr>
          <w:ilvl w:val="0"/>
          <w:numId w:val="3"/>
        </w:numPr>
        <w:pBdr>
          <w:top w:val="nil"/>
          <w:left w:val="nil"/>
          <w:bottom w:val="nil"/>
          <w:right w:val="nil"/>
          <w:between w:val="nil"/>
        </w:pBdr>
        <w:spacing w:line="360" w:lineRule="auto"/>
        <w:jc w:val="both"/>
      </w:pPr>
      <w:r>
        <w:t xml:space="preserve">Applying the </w:t>
      </w:r>
      <w:r>
        <w:rPr>
          <w:i/>
          <w:iCs/>
        </w:rPr>
        <w:t>Castonguay</w:t>
      </w:r>
      <w:r>
        <w:t xml:space="preserve"> principle, the amended definition of “habitat” must be understood to include not only the physical dwelling-places themselves, but also adjacent and functionally connected areas essential to their use.</w:t>
      </w:r>
    </w:p>
    <w:p w14:paraId="55CFF3A3" w14:textId="77777777" w:rsidR="0088713B" w:rsidRDefault="002735DE">
      <w:pPr>
        <w:spacing w:line="360" w:lineRule="auto"/>
        <w:ind w:firstLine="720"/>
        <w:jc w:val="both"/>
        <w:rPr>
          <w:sz w:val="20"/>
          <w:szCs w:val="20"/>
        </w:rPr>
      </w:pPr>
      <w:r>
        <w:rPr>
          <w:i/>
          <w:iCs/>
          <w:sz w:val="20"/>
          <w:szCs w:val="20"/>
        </w:rPr>
        <w:t>Castonguay, supra</w:t>
      </w:r>
      <w:r>
        <w:rPr>
          <w:sz w:val="20"/>
          <w:szCs w:val="20"/>
        </w:rPr>
        <w:t xml:space="preserve"> para 35.</w:t>
      </w:r>
    </w:p>
    <w:p w14:paraId="25C2A4E9" w14:textId="77777777" w:rsidR="0088713B" w:rsidRDefault="002735DE">
      <w:pPr>
        <w:numPr>
          <w:ilvl w:val="0"/>
          <w:numId w:val="3"/>
        </w:numPr>
        <w:pBdr>
          <w:top w:val="nil"/>
          <w:left w:val="nil"/>
          <w:bottom w:val="nil"/>
          <w:right w:val="nil"/>
          <w:between w:val="nil"/>
        </w:pBdr>
        <w:spacing w:line="360" w:lineRule="auto"/>
        <w:jc w:val="both"/>
      </w:pPr>
      <w:r>
        <w:t xml:space="preserve">An expansive interpretation ensures that the </w:t>
      </w:r>
      <w:r>
        <w:rPr>
          <w:i/>
          <w:iCs/>
        </w:rPr>
        <w:t>ESA</w:t>
      </w:r>
      <w:r>
        <w:t xml:space="preserve"> continues to fulfill its core objective of preventing harm to species at risk, and avoids creating artificial loopholes that would permit indirect habitat destruction.</w:t>
      </w:r>
    </w:p>
    <w:p w14:paraId="373D3950" w14:textId="77777777" w:rsidR="0088713B" w:rsidRDefault="002735DE">
      <w:pPr>
        <w:pStyle w:val="Heading1"/>
        <w:numPr>
          <w:ilvl w:val="0"/>
          <w:numId w:val="2"/>
        </w:numPr>
        <w:spacing w:before="0" w:after="0" w:line="360" w:lineRule="auto"/>
        <w:ind w:left="720" w:hanging="720"/>
        <w:rPr>
          <w:sz w:val="24"/>
          <w:szCs w:val="24"/>
        </w:rPr>
      </w:pPr>
      <w:bookmarkStart w:id="25" w:name="_heading=h.8eecchevrin" w:colFirst="0" w:colLast="0"/>
      <w:bookmarkEnd w:id="25"/>
      <w:r>
        <w:rPr>
          <w:rFonts w:ascii="Times New Roman" w:eastAsia="Times New Roman" w:hAnsi="Times New Roman" w:cs="Times New Roman"/>
          <w:sz w:val="24"/>
          <w:szCs w:val="24"/>
        </w:rPr>
        <w:t>SUBMISSIONS IN SUPPORT OF COSTS</w:t>
      </w:r>
    </w:p>
    <w:p w14:paraId="42CC9485" w14:textId="77777777" w:rsidR="0088713B" w:rsidRDefault="002735DE">
      <w:pPr>
        <w:numPr>
          <w:ilvl w:val="0"/>
          <w:numId w:val="3"/>
        </w:numPr>
        <w:pBdr>
          <w:top w:val="nil"/>
          <w:left w:val="nil"/>
          <w:bottom w:val="nil"/>
          <w:right w:val="nil"/>
          <w:between w:val="nil"/>
        </w:pBdr>
        <w:spacing w:line="360" w:lineRule="auto"/>
      </w:pPr>
      <w:r>
        <w:t>The Appellant requests costs in this appeal to be awarded in accordance with the Rules of the SEMCC.</w:t>
      </w:r>
    </w:p>
    <w:p w14:paraId="3D6A7FB8" w14:textId="77777777" w:rsidR="0088713B" w:rsidRDefault="002735DE">
      <w:pPr>
        <w:pStyle w:val="Heading1"/>
        <w:numPr>
          <w:ilvl w:val="0"/>
          <w:numId w:val="2"/>
        </w:numPr>
        <w:spacing w:before="0" w:after="0" w:line="360" w:lineRule="auto"/>
        <w:ind w:left="720" w:hanging="720"/>
        <w:rPr>
          <w:sz w:val="24"/>
          <w:szCs w:val="24"/>
        </w:rPr>
      </w:pPr>
      <w:bookmarkStart w:id="26" w:name="_heading=h.p0w2fgiaerua" w:colFirst="0" w:colLast="0"/>
      <w:bookmarkEnd w:id="26"/>
      <w:r>
        <w:rPr>
          <w:rFonts w:ascii="Times New Roman" w:eastAsia="Times New Roman" w:hAnsi="Times New Roman" w:cs="Times New Roman"/>
          <w:sz w:val="24"/>
          <w:szCs w:val="24"/>
        </w:rPr>
        <w:t>ORDER SOUGHT</w:t>
      </w:r>
    </w:p>
    <w:p w14:paraId="39B281AC" w14:textId="77777777" w:rsidR="0088713B" w:rsidRDefault="002735DE">
      <w:pPr>
        <w:numPr>
          <w:ilvl w:val="0"/>
          <w:numId w:val="3"/>
        </w:numPr>
        <w:spacing w:line="276" w:lineRule="auto"/>
      </w:pPr>
      <w:r>
        <w:t xml:space="preserve">The Appellant respectfully requests that this Honourable Court to allow the appeal and restore the claims made against the Respondent. </w:t>
      </w:r>
    </w:p>
    <w:p w14:paraId="1025766F" w14:textId="77777777" w:rsidR="0088713B" w:rsidRDefault="0088713B">
      <w:pPr>
        <w:spacing w:line="360" w:lineRule="auto"/>
      </w:pPr>
    </w:p>
    <w:p w14:paraId="083D36BA" w14:textId="77777777" w:rsidR="0088713B" w:rsidRDefault="0088713B">
      <w:pPr>
        <w:spacing w:line="360" w:lineRule="auto"/>
      </w:pPr>
    </w:p>
    <w:p w14:paraId="2F692C1A" w14:textId="77777777" w:rsidR="0088713B" w:rsidRDefault="0088713B">
      <w:pPr>
        <w:spacing w:line="360" w:lineRule="auto"/>
      </w:pPr>
    </w:p>
    <w:p w14:paraId="70CDB390" w14:textId="77777777" w:rsidR="0088713B" w:rsidRDefault="002735DE">
      <w:pPr>
        <w:spacing w:line="360" w:lineRule="auto"/>
      </w:pPr>
      <w:r>
        <w:t>ALL OF WHICH IS RESPECTFULLY SUBMITTED this</w:t>
      </w:r>
      <w:bookmarkStart w:id="27" w:name="bookmark=id.3dcjdrbv160f" w:colFirst="0" w:colLast="0"/>
      <w:bookmarkEnd w:id="27"/>
      <w:r>
        <w:t xml:space="preserve"> 9th day of</w:t>
      </w:r>
      <w:bookmarkStart w:id="28" w:name="bookmark=id.81ex3lmq7usn" w:colFirst="0" w:colLast="0"/>
      <w:bookmarkEnd w:id="28"/>
      <w:r>
        <w:t xml:space="preserve"> January, 2026.</w:t>
      </w:r>
    </w:p>
    <w:p w14:paraId="1E6E9E84" w14:textId="77777777" w:rsidR="0088713B" w:rsidRDefault="0088713B">
      <w:pPr>
        <w:spacing w:line="360" w:lineRule="auto"/>
      </w:pPr>
    </w:p>
    <w:p w14:paraId="14C3E388" w14:textId="77777777" w:rsidR="0088713B" w:rsidRDefault="002735DE">
      <w:pPr>
        <w:jc w:val="right"/>
      </w:pPr>
      <w:r>
        <w:t>_______________________________</w:t>
      </w:r>
    </w:p>
    <w:p w14:paraId="39FC8703" w14:textId="77777777" w:rsidR="0088713B" w:rsidRDefault="002735DE">
      <w:pPr>
        <w:jc w:val="right"/>
      </w:pPr>
      <w:bookmarkStart w:id="29" w:name="bookmark=id.7vne8olnl8al" w:colFirst="0" w:colLast="0"/>
      <w:bookmarkEnd w:id="29"/>
      <w:r>
        <w:t>     </w:t>
      </w:r>
    </w:p>
    <w:p w14:paraId="27D4572E" w14:textId="77777777" w:rsidR="0088713B" w:rsidRDefault="0088713B"/>
    <w:p w14:paraId="1821586E" w14:textId="77777777" w:rsidR="0088713B" w:rsidRDefault="002735DE">
      <w:pPr>
        <w:jc w:val="right"/>
      </w:pPr>
      <w:r>
        <w:t>_______________________________</w:t>
      </w:r>
    </w:p>
    <w:p w14:paraId="524A29D5" w14:textId="77777777" w:rsidR="0088713B" w:rsidRDefault="0088713B">
      <w:pPr>
        <w:jc w:val="right"/>
      </w:pPr>
    </w:p>
    <w:p w14:paraId="0233C13A" w14:textId="77777777" w:rsidR="0088713B" w:rsidRDefault="0088713B">
      <w:pPr>
        <w:jc w:val="right"/>
      </w:pPr>
    </w:p>
    <w:p w14:paraId="16887051" w14:textId="77777777" w:rsidR="0088713B" w:rsidRDefault="002735DE">
      <w:pPr>
        <w:jc w:val="right"/>
      </w:pPr>
      <w:r>
        <w:t>_______________________________</w:t>
      </w:r>
    </w:p>
    <w:p w14:paraId="0B498748" w14:textId="77777777" w:rsidR="0088713B" w:rsidRDefault="0088713B">
      <w:pPr>
        <w:jc w:val="right"/>
      </w:pPr>
    </w:p>
    <w:p w14:paraId="1ED793F3" w14:textId="77777777" w:rsidR="0088713B" w:rsidRDefault="002735DE">
      <w:pPr>
        <w:jc w:val="right"/>
      </w:pPr>
      <w:r>
        <w:t>Counsel for the Appellant</w:t>
      </w:r>
    </w:p>
    <w:p w14:paraId="4F538CFF" w14:textId="77777777" w:rsidR="0088713B" w:rsidRDefault="002735DE">
      <w:pPr>
        <w:jc w:val="right"/>
      </w:pPr>
      <w:r>
        <w:t>His Majesty The King</w:t>
      </w:r>
    </w:p>
    <w:p w14:paraId="5354E38F" w14:textId="77777777" w:rsidR="0088713B" w:rsidRDefault="002735DE">
      <w:pPr>
        <w:pStyle w:val="Heading1"/>
        <w:numPr>
          <w:ilvl w:val="0"/>
          <w:numId w:val="2"/>
        </w:numPr>
        <w:spacing w:before="0" w:after="0" w:line="360" w:lineRule="auto"/>
        <w:ind w:left="720" w:hanging="720"/>
        <w:rPr>
          <w:rFonts w:ascii="Times New Roman" w:eastAsia="Times New Roman" w:hAnsi="Times New Roman" w:cs="Times New Roman"/>
          <w:sz w:val="24"/>
          <w:szCs w:val="24"/>
        </w:rPr>
      </w:pPr>
      <w:bookmarkStart w:id="30" w:name="_heading=h.hkdobpg6a5ej" w:colFirst="0" w:colLast="0"/>
      <w:bookmarkEnd w:id="30"/>
      <w:r>
        <w:br w:type="page"/>
      </w:r>
      <w:r>
        <w:rPr>
          <w:rFonts w:ascii="Times New Roman" w:eastAsia="Times New Roman" w:hAnsi="Times New Roman" w:cs="Times New Roman"/>
          <w:sz w:val="24"/>
          <w:szCs w:val="24"/>
        </w:rPr>
        <w:lastRenderedPageBreak/>
        <w:t>TABLE OF AUTHORITIES</w:t>
      </w:r>
    </w:p>
    <w:p w14:paraId="7AAAC561" w14:textId="77777777" w:rsidR="0088713B" w:rsidRDefault="0088713B">
      <w:pPr>
        <w:spacing w:line="360" w:lineRule="auto"/>
        <w:rPr>
          <w:b/>
          <w:bCs/>
        </w:rPr>
      </w:pPr>
    </w:p>
    <w:p w14:paraId="046311AE" w14:textId="77777777" w:rsidR="0088713B" w:rsidRDefault="002735DE">
      <w:pPr>
        <w:spacing w:line="360" w:lineRule="auto"/>
        <w:jc w:val="center"/>
        <w:rPr>
          <w:u w:val="single"/>
        </w:rPr>
      </w:pPr>
      <w:r>
        <w:rPr>
          <w:u w:val="single"/>
        </w:rPr>
        <w:t>LEGISLATION</w:t>
      </w:r>
    </w:p>
    <w:p w14:paraId="67A9E200" w14:textId="77777777" w:rsidR="0088713B" w:rsidRDefault="002735DE">
      <w:pPr>
        <w:spacing w:line="360" w:lineRule="auto"/>
        <w:ind w:left="7200"/>
        <w:rPr>
          <w:u w:val="single"/>
        </w:rPr>
      </w:pPr>
      <w:r>
        <w:rPr>
          <w:b/>
          <w:bCs/>
        </w:rPr>
        <w:t xml:space="preserve">          Paragraph No.</w:t>
      </w:r>
    </w:p>
    <w:sdt>
      <w:sdtPr>
        <w:tag w:val="goog_rdk_0"/>
        <w:id w:val="1105213391"/>
        <w:lock w:val="contentLocked"/>
      </w:sdtPr>
      <w:sdtEndPr/>
      <w:sdtContent>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05"/>
            <w:gridCol w:w="1155"/>
          </w:tblGrid>
          <w:tr w:rsidR="0088713B" w14:paraId="32968E43" w14:textId="77777777">
            <w:tc>
              <w:tcPr>
                <w:tcW w:w="8205" w:type="dxa"/>
                <w:shd w:val="clear" w:color="auto" w:fill="auto"/>
                <w:tcMar>
                  <w:top w:w="100" w:type="dxa"/>
                  <w:left w:w="100" w:type="dxa"/>
                  <w:bottom w:w="100" w:type="dxa"/>
                  <w:right w:w="100" w:type="dxa"/>
                </w:tcMar>
              </w:tcPr>
              <w:p w14:paraId="7B501720" w14:textId="77777777" w:rsidR="0088713B" w:rsidRDefault="002735DE">
                <w:pPr>
                  <w:ind w:right="720"/>
                  <w:jc w:val="both"/>
                  <w:rPr>
                    <w:u w:val="single"/>
                  </w:rPr>
                </w:pPr>
                <w:r>
                  <w:rPr>
                    <w:b/>
                    <w:bCs/>
                    <w:i/>
                    <w:iCs/>
                  </w:rPr>
                  <w:t>Canadian Charter of Rights and Freedoms</w:t>
                </w:r>
                <w:r>
                  <w:rPr>
                    <w:b/>
                    <w:bCs/>
                  </w:rPr>
                  <w:t xml:space="preserve">, Part I of the </w:t>
                </w:r>
                <w:r>
                  <w:rPr>
                    <w:b/>
                    <w:bCs/>
                    <w:i/>
                    <w:iCs/>
                  </w:rPr>
                  <w:t>Constitution Act</w:t>
                </w:r>
                <w:r>
                  <w:rPr>
                    <w:b/>
                    <w:bCs/>
                  </w:rPr>
                  <w:t xml:space="preserve">, 1982, being Schedule B to the </w:t>
                </w:r>
                <w:r>
                  <w:rPr>
                    <w:b/>
                    <w:bCs/>
                    <w:i/>
                    <w:iCs/>
                  </w:rPr>
                  <w:t>Canada Act 1982</w:t>
                </w:r>
                <w:r>
                  <w:rPr>
                    <w:b/>
                    <w:bCs/>
                  </w:rPr>
                  <w:t xml:space="preserve"> (UK), 1982, c 11, s 11(g)</w:t>
                </w:r>
              </w:p>
            </w:tc>
            <w:tc>
              <w:tcPr>
                <w:tcW w:w="1155" w:type="dxa"/>
                <w:tcMar>
                  <w:top w:w="100" w:type="dxa"/>
                  <w:left w:w="100" w:type="dxa"/>
                  <w:bottom w:w="100" w:type="dxa"/>
                  <w:right w:w="100" w:type="dxa"/>
                </w:tcMar>
              </w:tcPr>
              <w:p w14:paraId="4A9433DD" w14:textId="77777777" w:rsidR="0088713B" w:rsidRDefault="002735DE">
                <w:pPr>
                  <w:widowControl w:val="0"/>
                  <w:pBdr>
                    <w:top w:val="nil"/>
                    <w:left w:val="nil"/>
                    <w:bottom w:val="nil"/>
                    <w:right w:val="nil"/>
                    <w:between w:val="nil"/>
                  </w:pBdr>
                  <w:jc w:val="right"/>
                </w:pPr>
                <w:r>
                  <w:t>89</w:t>
                </w:r>
              </w:p>
            </w:tc>
          </w:tr>
          <w:tr w:rsidR="0088713B" w14:paraId="4806002F" w14:textId="77777777">
            <w:tc>
              <w:tcPr>
                <w:tcW w:w="8205" w:type="dxa"/>
                <w:shd w:val="clear" w:color="auto" w:fill="auto"/>
                <w:tcMar>
                  <w:top w:w="100" w:type="dxa"/>
                  <w:left w:w="100" w:type="dxa"/>
                  <w:bottom w:w="100" w:type="dxa"/>
                  <w:right w:w="100" w:type="dxa"/>
                </w:tcMar>
              </w:tcPr>
              <w:p w14:paraId="54DC662C" w14:textId="77777777" w:rsidR="0088713B" w:rsidRDefault="002735DE">
                <w:pPr>
                  <w:rPr>
                    <w:u w:val="single"/>
                  </w:rPr>
                </w:pPr>
                <w:r>
                  <w:rPr>
                    <w:b/>
                    <w:bCs/>
                    <w:i/>
                    <w:iCs/>
                  </w:rPr>
                  <w:t>Endangered Species Act</w:t>
                </w:r>
                <w:r>
                  <w:rPr>
                    <w:b/>
                    <w:bCs/>
                  </w:rPr>
                  <w:t>, 2007, SO 2007, c 6 [</w:t>
                </w:r>
                <w:r>
                  <w:rPr>
                    <w:b/>
                    <w:bCs/>
                    <w:i/>
                    <w:iCs/>
                  </w:rPr>
                  <w:t>ESA</w:t>
                </w:r>
                <w:r>
                  <w:rPr>
                    <w:b/>
                    <w:bCs/>
                  </w:rPr>
                  <w:t>]</w:t>
                </w:r>
              </w:p>
            </w:tc>
            <w:tc>
              <w:tcPr>
                <w:tcW w:w="1155" w:type="dxa"/>
                <w:shd w:val="clear" w:color="auto" w:fill="auto"/>
                <w:tcMar>
                  <w:top w:w="100" w:type="dxa"/>
                  <w:left w:w="100" w:type="dxa"/>
                  <w:bottom w:w="100" w:type="dxa"/>
                  <w:right w:w="100" w:type="dxa"/>
                </w:tcMar>
              </w:tcPr>
              <w:p w14:paraId="26488AEA" w14:textId="77777777" w:rsidR="0088713B" w:rsidRDefault="002735DE">
                <w:pPr>
                  <w:widowControl w:val="0"/>
                  <w:pBdr>
                    <w:top w:val="nil"/>
                    <w:left w:val="nil"/>
                    <w:bottom w:val="nil"/>
                    <w:right w:val="nil"/>
                    <w:between w:val="nil"/>
                  </w:pBdr>
                  <w:jc w:val="right"/>
                </w:pPr>
                <w:r>
                  <w:t>1</w:t>
                </w:r>
              </w:p>
            </w:tc>
          </w:tr>
          <w:tr w:rsidR="0088713B" w14:paraId="0DCF1193" w14:textId="77777777">
            <w:trPr>
              <w:trHeight w:val="517"/>
            </w:trPr>
            <w:tc>
              <w:tcPr>
                <w:tcW w:w="8205" w:type="dxa"/>
                <w:shd w:val="clear" w:color="auto" w:fill="auto"/>
                <w:tcMar>
                  <w:top w:w="100" w:type="dxa"/>
                  <w:left w:w="100" w:type="dxa"/>
                  <w:bottom w:w="100" w:type="dxa"/>
                  <w:right w:w="100" w:type="dxa"/>
                </w:tcMar>
              </w:tcPr>
              <w:p w14:paraId="2941E85D" w14:textId="77777777" w:rsidR="0088713B" w:rsidRDefault="002735DE">
                <w:pPr>
                  <w:ind w:right="720"/>
                  <w:rPr>
                    <w:b/>
                    <w:bCs/>
                    <w:i/>
                    <w:iCs/>
                  </w:rPr>
                </w:pPr>
                <w:r>
                  <w:rPr>
                    <w:b/>
                    <w:bCs/>
                    <w:i/>
                    <w:iCs/>
                  </w:rPr>
                  <w:t>Protect Ontario by Unleashing our Economy Act</w:t>
                </w:r>
                <w:r>
                  <w:rPr>
                    <w:b/>
                    <w:bCs/>
                  </w:rPr>
                  <w:t>, SO 2025, c 4, Schedule 2, s 2(3).</w:t>
                </w:r>
              </w:p>
            </w:tc>
            <w:tc>
              <w:tcPr>
                <w:tcW w:w="1155" w:type="dxa"/>
                <w:shd w:val="clear" w:color="auto" w:fill="auto"/>
                <w:tcMar>
                  <w:top w:w="100" w:type="dxa"/>
                  <w:left w:w="100" w:type="dxa"/>
                  <w:bottom w:w="100" w:type="dxa"/>
                  <w:right w:w="100" w:type="dxa"/>
                </w:tcMar>
              </w:tcPr>
              <w:p w14:paraId="607BF0BB" w14:textId="77777777" w:rsidR="0088713B" w:rsidRDefault="002735DE">
                <w:pPr>
                  <w:widowControl w:val="0"/>
                  <w:pBdr>
                    <w:top w:val="nil"/>
                    <w:left w:val="nil"/>
                    <w:bottom w:val="nil"/>
                    <w:right w:val="nil"/>
                    <w:between w:val="nil"/>
                  </w:pBdr>
                  <w:spacing w:after="200"/>
                  <w:jc w:val="right"/>
                </w:pPr>
                <w:r>
                  <w:t>87</w:t>
                </w:r>
              </w:p>
            </w:tc>
          </w:tr>
        </w:tbl>
      </w:sdtContent>
    </w:sdt>
    <w:p w14:paraId="5BE1ED7F" w14:textId="77777777" w:rsidR="0088713B" w:rsidRDefault="0088713B">
      <w:pPr>
        <w:jc w:val="center"/>
        <w:rPr>
          <w:u w:val="single"/>
        </w:rPr>
      </w:pPr>
    </w:p>
    <w:p w14:paraId="05610AB7" w14:textId="77777777" w:rsidR="0088713B" w:rsidRDefault="002735DE">
      <w:pPr>
        <w:jc w:val="center"/>
        <w:rPr>
          <w:u w:val="single"/>
        </w:rPr>
      </w:pPr>
      <w:r>
        <w:rPr>
          <w:u w:val="single"/>
        </w:rPr>
        <w:t>JURISPRUDENCE</w:t>
      </w:r>
    </w:p>
    <w:p w14:paraId="76E4BF55" w14:textId="77777777" w:rsidR="0088713B" w:rsidRDefault="002735DE">
      <w:pPr>
        <w:spacing w:line="360" w:lineRule="auto"/>
        <w:jc w:val="right"/>
        <w:rPr>
          <w:b/>
          <w:bCs/>
        </w:rPr>
      </w:pPr>
      <w:r>
        <w:rPr>
          <w:b/>
          <w:bCs/>
        </w:rPr>
        <w:t>Paragraph No.</w:t>
      </w:r>
    </w:p>
    <w:sdt>
      <w:sdtPr>
        <w:tag w:val="goog_rdk_1"/>
        <w:id w:val="-611271920"/>
        <w:lock w:val="contentLocked"/>
      </w:sdtPr>
      <w:sdtEndPr/>
      <w:sdtContent>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90"/>
            <w:gridCol w:w="1170"/>
          </w:tblGrid>
          <w:tr w:rsidR="0088713B" w14:paraId="45AF5629" w14:textId="77777777">
            <w:tc>
              <w:tcPr>
                <w:tcW w:w="8190" w:type="dxa"/>
                <w:shd w:val="clear" w:color="auto" w:fill="auto"/>
                <w:tcMar>
                  <w:top w:w="100" w:type="dxa"/>
                  <w:left w:w="100" w:type="dxa"/>
                  <w:bottom w:w="100" w:type="dxa"/>
                  <w:right w:w="100" w:type="dxa"/>
                </w:tcMar>
              </w:tcPr>
              <w:p w14:paraId="408D0A34" w14:textId="77777777" w:rsidR="0088713B" w:rsidRDefault="002735DE">
                <w:pPr>
                  <w:jc w:val="both"/>
                </w:pPr>
                <w:r>
                  <w:rPr>
                    <w:b/>
                    <w:bCs/>
                    <w:i/>
                    <w:iCs/>
                  </w:rPr>
                  <w:t>Baker v Canada</w:t>
                </w:r>
                <w:r>
                  <w:rPr>
                    <w:b/>
                    <w:bCs/>
                  </w:rPr>
                  <w:t>, 1999 CanLII 699 (SCC)</w:t>
                </w:r>
              </w:p>
            </w:tc>
            <w:tc>
              <w:tcPr>
                <w:tcW w:w="1170" w:type="dxa"/>
                <w:shd w:val="clear" w:color="auto" w:fill="auto"/>
                <w:tcMar>
                  <w:top w:w="100" w:type="dxa"/>
                  <w:left w:w="100" w:type="dxa"/>
                  <w:bottom w:w="100" w:type="dxa"/>
                  <w:right w:w="100" w:type="dxa"/>
                </w:tcMar>
              </w:tcPr>
              <w:p w14:paraId="7DCD3D23" w14:textId="77777777" w:rsidR="0088713B" w:rsidRDefault="002735DE">
                <w:pPr>
                  <w:widowControl w:val="0"/>
                  <w:pBdr>
                    <w:top w:val="nil"/>
                    <w:left w:val="nil"/>
                    <w:bottom w:val="nil"/>
                    <w:right w:val="nil"/>
                    <w:between w:val="nil"/>
                  </w:pBdr>
                  <w:jc w:val="right"/>
                </w:pPr>
                <w:r>
                  <w:t>58</w:t>
                </w:r>
              </w:p>
            </w:tc>
          </w:tr>
          <w:tr w:rsidR="0088713B" w14:paraId="35616F11" w14:textId="77777777">
            <w:tc>
              <w:tcPr>
                <w:tcW w:w="8190" w:type="dxa"/>
                <w:shd w:val="clear" w:color="auto" w:fill="auto"/>
                <w:tcMar>
                  <w:top w:w="100" w:type="dxa"/>
                  <w:left w:w="100" w:type="dxa"/>
                  <w:bottom w:w="100" w:type="dxa"/>
                  <w:right w:w="100" w:type="dxa"/>
                </w:tcMar>
              </w:tcPr>
              <w:p w14:paraId="728932D7" w14:textId="77777777" w:rsidR="0088713B" w:rsidRDefault="002735DE">
                <w:pPr>
                  <w:jc w:val="both"/>
                </w:pPr>
                <w:r>
                  <w:rPr>
                    <w:b/>
                    <w:bCs/>
                    <w:i/>
                    <w:iCs/>
                  </w:rPr>
                  <w:t>Castonguay Blasting Ltd v Ontario</w:t>
                </w:r>
                <w:r>
                  <w:rPr>
                    <w:b/>
                    <w:bCs/>
                  </w:rPr>
                  <w:t>, 2013 SCC 52</w:t>
                </w:r>
              </w:p>
            </w:tc>
            <w:tc>
              <w:tcPr>
                <w:tcW w:w="1170" w:type="dxa"/>
                <w:shd w:val="clear" w:color="auto" w:fill="auto"/>
                <w:tcMar>
                  <w:top w:w="100" w:type="dxa"/>
                  <w:left w:w="100" w:type="dxa"/>
                  <w:bottom w:w="100" w:type="dxa"/>
                  <w:right w:w="100" w:type="dxa"/>
                </w:tcMar>
              </w:tcPr>
              <w:p w14:paraId="14705B0B" w14:textId="77777777" w:rsidR="0088713B" w:rsidRDefault="002735DE">
                <w:pPr>
                  <w:widowControl w:val="0"/>
                  <w:pBdr>
                    <w:top w:val="nil"/>
                    <w:left w:val="nil"/>
                    <w:bottom w:val="nil"/>
                    <w:right w:val="nil"/>
                    <w:between w:val="nil"/>
                  </w:pBdr>
                  <w:jc w:val="right"/>
                </w:pPr>
                <w:r>
                  <w:t>35</w:t>
                </w:r>
              </w:p>
            </w:tc>
          </w:tr>
          <w:tr w:rsidR="0088713B" w14:paraId="64A95FE1" w14:textId="77777777">
            <w:tc>
              <w:tcPr>
                <w:tcW w:w="8190" w:type="dxa"/>
                <w:shd w:val="clear" w:color="auto" w:fill="auto"/>
                <w:tcMar>
                  <w:top w:w="100" w:type="dxa"/>
                  <w:left w:w="100" w:type="dxa"/>
                  <w:bottom w:w="100" w:type="dxa"/>
                  <w:right w:w="100" w:type="dxa"/>
                </w:tcMar>
              </w:tcPr>
              <w:p w14:paraId="75EEB03F" w14:textId="77777777" w:rsidR="0088713B" w:rsidRDefault="002735DE">
                <w:pPr>
                  <w:jc w:val="both"/>
                </w:pPr>
                <w:r>
                  <w:rPr>
                    <w:b/>
                    <w:bCs/>
                    <w:i/>
                    <w:iCs/>
                  </w:rPr>
                  <w:t>Housen v Nikolaisen</w:t>
                </w:r>
                <w:r>
                  <w:rPr>
                    <w:b/>
                    <w:bCs/>
                  </w:rPr>
                  <w:t>, 2002 SCC 38</w:t>
                </w:r>
              </w:p>
            </w:tc>
            <w:tc>
              <w:tcPr>
                <w:tcW w:w="1170" w:type="dxa"/>
                <w:shd w:val="clear" w:color="auto" w:fill="auto"/>
                <w:tcMar>
                  <w:top w:w="100" w:type="dxa"/>
                  <w:left w:w="100" w:type="dxa"/>
                  <w:bottom w:w="100" w:type="dxa"/>
                  <w:right w:w="100" w:type="dxa"/>
                </w:tcMar>
              </w:tcPr>
              <w:p w14:paraId="60EC4F41" w14:textId="77777777" w:rsidR="0088713B" w:rsidRDefault="002735DE">
                <w:pPr>
                  <w:widowControl w:val="0"/>
                  <w:pBdr>
                    <w:top w:val="nil"/>
                    <w:left w:val="nil"/>
                    <w:bottom w:val="nil"/>
                    <w:right w:val="nil"/>
                    <w:between w:val="nil"/>
                  </w:pBdr>
                  <w:jc w:val="right"/>
                </w:pPr>
                <w:r>
                  <w:t>25</w:t>
                </w:r>
              </w:p>
            </w:tc>
          </w:tr>
          <w:tr w:rsidR="0088713B" w14:paraId="0C83E9DC" w14:textId="77777777">
            <w:tc>
              <w:tcPr>
                <w:tcW w:w="8190" w:type="dxa"/>
                <w:shd w:val="clear" w:color="auto" w:fill="auto"/>
                <w:tcMar>
                  <w:top w:w="100" w:type="dxa"/>
                  <w:left w:w="100" w:type="dxa"/>
                  <w:bottom w:w="100" w:type="dxa"/>
                  <w:right w:w="100" w:type="dxa"/>
                </w:tcMar>
              </w:tcPr>
              <w:p w14:paraId="50D030D3" w14:textId="77777777" w:rsidR="0088713B" w:rsidRDefault="002735DE">
                <w:pPr>
                  <w:jc w:val="both"/>
                </w:pPr>
                <w:r>
                  <w:rPr>
                    <w:b/>
                    <w:bCs/>
                    <w:i/>
                    <w:iCs/>
                  </w:rPr>
                  <w:t>HL v Canada (Attorney General)</w:t>
                </w:r>
                <w:r>
                  <w:rPr>
                    <w:b/>
                    <w:bCs/>
                  </w:rPr>
                  <w:t>, 2005 SCC 25</w:t>
                </w:r>
              </w:p>
            </w:tc>
            <w:tc>
              <w:tcPr>
                <w:tcW w:w="1170" w:type="dxa"/>
                <w:shd w:val="clear" w:color="auto" w:fill="auto"/>
                <w:tcMar>
                  <w:top w:w="100" w:type="dxa"/>
                  <w:left w:w="100" w:type="dxa"/>
                  <w:bottom w:w="100" w:type="dxa"/>
                  <w:right w:w="100" w:type="dxa"/>
                </w:tcMar>
              </w:tcPr>
              <w:p w14:paraId="5DEDF2AE" w14:textId="77777777" w:rsidR="0088713B" w:rsidRDefault="002735DE">
                <w:pPr>
                  <w:widowControl w:val="0"/>
                  <w:pBdr>
                    <w:top w:val="nil"/>
                    <w:left w:val="nil"/>
                    <w:bottom w:val="nil"/>
                    <w:right w:val="nil"/>
                    <w:between w:val="nil"/>
                  </w:pBdr>
                  <w:jc w:val="right"/>
                </w:pPr>
                <w:r>
                  <w:t>45</w:t>
                </w:r>
              </w:p>
            </w:tc>
          </w:tr>
          <w:tr w:rsidR="0088713B" w14:paraId="2C4C39C0" w14:textId="77777777">
            <w:tc>
              <w:tcPr>
                <w:tcW w:w="8190" w:type="dxa"/>
                <w:shd w:val="clear" w:color="auto" w:fill="auto"/>
                <w:tcMar>
                  <w:top w:w="100" w:type="dxa"/>
                  <w:left w:w="100" w:type="dxa"/>
                  <w:bottom w:w="100" w:type="dxa"/>
                  <w:right w:w="100" w:type="dxa"/>
                </w:tcMar>
              </w:tcPr>
              <w:p w14:paraId="3BAF5EEF" w14:textId="77777777" w:rsidR="0088713B" w:rsidRDefault="002735DE">
                <w:r>
                  <w:rPr>
                    <w:b/>
                    <w:bCs/>
                    <w:i/>
                    <w:iCs/>
                  </w:rPr>
                  <w:t xml:space="preserve">Marmora and Lake (Municipality) v Ontario, </w:t>
                </w:r>
                <w:r>
                  <w:rPr>
                    <w:b/>
                    <w:bCs/>
                  </w:rPr>
                  <w:t>2025 ONCA 10</w:t>
                </w:r>
              </w:p>
            </w:tc>
            <w:tc>
              <w:tcPr>
                <w:tcW w:w="1170" w:type="dxa"/>
                <w:shd w:val="clear" w:color="auto" w:fill="auto"/>
                <w:tcMar>
                  <w:top w:w="100" w:type="dxa"/>
                  <w:left w:w="100" w:type="dxa"/>
                  <w:bottom w:w="100" w:type="dxa"/>
                  <w:right w:w="100" w:type="dxa"/>
                </w:tcMar>
              </w:tcPr>
              <w:p w14:paraId="51D9D1A3" w14:textId="77777777" w:rsidR="0088713B" w:rsidRDefault="002735DE">
                <w:pPr>
                  <w:widowControl w:val="0"/>
                  <w:pBdr>
                    <w:top w:val="nil"/>
                    <w:left w:val="nil"/>
                    <w:bottom w:val="nil"/>
                    <w:right w:val="nil"/>
                    <w:between w:val="nil"/>
                  </w:pBdr>
                  <w:jc w:val="right"/>
                </w:pPr>
                <w:r>
                  <w:t>83</w:t>
                </w:r>
              </w:p>
            </w:tc>
          </w:tr>
          <w:tr w:rsidR="0088713B" w14:paraId="4686FF49" w14:textId="77777777">
            <w:tc>
              <w:tcPr>
                <w:tcW w:w="8190" w:type="dxa"/>
                <w:shd w:val="clear" w:color="auto" w:fill="auto"/>
                <w:tcMar>
                  <w:top w:w="100" w:type="dxa"/>
                  <w:left w:w="100" w:type="dxa"/>
                  <w:bottom w:w="100" w:type="dxa"/>
                  <w:right w:w="100" w:type="dxa"/>
                </w:tcMar>
              </w:tcPr>
              <w:p w14:paraId="035044EF" w14:textId="77777777" w:rsidR="0088713B" w:rsidRDefault="002735DE">
                <w:hyperlink r:id="rId19">
                  <w:r>
                    <w:rPr>
                      <w:b/>
                      <w:bCs/>
                      <w:i/>
                      <w:iCs/>
                    </w:rPr>
                    <w:t>Ontario (Natural Resources and Forestry) v. South Bruce Peninsula (Town)</w:t>
                  </w:r>
                </w:hyperlink>
                <w:hyperlink r:id="rId20">
                  <w:r>
                    <w:rPr>
                      <w:b/>
                      <w:bCs/>
                    </w:rPr>
                    <w:t>, 2022 ONCA 315</w:t>
                  </w:r>
                </w:hyperlink>
              </w:p>
            </w:tc>
            <w:tc>
              <w:tcPr>
                <w:tcW w:w="1170" w:type="dxa"/>
                <w:shd w:val="clear" w:color="auto" w:fill="auto"/>
                <w:tcMar>
                  <w:top w:w="100" w:type="dxa"/>
                  <w:left w:w="100" w:type="dxa"/>
                  <w:bottom w:w="100" w:type="dxa"/>
                  <w:right w:w="100" w:type="dxa"/>
                </w:tcMar>
              </w:tcPr>
              <w:p w14:paraId="3971318F" w14:textId="77777777" w:rsidR="0088713B" w:rsidRDefault="002735DE">
                <w:pPr>
                  <w:widowControl w:val="0"/>
                  <w:pBdr>
                    <w:top w:val="nil"/>
                    <w:left w:val="nil"/>
                    <w:bottom w:val="nil"/>
                    <w:right w:val="nil"/>
                    <w:between w:val="nil"/>
                  </w:pBdr>
                  <w:jc w:val="right"/>
                </w:pPr>
                <w:r>
                  <w:t>86</w:t>
                </w:r>
              </w:p>
            </w:tc>
          </w:tr>
          <w:tr w:rsidR="0088713B" w14:paraId="656F85C8" w14:textId="77777777">
            <w:tc>
              <w:tcPr>
                <w:tcW w:w="8190" w:type="dxa"/>
                <w:shd w:val="clear" w:color="auto" w:fill="auto"/>
                <w:tcMar>
                  <w:top w:w="100" w:type="dxa"/>
                  <w:left w:w="100" w:type="dxa"/>
                  <w:bottom w:w="100" w:type="dxa"/>
                  <w:right w:w="100" w:type="dxa"/>
                </w:tcMar>
              </w:tcPr>
              <w:p w14:paraId="43FC772D" w14:textId="77777777" w:rsidR="0088713B" w:rsidRDefault="002735DE">
                <w:pPr>
                  <w:jc w:val="both"/>
                </w:pPr>
                <w:r>
                  <w:rPr>
                    <w:b/>
                    <w:bCs/>
                    <w:i/>
                    <w:iCs/>
                  </w:rPr>
                  <w:t>R v Abbey</w:t>
                </w:r>
                <w:r>
                  <w:rPr>
                    <w:b/>
                    <w:bCs/>
                  </w:rPr>
                  <w:t>, 2009 ONCA 624</w:t>
                </w:r>
              </w:p>
            </w:tc>
            <w:tc>
              <w:tcPr>
                <w:tcW w:w="1170" w:type="dxa"/>
                <w:shd w:val="clear" w:color="auto" w:fill="auto"/>
                <w:tcMar>
                  <w:top w:w="100" w:type="dxa"/>
                  <w:left w:w="100" w:type="dxa"/>
                  <w:bottom w:w="100" w:type="dxa"/>
                  <w:right w:w="100" w:type="dxa"/>
                </w:tcMar>
              </w:tcPr>
              <w:p w14:paraId="4774C327" w14:textId="77777777" w:rsidR="0088713B" w:rsidRDefault="002735DE">
                <w:pPr>
                  <w:widowControl w:val="0"/>
                  <w:pBdr>
                    <w:top w:val="nil"/>
                    <w:left w:val="nil"/>
                    <w:bottom w:val="nil"/>
                    <w:right w:val="nil"/>
                    <w:between w:val="nil"/>
                  </w:pBdr>
                  <w:jc w:val="right"/>
                </w:pPr>
                <w:r>
                  <w:t>42</w:t>
                </w:r>
              </w:p>
            </w:tc>
          </w:tr>
          <w:tr w:rsidR="0088713B" w14:paraId="6B38FFEC" w14:textId="77777777">
            <w:tc>
              <w:tcPr>
                <w:tcW w:w="8190" w:type="dxa"/>
                <w:shd w:val="clear" w:color="auto" w:fill="auto"/>
                <w:tcMar>
                  <w:top w:w="100" w:type="dxa"/>
                  <w:left w:w="100" w:type="dxa"/>
                  <w:bottom w:w="100" w:type="dxa"/>
                  <w:right w:w="100" w:type="dxa"/>
                </w:tcMar>
              </w:tcPr>
              <w:p w14:paraId="026C48F7" w14:textId="77777777" w:rsidR="0088713B" w:rsidRDefault="002735DE">
                <w:pPr>
                  <w:spacing w:line="360" w:lineRule="auto"/>
                  <w:ind w:right="720"/>
                  <w:jc w:val="both"/>
                  <w:rPr>
                    <w:b/>
                    <w:bCs/>
                    <w:i/>
                    <w:iCs/>
                  </w:rPr>
                </w:pPr>
                <w:r>
                  <w:rPr>
                    <w:b/>
                    <w:bCs/>
                    <w:i/>
                    <w:iCs/>
                  </w:rPr>
                  <w:t>R v Albashir</w:t>
                </w:r>
                <w:r>
                  <w:rPr>
                    <w:b/>
                    <w:bCs/>
                  </w:rPr>
                  <w:t>, 2021 SCC 48</w:t>
                </w:r>
              </w:p>
            </w:tc>
            <w:tc>
              <w:tcPr>
                <w:tcW w:w="1170" w:type="dxa"/>
                <w:shd w:val="clear" w:color="auto" w:fill="auto"/>
                <w:tcMar>
                  <w:top w:w="100" w:type="dxa"/>
                  <w:left w:w="100" w:type="dxa"/>
                  <w:bottom w:w="100" w:type="dxa"/>
                  <w:right w:w="100" w:type="dxa"/>
                </w:tcMar>
              </w:tcPr>
              <w:p w14:paraId="0F37D026" w14:textId="77777777" w:rsidR="0088713B" w:rsidRDefault="002735DE">
                <w:pPr>
                  <w:widowControl w:val="0"/>
                  <w:pBdr>
                    <w:top w:val="nil"/>
                    <w:left w:val="nil"/>
                    <w:bottom w:val="nil"/>
                    <w:right w:val="nil"/>
                    <w:between w:val="nil"/>
                  </w:pBdr>
                  <w:jc w:val="right"/>
                </w:pPr>
                <w:r>
                  <w:t>89</w:t>
                </w:r>
              </w:p>
            </w:tc>
          </w:tr>
          <w:tr w:rsidR="0088713B" w14:paraId="0B0A9F1B" w14:textId="77777777">
            <w:tc>
              <w:tcPr>
                <w:tcW w:w="8190" w:type="dxa"/>
                <w:shd w:val="clear" w:color="auto" w:fill="auto"/>
                <w:tcMar>
                  <w:top w:w="100" w:type="dxa"/>
                  <w:left w:w="100" w:type="dxa"/>
                  <w:bottom w:w="100" w:type="dxa"/>
                  <w:right w:w="100" w:type="dxa"/>
                </w:tcMar>
              </w:tcPr>
              <w:p w14:paraId="04BEE179" w14:textId="77777777" w:rsidR="0088713B" w:rsidRDefault="002735DE">
                <w:pPr>
                  <w:jc w:val="both"/>
                  <w:rPr>
                    <w:b/>
                    <w:bCs/>
                  </w:rPr>
                </w:pPr>
                <w:r>
                  <w:rPr>
                    <w:b/>
                    <w:bCs/>
                    <w:i/>
                    <w:iCs/>
                  </w:rPr>
                  <w:t>R v Beaulieu</w:t>
                </w:r>
                <w:r>
                  <w:rPr>
                    <w:b/>
                    <w:bCs/>
                  </w:rPr>
                  <w:t>, 2001 NWTSC 46</w:t>
                </w:r>
              </w:p>
            </w:tc>
            <w:tc>
              <w:tcPr>
                <w:tcW w:w="1170" w:type="dxa"/>
                <w:shd w:val="clear" w:color="auto" w:fill="auto"/>
                <w:tcMar>
                  <w:top w:w="100" w:type="dxa"/>
                  <w:left w:w="100" w:type="dxa"/>
                  <w:bottom w:w="100" w:type="dxa"/>
                  <w:right w:w="100" w:type="dxa"/>
                </w:tcMar>
              </w:tcPr>
              <w:p w14:paraId="29DC7F41" w14:textId="77777777" w:rsidR="0088713B" w:rsidRDefault="002735DE">
                <w:pPr>
                  <w:widowControl w:val="0"/>
                  <w:pBdr>
                    <w:top w:val="nil"/>
                    <w:left w:val="nil"/>
                    <w:bottom w:val="nil"/>
                    <w:right w:val="nil"/>
                    <w:between w:val="nil"/>
                  </w:pBdr>
                  <w:jc w:val="right"/>
                </w:pPr>
                <w:r>
                  <w:t>81</w:t>
                </w:r>
              </w:p>
            </w:tc>
          </w:tr>
          <w:tr w:rsidR="0088713B" w14:paraId="58DB25DB" w14:textId="77777777">
            <w:tc>
              <w:tcPr>
                <w:tcW w:w="8190" w:type="dxa"/>
                <w:shd w:val="clear" w:color="auto" w:fill="auto"/>
                <w:tcMar>
                  <w:top w:w="100" w:type="dxa"/>
                  <w:left w:w="100" w:type="dxa"/>
                  <w:bottom w:w="100" w:type="dxa"/>
                  <w:right w:w="100" w:type="dxa"/>
                </w:tcMar>
              </w:tcPr>
              <w:p w14:paraId="31869505" w14:textId="77777777" w:rsidR="0088713B" w:rsidRDefault="002735DE">
                <w:pPr>
                  <w:jc w:val="both"/>
                  <w:rPr>
                    <w:b/>
                    <w:bCs/>
                  </w:rPr>
                </w:pPr>
                <w:r>
                  <w:rPr>
                    <w:b/>
                    <w:bCs/>
                    <w:i/>
                    <w:iCs/>
                  </w:rPr>
                  <w:t>R v Blackbird Holdings Ltd</w:t>
                </w:r>
                <w:r>
                  <w:rPr>
                    <w:b/>
                    <w:bCs/>
                  </w:rPr>
                  <w:t>, 1990 CarswellOnt 214, [1990] OJ No 13256, CELR (NS) 119</w:t>
                </w:r>
              </w:p>
            </w:tc>
            <w:tc>
              <w:tcPr>
                <w:tcW w:w="1170" w:type="dxa"/>
                <w:shd w:val="clear" w:color="auto" w:fill="auto"/>
                <w:tcMar>
                  <w:top w:w="100" w:type="dxa"/>
                  <w:left w:w="100" w:type="dxa"/>
                  <w:bottom w:w="100" w:type="dxa"/>
                  <w:right w:w="100" w:type="dxa"/>
                </w:tcMar>
              </w:tcPr>
              <w:p w14:paraId="130F9BDD" w14:textId="77777777" w:rsidR="0088713B" w:rsidRDefault="002735DE">
                <w:pPr>
                  <w:widowControl w:val="0"/>
                  <w:pBdr>
                    <w:top w:val="nil"/>
                    <w:left w:val="nil"/>
                    <w:bottom w:val="nil"/>
                    <w:right w:val="nil"/>
                    <w:between w:val="nil"/>
                  </w:pBdr>
                  <w:jc w:val="right"/>
                </w:pPr>
                <w:r>
                  <w:t>81</w:t>
                </w:r>
              </w:p>
            </w:tc>
          </w:tr>
          <w:tr w:rsidR="0088713B" w14:paraId="490B8532" w14:textId="77777777">
            <w:tc>
              <w:tcPr>
                <w:tcW w:w="8190" w:type="dxa"/>
                <w:shd w:val="clear" w:color="auto" w:fill="auto"/>
                <w:tcMar>
                  <w:top w:w="100" w:type="dxa"/>
                  <w:left w:w="100" w:type="dxa"/>
                  <w:bottom w:w="100" w:type="dxa"/>
                  <w:right w:w="100" w:type="dxa"/>
                </w:tcMar>
              </w:tcPr>
              <w:p w14:paraId="6A4821B7" w14:textId="77777777" w:rsidR="0088713B" w:rsidRDefault="002735DE">
                <w:r>
                  <w:rPr>
                    <w:b/>
                    <w:bCs/>
                    <w:i/>
                    <w:iCs/>
                  </w:rPr>
                  <w:t>R v Consolidated Homes Ltd</w:t>
                </w:r>
                <w:r>
                  <w:rPr>
                    <w:b/>
                    <w:bCs/>
                  </w:rPr>
                  <w:t>, 2025 ONCA 41</w:t>
                </w:r>
              </w:p>
            </w:tc>
            <w:tc>
              <w:tcPr>
                <w:tcW w:w="1170" w:type="dxa"/>
                <w:shd w:val="clear" w:color="auto" w:fill="auto"/>
                <w:tcMar>
                  <w:top w:w="100" w:type="dxa"/>
                  <w:left w:w="100" w:type="dxa"/>
                  <w:bottom w:w="100" w:type="dxa"/>
                  <w:right w:w="100" w:type="dxa"/>
                </w:tcMar>
              </w:tcPr>
              <w:p w14:paraId="6C425D8B" w14:textId="77777777" w:rsidR="0088713B" w:rsidRDefault="002735DE">
                <w:pPr>
                  <w:widowControl w:val="0"/>
                  <w:pBdr>
                    <w:top w:val="nil"/>
                    <w:left w:val="nil"/>
                    <w:bottom w:val="nil"/>
                    <w:right w:val="nil"/>
                    <w:between w:val="nil"/>
                  </w:pBdr>
                  <w:jc w:val="right"/>
                </w:pPr>
                <w:r>
                  <w:t>52</w:t>
                </w:r>
              </w:p>
            </w:tc>
          </w:tr>
          <w:tr w:rsidR="0088713B" w14:paraId="7EA9B5CA" w14:textId="77777777">
            <w:tc>
              <w:tcPr>
                <w:tcW w:w="8190" w:type="dxa"/>
                <w:shd w:val="clear" w:color="auto" w:fill="auto"/>
                <w:tcMar>
                  <w:top w:w="100" w:type="dxa"/>
                  <w:left w:w="100" w:type="dxa"/>
                  <w:bottom w:w="100" w:type="dxa"/>
                  <w:right w:w="100" w:type="dxa"/>
                </w:tcMar>
              </w:tcPr>
              <w:p w14:paraId="5A01B7FD" w14:textId="77777777" w:rsidR="0088713B" w:rsidRDefault="002735DE">
                <w:pPr>
                  <w:jc w:val="both"/>
                </w:pPr>
                <w:r>
                  <w:rPr>
                    <w:b/>
                    <w:bCs/>
                    <w:i/>
                    <w:iCs/>
                  </w:rPr>
                  <w:t>R v JMH</w:t>
                </w:r>
                <w:r>
                  <w:rPr>
                    <w:b/>
                    <w:bCs/>
                  </w:rPr>
                  <w:t>, 2011 SCC 45</w:t>
                </w:r>
              </w:p>
            </w:tc>
            <w:tc>
              <w:tcPr>
                <w:tcW w:w="1170" w:type="dxa"/>
                <w:shd w:val="clear" w:color="auto" w:fill="auto"/>
                <w:tcMar>
                  <w:top w:w="100" w:type="dxa"/>
                  <w:left w:w="100" w:type="dxa"/>
                  <w:bottom w:w="100" w:type="dxa"/>
                  <w:right w:w="100" w:type="dxa"/>
                </w:tcMar>
              </w:tcPr>
              <w:p w14:paraId="0EFC432C" w14:textId="77777777" w:rsidR="0088713B" w:rsidRDefault="002735DE">
                <w:pPr>
                  <w:widowControl w:val="0"/>
                  <w:pBdr>
                    <w:top w:val="nil"/>
                    <w:left w:val="nil"/>
                    <w:bottom w:val="nil"/>
                    <w:right w:val="nil"/>
                    <w:between w:val="nil"/>
                  </w:pBdr>
                  <w:jc w:val="right"/>
                </w:pPr>
                <w:r>
                  <w:t>26</w:t>
                </w:r>
              </w:p>
            </w:tc>
          </w:tr>
          <w:tr w:rsidR="0088713B" w14:paraId="18946C39" w14:textId="77777777">
            <w:tc>
              <w:tcPr>
                <w:tcW w:w="8190" w:type="dxa"/>
                <w:shd w:val="clear" w:color="auto" w:fill="auto"/>
                <w:tcMar>
                  <w:top w:w="100" w:type="dxa"/>
                  <w:left w:w="100" w:type="dxa"/>
                  <w:bottom w:w="100" w:type="dxa"/>
                  <w:right w:w="100" w:type="dxa"/>
                </w:tcMar>
              </w:tcPr>
              <w:p w14:paraId="4FAFF92C" w14:textId="77777777" w:rsidR="0088713B" w:rsidRDefault="002735DE">
                <w:pPr>
                  <w:jc w:val="both"/>
                </w:pPr>
                <w:r>
                  <w:rPr>
                    <w:b/>
                    <w:bCs/>
                    <w:i/>
                    <w:iCs/>
                  </w:rPr>
                  <w:t xml:space="preserve">R v MV Marathassa, </w:t>
                </w:r>
                <w:r>
                  <w:rPr>
                    <w:b/>
                    <w:bCs/>
                  </w:rPr>
                  <w:t>2019 BCPC 13</w:t>
                </w:r>
              </w:p>
            </w:tc>
            <w:tc>
              <w:tcPr>
                <w:tcW w:w="1170" w:type="dxa"/>
                <w:shd w:val="clear" w:color="auto" w:fill="auto"/>
                <w:tcMar>
                  <w:top w:w="100" w:type="dxa"/>
                  <w:left w:w="100" w:type="dxa"/>
                  <w:bottom w:w="100" w:type="dxa"/>
                  <w:right w:w="100" w:type="dxa"/>
                </w:tcMar>
              </w:tcPr>
              <w:p w14:paraId="2CF6F151" w14:textId="77777777" w:rsidR="0088713B" w:rsidRDefault="002735DE">
                <w:pPr>
                  <w:widowControl w:val="0"/>
                  <w:pBdr>
                    <w:top w:val="nil"/>
                    <w:left w:val="nil"/>
                    <w:bottom w:val="nil"/>
                    <w:right w:val="nil"/>
                    <w:between w:val="nil"/>
                  </w:pBdr>
                  <w:jc w:val="right"/>
                </w:pPr>
                <w:r>
                  <w:t>40</w:t>
                </w:r>
              </w:p>
            </w:tc>
          </w:tr>
          <w:tr w:rsidR="0088713B" w14:paraId="589B6D9E" w14:textId="77777777">
            <w:tc>
              <w:tcPr>
                <w:tcW w:w="8190" w:type="dxa"/>
                <w:shd w:val="clear" w:color="auto" w:fill="auto"/>
                <w:tcMar>
                  <w:top w:w="100" w:type="dxa"/>
                  <w:left w:w="100" w:type="dxa"/>
                  <w:bottom w:w="100" w:type="dxa"/>
                  <w:right w:w="100" w:type="dxa"/>
                </w:tcMar>
              </w:tcPr>
              <w:p w14:paraId="1108783D" w14:textId="77777777" w:rsidR="0088713B" w:rsidRDefault="002735DE">
                <w:pPr>
                  <w:jc w:val="both"/>
                </w:pPr>
                <w:r>
                  <w:rPr>
                    <w:b/>
                    <w:bCs/>
                    <w:i/>
                    <w:iCs/>
                  </w:rPr>
                  <w:t xml:space="preserve">R v University of British Columbia, </w:t>
                </w:r>
                <w:r>
                  <w:rPr>
                    <w:b/>
                    <w:bCs/>
                  </w:rPr>
                  <w:t>2021 BCCA 188</w:t>
                </w:r>
              </w:p>
            </w:tc>
            <w:tc>
              <w:tcPr>
                <w:tcW w:w="1170" w:type="dxa"/>
                <w:shd w:val="clear" w:color="auto" w:fill="auto"/>
                <w:tcMar>
                  <w:top w:w="100" w:type="dxa"/>
                  <w:left w:w="100" w:type="dxa"/>
                  <w:bottom w:w="100" w:type="dxa"/>
                  <w:right w:w="100" w:type="dxa"/>
                </w:tcMar>
              </w:tcPr>
              <w:p w14:paraId="0CF9721D" w14:textId="77777777" w:rsidR="0088713B" w:rsidRDefault="002735DE">
                <w:pPr>
                  <w:widowControl w:val="0"/>
                  <w:pBdr>
                    <w:top w:val="nil"/>
                    <w:left w:val="nil"/>
                    <w:bottom w:val="nil"/>
                    <w:right w:val="nil"/>
                    <w:between w:val="nil"/>
                  </w:pBdr>
                  <w:jc w:val="right"/>
                </w:pPr>
                <w:r>
                  <w:t xml:space="preserve">40 </w:t>
                </w:r>
              </w:p>
            </w:tc>
          </w:tr>
          <w:tr w:rsidR="0088713B" w14:paraId="7C7ECAF2" w14:textId="77777777">
            <w:tc>
              <w:tcPr>
                <w:tcW w:w="8190" w:type="dxa"/>
                <w:shd w:val="clear" w:color="auto" w:fill="auto"/>
                <w:tcMar>
                  <w:top w:w="100" w:type="dxa"/>
                  <w:left w:w="100" w:type="dxa"/>
                  <w:bottom w:w="100" w:type="dxa"/>
                  <w:right w:w="100" w:type="dxa"/>
                </w:tcMar>
              </w:tcPr>
              <w:p w14:paraId="5DC9313F" w14:textId="77777777" w:rsidR="0088713B" w:rsidRDefault="002735DE">
                <w:pPr>
                  <w:jc w:val="both"/>
                </w:pPr>
                <w:r>
                  <w:rPr>
                    <w:b/>
                    <w:bCs/>
                    <w:i/>
                    <w:iCs/>
                  </w:rPr>
                  <w:t>R v Villaroman</w:t>
                </w:r>
                <w:r>
                  <w:rPr>
                    <w:b/>
                    <w:bCs/>
                  </w:rPr>
                  <w:t>, 2016 SCC 3</w:t>
                </w:r>
              </w:p>
            </w:tc>
            <w:tc>
              <w:tcPr>
                <w:tcW w:w="1170" w:type="dxa"/>
                <w:shd w:val="clear" w:color="auto" w:fill="auto"/>
                <w:tcMar>
                  <w:top w:w="100" w:type="dxa"/>
                  <w:left w:w="100" w:type="dxa"/>
                  <w:bottom w:w="100" w:type="dxa"/>
                  <w:right w:w="100" w:type="dxa"/>
                </w:tcMar>
              </w:tcPr>
              <w:p w14:paraId="0A73187B" w14:textId="77777777" w:rsidR="0088713B" w:rsidRDefault="002735DE">
                <w:pPr>
                  <w:widowControl w:val="0"/>
                  <w:pBdr>
                    <w:top w:val="nil"/>
                    <w:left w:val="nil"/>
                    <w:bottom w:val="nil"/>
                    <w:right w:val="nil"/>
                    <w:between w:val="nil"/>
                  </w:pBdr>
                  <w:jc w:val="right"/>
                </w:pPr>
                <w:r>
                  <w:t>40</w:t>
                </w:r>
              </w:p>
            </w:tc>
          </w:tr>
          <w:tr w:rsidR="0088713B" w14:paraId="7D61CD1B" w14:textId="77777777">
            <w:tc>
              <w:tcPr>
                <w:tcW w:w="8190" w:type="dxa"/>
                <w:shd w:val="clear" w:color="auto" w:fill="auto"/>
                <w:tcMar>
                  <w:top w:w="100" w:type="dxa"/>
                  <w:left w:w="100" w:type="dxa"/>
                  <w:bottom w:w="100" w:type="dxa"/>
                  <w:right w:w="100" w:type="dxa"/>
                </w:tcMar>
              </w:tcPr>
              <w:p w14:paraId="273CA2D2" w14:textId="77777777" w:rsidR="0088713B" w:rsidRDefault="002735DE">
                <w:pPr>
                  <w:jc w:val="both"/>
                </w:pPr>
                <w:r>
                  <w:rPr>
                    <w:b/>
                    <w:bCs/>
                    <w:i/>
                    <w:iCs/>
                  </w:rPr>
                  <w:lastRenderedPageBreak/>
                  <w:t>R v Yebes</w:t>
                </w:r>
                <w:r>
                  <w:rPr>
                    <w:b/>
                    <w:bCs/>
                  </w:rPr>
                  <w:t>, 1987 CanLII 17 (SCC)</w:t>
                </w:r>
              </w:p>
            </w:tc>
            <w:tc>
              <w:tcPr>
                <w:tcW w:w="1170" w:type="dxa"/>
                <w:shd w:val="clear" w:color="auto" w:fill="auto"/>
                <w:tcMar>
                  <w:top w:w="100" w:type="dxa"/>
                  <w:left w:w="100" w:type="dxa"/>
                  <w:bottom w:w="100" w:type="dxa"/>
                  <w:right w:w="100" w:type="dxa"/>
                </w:tcMar>
              </w:tcPr>
              <w:p w14:paraId="5C3F2456" w14:textId="77777777" w:rsidR="0088713B" w:rsidRDefault="002735DE">
                <w:pPr>
                  <w:widowControl w:val="0"/>
                  <w:pBdr>
                    <w:top w:val="nil"/>
                    <w:left w:val="nil"/>
                    <w:bottom w:val="nil"/>
                    <w:right w:val="nil"/>
                    <w:between w:val="nil"/>
                  </w:pBdr>
                  <w:jc w:val="right"/>
                </w:pPr>
                <w:r>
                  <w:t>80</w:t>
                </w:r>
              </w:p>
            </w:tc>
          </w:tr>
          <w:tr w:rsidR="0088713B" w14:paraId="55F3FE22" w14:textId="77777777">
            <w:tc>
              <w:tcPr>
                <w:tcW w:w="8190" w:type="dxa"/>
                <w:shd w:val="clear" w:color="auto" w:fill="auto"/>
                <w:tcMar>
                  <w:top w:w="100" w:type="dxa"/>
                  <w:left w:w="100" w:type="dxa"/>
                  <w:bottom w:w="100" w:type="dxa"/>
                  <w:right w:w="100" w:type="dxa"/>
                </w:tcMar>
              </w:tcPr>
              <w:p w14:paraId="2C068B28" w14:textId="77777777" w:rsidR="0088713B" w:rsidRDefault="002735DE">
                <w:pPr>
                  <w:rPr>
                    <w:b/>
                    <w:bCs/>
                    <w:i/>
                    <w:iCs/>
                  </w:rPr>
                </w:pPr>
                <w:r>
                  <w:rPr>
                    <w:b/>
                    <w:bCs/>
                    <w:i/>
                    <w:iCs/>
                  </w:rPr>
                  <w:t>114957 Canada Ltée (Spraytech, Société d’arrosage) v Hudson (Town)</w:t>
                </w:r>
                <w:r>
                  <w:rPr>
                    <w:b/>
                    <w:bCs/>
                  </w:rPr>
                  <w:t>, 2001 SCC 40</w:t>
                </w:r>
              </w:p>
            </w:tc>
            <w:tc>
              <w:tcPr>
                <w:tcW w:w="1170" w:type="dxa"/>
                <w:shd w:val="clear" w:color="auto" w:fill="auto"/>
                <w:tcMar>
                  <w:top w:w="100" w:type="dxa"/>
                  <w:left w:w="100" w:type="dxa"/>
                  <w:bottom w:w="100" w:type="dxa"/>
                  <w:right w:w="100" w:type="dxa"/>
                </w:tcMar>
              </w:tcPr>
              <w:p w14:paraId="12154B3C" w14:textId="77777777" w:rsidR="0088713B" w:rsidRDefault="002735DE">
                <w:pPr>
                  <w:widowControl w:val="0"/>
                  <w:pBdr>
                    <w:top w:val="nil"/>
                    <w:left w:val="nil"/>
                    <w:bottom w:val="nil"/>
                    <w:right w:val="nil"/>
                    <w:between w:val="nil"/>
                  </w:pBdr>
                  <w:jc w:val="right"/>
                </w:pPr>
                <w:r>
                  <w:t>69</w:t>
                </w:r>
              </w:p>
            </w:tc>
          </w:tr>
        </w:tbl>
      </w:sdtContent>
    </w:sdt>
    <w:p w14:paraId="0C69472E" w14:textId="77777777" w:rsidR="0088713B" w:rsidRDefault="0088713B">
      <w:pPr>
        <w:rPr>
          <w:b/>
          <w:bCs/>
        </w:rPr>
        <w:sectPr w:rsidR="0088713B">
          <w:headerReference w:type="default" r:id="rId21"/>
          <w:headerReference w:type="first" r:id="rId22"/>
          <w:pgSz w:w="12240" w:h="15840"/>
          <w:pgMar w:top="1440" w:right="1440" w:bottom="1440" w:left="1440" w:header="720" w:footer="720" w:gutter="0"/>
          <w:pgNumType w:start="1"/>
          <w:cols w:space="720"/>
          <w:titlePg/>
        </w:sectPr>
      </w:pPr>
    </w:p>
    <w:p w14:paraId="3DDC679C" w14:textId="77777777" w:rsidR="0088713B" w:rsidRDefault="0088713B">
      <w:pPr>
        <w:widowControl w:val="0"/>
        <w:pBdr>
          <w:top w:val="nil"/>
          <w:left w:val="nil"/>
          <w:bottom w:val="nil"/>
          <w:right w:val="nil"/>
          <w:between w:val="nil"/>
        </w:pBdr>
        <w:spacing w:line="276" w:lineRule="auto"/>
      </w:pPr>
    </w:p>
    <w:tbl>
      <w:tblPr>
        <w:tblStyle w:val="a1"/>
        <w:tblW w:w="12960" w:type="dxa"/>
        <w:tblLayout w:type="fixed"/>
        <w:tblLook w:val="0000" w:firstRow="0" w:lastRow="0" w:firstColumn="0" w:lastColumn="0" w:noHBand="0" w:noVBand="0"/>
      </w:tblPr>
      <w:tblGrid>
        <w:gridCol w:w="5941"/>
        <w:gridCol w:w="1105"/>
        <w:gridCol w:w="5914"/>
      </w:tblGrid>
      <w:tr w:rsidR="0088713B" w14:paraId="523B3BBB" w14:textId="77777777">
        <w:tc>
          <w:tcPr>
            <w:tcW w:w="5941" w:type="dxa"/>
            <w:tcBorders>
              <w:top w:val="nil"/>
              <w:left w:val="nil"/>
              <w:bottom w:val="nil"/>
              <w:right w:val="nil"/>
            </w:tcBorders>
          </w:tcPr>
          <w:p w14:paraId="4B7F927B" w14:textId="77777777" w:rsidR="0088713B" w:rsidRDefault="002735DE">
            <w:pPr>
              <w:rPr>
                <w:b/>
                <w:bCs/>
              </w:rPr>
            </w:pPr>
            <w:r>
              <w:rPr>
                <w:b/>
                <w:bCs/>
              </w:rPr>
              <w:t>HIS MAJESTY THE KING</w:t>
            </w:r>
          </w:p>
        </w:tc>
        <w:tc>
          <w:tcPr>
            <w:tcW w:w="1105" w:type="dxa"/>
            <w:tcBorders>
              <w:top w:val="nil"/>
              <w:left w:val="nil"/>
              <w:bottom w:val="nil"/>
              <w:right w:val="nil"/>
            </w:tcBorders>
          </w:tcPr>
          <w:p w14:paraId="7823451B" w14:textId="77777777" w:rsidR="0088713B" w:rsidRDefault="002735DE">
            <w:pPr>
              <w:ind w:left="-479"/>
              <w:jc w:val="center"/>
              <w:rPr>
                <w:b/>
                <w:bCs/>
                <w:color w:val="000000"/>
              </w:rPr>
            </w:pPr>
            <w:r>
              <w:rPr>
                <w:b/>
                <w:bCs/>
                <w:color w:val="000000"/>
              </w:rPr>
              <w:t>-and-</w:t>
            </w:r>
          </w:p>
        </w:tc>
        <w:tc>
          <w:tcPr>
            <w:tcW w:w="5914" w:type="dxa"/>
            <w:tcBorders>
              <w:top w:val="nil"/>
              <w:left w:val="nil"/>
              <w:bottom w:val="nil"/>
              <w:right w:val="nil"/>
            </w:tcBorders>
          </w:tcPr>
          <w:p w14:paraId="7C1F277F" w14:textId="77777777" w:rsidR="0088713B" w:rsidRDefault="002735DE">
            <w:pPr>
              <w:jc w:val="right"/>
              <w:rPr>
                <w:b/>
                <w:bCs/>
                <w:color w:val="000000"/>
              </w:rPr>
            </w:pPr>
            <w:r>
              <w:rPr>
                <w:b/>
                <w:bCs/>
                <w:color w:val="000000"/>
              </w:rPr>
              <w:t>CONSOLIDATED HOMES LTD.</w:t>
            </w:r>
          </w:p>
        </w:tc>
      </w:tr>
      <w:tr w:rsidR="0088713B" w14:paraId="3C5BC342" w14:textId="77777777">
        <w:tc>
          <w:tcPr>
            <w:tcW w:w="5941" w:type="dxa"/>
            <w:tcBorders>
              <w:top w:val="nil"/>
              <w:left w:val="nil"/>
              <w:bottom w:val="nil"/>
              <w:right w:val="nil"/>
            </w:tcBorders>
          </w:tcPr>
          <w:p w14:paraId="456F53DE" w14:textId="77777777" w:rsidR="0088713B" w:rsidRDefault="002735DE">
            <w:pPr>
              <w:rPr>
                <w:color w:val="000000"/>
              </w:rPr>
            </w:pPr>
            <w:r>
              <w:rPr>
                <w:color w:val="000000"/>
              </w:rPr>
              <w:t>APPELLANT</w:t>
            </w:r>
            <w:r>
              <w:rPr>
                <w:color w:val="000000"/>
              </w:rPr>
              <w:br/>
            </w:r>
          </w:p>
        </w:tc>
        <w:tc>
          <w:tcPr>
            <w:tcW w:w="1105" w:type="dxa"/>
            <w:tcBorders>
              <w:top w:val="nil"/>
              <w:left w:val="nil"/>
              <w:bottom w:val="nil"/>
              <w:right w:val="nil"/>
            </w:tcBorders>
          </w:tcPr>
          <w:p w14:paraId="5AF14ACE" w14:textId="77777777" w:rsidR="0088713B" w:rsidRDefault="0088713B">
            <w:pPr>
              <w:jc w:val="center"/>
              <w:rPr>
                <w:color w:val="000000"/>
              </w:rPr>
            </w:pPr>
          </w:p>
        </w:tc>
        <w:tc>
          <w:tcPr>
            <w:tcW w:w="5914" w:type="dxa"/>
            <w:tcBorders>
              <w:top w:val="nil"/>
              <w:left w:val="nil"/>
              <w:bottom w:val="nil"/>
              <w:right w:val="nil"/>
            </w:tcBorders>
          </w:tcPr>
          <w:p w14:paraId="75CFB4E6" w14:textId="77777777" w:rsidR="0088713B" w:rsidRDefault="002735DE">
            <w:pPr>
              <w:jc w:val="right"/>
              <w:rPr>
                <w:color w:val="000000"/>
              </w:rPr>
            </w:pPr>
            <w:r>
              <w:rPr>
                <w:color w:val="000000"/>
              </w:rPr>
              <w:t xml:space="preserve">RESPONDENT </w:t>
            </w:r>
          </w:p>
        </w:tc>
      </w:tr>
    </w:tbl>
    <w:p w14:paraId="275E7D71" w14:textId="77777777" w:rsidR="0088713B" w:rsidRDefault="002735DE">
      <w:pPr>
        <w:spacing w:before="240"/>
        <w:jc w:val="right"/>
      </w:pPr>
      <w:r>
        <w:t>S.E.M.C.C. File Number: 02-14-2026</w:t>
      </w:r>
    </w:p>
    <w:tbl>
      <w:tblPr>
        <w:tblStyle w:val="a2"/>
        <w:tblW w:w="13396" w:type="dxa"/>
        <w:tblInd w:w="-187" w:type="dxa"/>
        <w:tblLayout w:type="fixed"/>
        <w:tblLook w:val="0000" w:firstRow="0" w:lastRow="0" w:firstColumn="0" w:lastColumn="0" w:noHBand="0" w:noVBand="0"/>
      </w:tblPr>
      <w:tblGrid>
        <w:gridCol w:w="8838"/>
        <w:gridCol w:w="4558"/>
      </w:tblGrid>
      <w:tr w:rsidR="0088713B" w14:paraId="2DE81593" w14:textId="77777777">
        <w:trPr>
          <w:cantSplit/>
          <w:trHeight w:val="1074"/>
        </w:trPr>
        <w:tc>
          <w:tcPr>
            <w:tcW w:w="8838" w:type="dxa"/>
            <w:vMerge w:val="restart"/>
            <w:tcBorders>
              <w:top w:val="single" w:sz="6" w:space="0" w:color="000000"/>
              <w:left w:val="nil"/>
              <w:bottom w:val="nil"/>
              <w:right w:val="nil"/>
            </w:tcBorders>
          </w:tcPr>
          <w:p w14:paraId="6EFF0FF2" w14:textId="77777777" w:rsidR="0088713B" w:rsidRDefault="0088713B"/>
          <w:p w14:paraId="4A13A416" w14:textId="77777777" w:rsidR="0088713B" w:rsidRDefault="0088713B"/>
        </w:tc>
        <w:tc>
          <w:tcPr>
            <w:tcW w:w="4558" w:type="dxa"/>
            <w:tcBorders>
              <w:top w:val="single" w:sz="6" w:space="0" w:color="000000"/>
              <w:left w:val="single" w:sz="6" w:space="0" w:color="000000"/>
              <w:bottom w:val="single" w:sz="4" w:space="0" w:color="000000"/>
              <w:right w:val="nil"/>
            </w:tcBorders>
          </w:tcPr>
          <w:p w14:paraId="6E8AAC7E" w14:textId="77777777" w:rsidR="0088713B" w:rsidRDefault="0088713B">
            <w:pPr>
              <w:jc w:val="center"/>
            </w:pPr>
          </w:p>
          <w:p w14:paraId="59084912" w14:textId="77777777" w:rsidR="0088713B" w:rsidRDefault="002735DE">
            <w:pPr>
              <w:pBdr>
                <w:top w:val="nil"/>
                <w:left w:val="nil"/>
                <w:bottom w:val="nil"/>
                <w:right w:val="nil"/>
                <w:between w:val="nil"/>
              </w:pBdr>
              <w:jc w:val="center"/>
              <w:rPr>
                <w:color w:val="000000"/>
              </w:rPr>
            </w:pPr>
            <w:r>
              <w:rPr>
                <w:color w:val="000000"/>
              </w:rPr>
              <w:t>SUPREME ENVIRONMENTAL MOOT COURT OF CANADA</w:t>
            </w:r>
          </w:p>
        </w:tc>
      </w:tr>
      <w:tr w:rsidR="0088713B" w14:paraId="1143EA92" w14:textId="77777777">
        <w:trPr>
          <w:cantSplit/>
          <w:trHeight w:val="1581"/>
        </w:trPr>
        <w:tc>
          <w:tcPr>
            <w:tcW w:w="8838" w:type="dxa"/>
            <w:vMerge/>
            <w:tcBorders>
              <w:top w:val="single" w:sz="6" w:space="0" w:color="000000"/>
              <w:left w:val="nil"/>
              <w:bottom w:val="nil"/>
              <w:right w:val="nil"/>
            </w:tcBorders>
          </w:tcPr>
          <w:p w14:paraId="3B9080AB" w14:textId="77777777" w:rsidR="0088713B" w:rsidRDefault="0088713B">
            <w:pPr>
              <w:widowControl w:val="0"/>
              <w:pBdr>
                <w:top w:val="nil"/>
                <w:left w:val="nil"/>
                <w:bottom w:val="nil"/>
                <w:right w:val="nil"/>
                <w:between w:val="nil"/>
              </w:pBdr>
              <w:spacing w:line="276" w:lineRule="auto"/>
              <w:rPr>
                <w:color w:val="000000"/>
              </w:rPr>
            </w:pPr>
          </w:p>
        </w:tc>
        <w:tc>
          <w:tcPr>
            <w:tcW w:w="4558" w:type="dxa"/>
            <w:tcBorders>
              <w:top w:val="single" w:sz="4" w:space="0" w:color="000000"/>
              <w:left w:val="single" w:sz="6" w:space="0" w:color="000000"/>
              <w:bottom w:val="single" w:sz="4" w:space="0" w:color="000000"/>
              <w:right w:val="nil"/>
            </w:tcBorders>
          </w:tcPr>
          <w:p w14:paraId="31A4F8EA" w14:textId="77777777" w:rsidR="0088713B" w:rsidRDefault="0088713B">
            <w:pPr>
              <w:jc w:val="center"/>
              <w:rPr>
                <w:b/>
                <w:bCs/>
              </w:rPr>
            </w:pPr>
          </w:p>
          <w:p w14:paraId="20EDE5DA" w14:textId="77777777" w:rsidR="0088713B" w:rsidRDefault="002735DE">
            <w:pPr>
              <w:jc w:val="center"/>
              <w:rPr>
                <w:b/>
                <w:bCs/>
              </w:rPr>
            </w:pPr>
            <w:r>
              <w:rPr>
                <w:b/>
                <w:bCs/>
              </w:rPr>
              <w:t>FACTUM OF THE APPELLANT</w:t>
            </w:r>
          </w:p>
          <w:p w14:paraId="6197A28D" w14:textId="77777777" w:rsidR="0088713B" w:rsidRDefault="002735DE">
            <w:pPr>
              <w:jc w:val="center"/>
            </w:pPr>
            <w:r>
              <w:rPr>
                <w:b/>
                <w:bCs/>
              </w:rPr>
              <w:t>HIS MAJESTY THE KING</w:t>
            </w:r>
          </w:p>
        </w:tc>
      </w:tr>
      <w:tr w:rsidR="0088713B" w14:paraId="47DA8C80" w14:textId="77777777">
        <w:trPr>
          <w:trHeight w:val="4173"/>
        </w:trPr>
        <w:tc>
          <w:tcPr>
            <w:tcW w:w="8838" w:type="dxa"/>
            <w:vMerge/>
            <w:tcBorders>
              <w:top w:val="single" w:sz="6" w:space="0" w:color="000000"/>
              <w:left w:val="nil"/>
              <w:bottom w:val="nil"/>
              <w:right w:val="nil"/>
            </w:tcBorders>
          </w:tcPr>
          <w:p w14:paraId="758A935D" w14:textId="77777777" w:rsidR="0088713B" w:rsidRDefault="0088713B">
            <w:pPr>
              <w:widowControl w:val="0"/>
              <w:pBdr>
                <w:top w:val="nil"/>
                <w:left w:val="nil"/>
                <w:bottom w:val="nil"/>
                <w:right w:val="nil"/>
                <w:between w:val="nil"/>
              </w:pBdr>
              <w:spacing w:line="276" w:lineRule="auto"/>
            </w:pPr>
          </w:p>
        </w:tc>
        <w:tc>
          <w:tcPr>
            <w:tcW w:w="4558" w:type="dxa"/>
            <w:tcBorders>
              <w:top w:val="single" w:sz="4" w:space="0" w:color="000000"/>
              <w:left w:val="single" w:sz="6" w:space="0" w:color="000000"/>
              <w:bottom w:val="nil"/>
              <w:right w:val="nil"/>
            </w:tcBorders>
          </w:tcPr>
          <w:p w14:paraId="60445D0E" w14:textId="77777777" w:rsidR="0088713B" w:rsidRDefault="0088713B">
            <w:pPr>
              <w:pBdr>
                <w:top w:val="nil"/>
                <w:left w:val="nil"/>
                <w:bottom w:val="nil"/>
                <w:right w:val="nil"/>
                <w:between w:val="nil"/>
              </w:pBdr>
              <w:spacing w:before="120" w:after="120" w:line="360" w:lineRule="auto"/>
              <w:jc w:val="center"/>
              <w:rPr>
                <w:color w:val="000000"/>
              </w:rPr>
            </w:pPr>
          </w:p>
          <w:p w14:paraId="39B2CF1B" w14:textId="77777777" w:rsidR="0088713B" w:rsidRDefault="002735DE">
            <w:pPr>
              <w:widowControl w:val="0"/>
              <w:ind w:left="96"/>
              <w:jc w:val="center"/>
              <w:rPr>
                <w:b/>
                <w:bCs/>
              </w:rPr>
            </w:pPr>
            <w:r>
              <w:rPr>
                <w:b/>
                <w:bCs/>
              </w:rPr>
              <w:t>TEAM #</w:t>
            </w:r>
            <w:bookmarkStart w:id="31" w:name="bookmark=id.e0d9mrt515h3" w:colFirst="0" w:colLast="0"/>
            <w:bookmarkEnd w:id="31"/>
            <w:r>
              <w:rPr>
                <w:b/>
                <w:bCs/>
              </w:rPr>
              <w:t> </w:t>
            </w:r>
            <w:r>
              <w:rPr>
                <w:b/>
                <w:bCs/>
                <w:color w:val="222222"/>
                <w:sz w:val="22"/>
                <w:szCs w:val="22"/>
                <w:highlight w:val="white"/>
              </w:rPr>
              <w:t xml:space="preserve"> </w:t>
            </w:r>
            <w:r>
              <w:rPr>
                <w:b/>
                <w:bCs/>
                <w:color w:val="222222"/>
              </w:rPr>
              <w:t>­­­­­­­­­­­­­­­­­2026-03</w:t>
            </w:r>
            <w:r>
              <w:rPr>
                <w:b/>
                <w:bCs/>
              </w:rPr>
              <w:t>    </w:t>
            </w:r>
          </w:p>
          <w:p w14:paraId="1BC023AA" w14:textId="77777777" w:rsidR="0088713B" w:rsidRDefault="0088713B">
            <w:pPr>
              <w:widowControl w:val="0"/>
              <w:ind w:left="96"/>
              <w:jc w:val="center"/>
              <w:rPr>
                <w:b/>
                <w:bCs/>
              </w:rPr>
            </w:pPr>
          </w:p>
          <w:p w14:paraId="3524F6F7" w14:textId="77777777" w:rsidR="0088713B" w:rsidRDefault="002735DE">
            <w:pPr>
              <w:widowControl w:val="0"/>
              <w:ind w:left="96"/>
              <w:jc w:val="center"/>
              <w:rPr>
                <w:b/>
                <w:bCs/>
              </w:rPr>
            </w:pPr>
            <w:bookmarkStart w:id="32" w:name="bookmark=id.9aw5hs1bgvs9" w:colFirst="0" w:colLast="0"/>
            <w:bookmarkEnd w:id="32"/>
            <w:r>
              <w:rPr>
                <w:b/>
                <w:bCs/>
              </w:rPr>
              <w:t>     </w:t>
            </w:r>
          </w:p>
          <w:p w14:paraId="66234323" w14:textId="77777777" w:rsidR="0088713B" w:rsidRDefault="002735DE">
            <w:pPr>
              <w:widowControl w:val="0"/>
              <w:ind w:left="96"/>
              <w:jc w:val="center"/>
              <w:rPr>
                <w:b/>
                <w:bCs/>
              </w:rPr>
            </w:pPr>
            <w:r>
              <w:rPr>
                <w:b/>
                <w:bCs/>
              </w:rPr>
              <w:t>     </w:t>
            </w:r>
          </w:p>
          <w:p w14:paraId="71D374A5" w14:textId="77777777" w:rsidR="0088713B" w:rsidRDefault="002735DE">
            <w:pPr>
              <w:widowControl w:val="0"/>
              <w:ind w:left="96"/>
              <w:jc w:val="center"/>
            </w:pPr>
            <w:r>
              <w:rPr>
                <w:b/>
                <w:bCs/>
              </w:rPr>
              <w:t>     </w:t>
            </w:r>
          </w:p>
          <w:p w14:paraId="582EE376" w14:textId="77777777" w:rsidR="0088713B" w:rsidRDefault="0088713B">
            <w:pPr>
              <w:widowControl w:val="0"/>
              <w:ind w:left="96"/>
              <w:jc w:val="center"/>
            </w:pPr>
          </w:p>
          <w:p w14:paraId="19D91A15" w14:textId="77777777" w:rsidR="0088713B" w:rsidRDefault="002735DE">
            <w:pPr>
              <w:widowControl w:val="0"/>
              <w:ind w:left="96"/>
              <w:jc w:val="center"/>
            </w:pPr>
            <w:r>
              <w:t xml:space="preserve">Counsel for the Appellant, </w:t>
            </w:r>
            <w:r>
              <w:br/>
            </w:r>
            <w:r>
              <w:t>His Majesty The King</w:t>
            </w:r>
          </w:p>
          <w:p w14:paraId="38CA66E7" w14:textId="77777777" w:rsidR="0088713B" w:rsidRDefault="0088713B">
            <w:pPr>
              <w:widowControl w:val="0"/>
              <w:ind w:left="96"/>
              <w:jc w:val="center"/>
              <w:rPr>
                <w:color w:val="000000"/>
              </w:rPr>
            </w:pPr>
          </w:p>
        </w:tc>
      </w:tr>
    </w:tbl>
    <w:p w14:paraId="264CE983" w14:textId="27CD6089" w:rsidR="0088713B" w:rsidRDefault="002735DE">
      <w:pPr>
        <w:pBdr>
          <w:top w:val="nil"/>
          <w:left w:val="nil"/>
          <w:bottom w:val="nil"/>
          <w:right w:val="nil"/>
          <w:between w:val="nil"/>
        </w:pBdr>
        <w:spacing w:before="20"/>
        <w:rPr>
          <w:color w:val="000000"/>
          <w:sz w:val="16"/>
          <w:szCs w:val="16"/>
        </w:rPr>
      </w:pPr>
      <w:bookmarkStart w:id="33" w:name="bookmark=id.o57pms7zi6y9" w:colFirst="0" w:colLast="0"/>
      <w:bookmarkEnd w:id="33"/>
      <w:r>
        <w:rPr>
          <w:color w:val="000000"/>
          <w:sz w:val="16"/>
          <w:szCs w:val="16"/>
        </w:rPr>
        <w:t>Document #:</w:t>
      </w:r>
    </w:p>
    <w:p w14:paraId="28D0450A" w14:textId="64196C44" w:rsidR="002735DE" w:rsidRDefault="002735DE" w:rsidP="002735DE">
      <w:pPr>
        <w:pBdr>
          <w:top w:val="nil"/>
          <w:left w:val="nil"/>
          <w:bottom w:val="nil"/>
          <w:right w:val="nil"/>
          <w:between w:val="nil"/>
        </w:pBdr>
        <w:spacing w:line="180" w:lineRule="exact"/>
        <w:rPr>
          <w:color w:val="000000"/>
          <w:sz w:val="16"/>
          <w:szCs w:val="16"/>
        </w:rPr>
      </w:pPr>
      <w:r>
        <w:rPr>
          <w:rFonts w:ascii="Arial" w:hAnsi="Arial" w:cs="Arial"/>
          <w:sz w:val="16"/>
        </w:rPr>
        <w:fldChar w:fldCharType="begin"/>
      </w:r>
      <w:r>
        <w:rPr>
          <w:rFonts w:ascii="Arial" w:hAnsi="Arial" w:cs="Arial"/>
          <w:sz w:val="16"/>
        </w:rPr>
        <w:instrText xml:space="preserve"> DOCVARIABLE ndGeneratedStamp \* MERGEFORMAT </w:instrText>
      </w:r>
      <w:r>
        <w:rPr>
          <w:rFonts w:ascii="Arial" w:hAnsi="Arial" w:cs="Arial"/>
          <w:sz w:val="16"/>
        </w:rPr>
        <w:fldChar w:fldCharType="separate"/>
      </w:r>
      <w:r>
        <w:rPr>
          <w:rFonts w:ascii="Arial" w:hAnsi="Arial" w:cs="Arial"/>
          <w:sz w:val="16"/>
        </w:rPr>
        <w:t>1402-6775-3499, v. 1</w:t>
      </w:r>
      <w:r>
        <w:rPr>
          <w:rFonts w:ascii="Arial" w:hAnsi="Arial" w:cs="Arial"/>
          <w:sz w:val="16"/>
        </w:rPr>
        <w:fldChar w:fldCharType="end"/>
      </w:r>
    </w:p>
    <w:sectPr w:rsidR="002735DE">
      <w:headerReference w:type="default" r:id="rId23"/>
      <w:pgSz w:w="15840" w:h="12240"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307C6" w14:textId="77777777" w:rsidR="002735DE" w:rsidRDefault="002735DE">
      <w:r>
        <w:separator/>
      </w:r>
    </w:p>
  </w:endnote>
  <w:endnote w:type="continuationSeparator" w:id="0">
    <w:p w14:paraId="60935C2C" w14:textId="77777777" w:rsidR="002735DE" w:rsidRDefault="00273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0F48EC14-7442-4C3B-894B-71E0ADD60359}"/>
    <w:embedBold r:id="rId2" w:fontKey="{97CBC719-0482-4635-9F64-99A877FFA1EB}"/>
    <w:embedBoldItalic r:id="rId3" w:fontKey="{C9A721C8-F64A-44D8-86D8-A1FDD288F10D}"/>
  </w:font>
  <w:font w:name="Calibri">
    <w:panose1 w:val="020F0502020204030204"/>
    <w:charset w:val="00"/>
    <w:family w:val="swiss"/>
    <w:pitch w:val="variable"/>
    <w:sig w:usb0="E4002EFF" w:usb1="C200247B" w:usb2="00000009" w:usb3="00000000" w:csb0="000001FF" w:csb1="00000000"/>
    <w:embedRegular r:id="rId4" w:fontKey="{1392CE59-CA8E-4853-9819-D5A7CDC3EDE0}"/>
    <w:embedBold r:id="rId5" w:fontKey="{1D2EA2A1-C020-4813-8710-0E774AD74F00}"/>
    <w:embedItalic r:id="rId6" w:fontKey="{86EFCBC6-C027-4CEF-972F-270C7BC28AC6}"/>
    <w:embedBoldItalic r:id="rId7" w:fontKey="{644E9996-458F-442B-BC3E-3656F01D3C08}"/>
  </w:font>
  <w:font w:name="Tahoma">
    <w:panose1 w:val="020B0604030504040204"/>
    <w:charset w:val="00"/>
    <w:family w:val="roman"/>
    <w:notTrueType/>
    <w:pitch w:val="default"/>
    <w:embedRegular r:id="rId8" w:fontKey="{25220107-5326-4938-9D84-D78168EFE64D}"/>
  </w:font>
  <w:font w:name="Georgia">
    <w:panose1 w:val="02040502050405020303"/>
    <w:charset w:val="00"/>
    <w:family w:val="auto"/>
    <w:pitch w:val="default"/>
    <w:embedItalic r:id="rId9" w:fontKey="{EE0E060D-E741-44BB-827E-03F64EE83DB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B9D11" w14:textId="77777777" w:rsidR="002735DE" w:rsidRDefault="002735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97F6E" w14:textId="77777777" w:rsidR="0088713B" w:rsidRDefault="0088713B">
    <w:pPr>
      <w:rPr>
        <w:b/>
        <w:bCs/>
      </w:rPr>
    </w:pPr>
  </w:p>
  <w:p w14:paraId="083A864A" w14:textId="77777777" w:rsidR="0088713B" w:rsidRDefault="0088713B">
    <w:pPr>
      <w:pBdr>
        <w:top w:val="nil"/>
        <w:left w:val="nil"/>
        <w:bottom w:val="nil"/>
        <w:right w:val="nil"/>
        <w:between w:val="nil"/>
      </w:pBdr>
      <w:tabs>
        <w:tab w:val="center" w:pos="4513"/>
        <w:tab w:val="right" w:pos="902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2D77B" w14:textId="77777777" w:rsidR="0088713B" w:rsidRDefault="0088713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85D9D8" w14:textId="77777777" w:rsidR="002735DE" w:rsidRDefault="002735DE">
      <w:r>
        <w:separator/>
      </w:r>
    </w:p>
  </w:footnote>
  <w:footnote w:type="continuationSeparator" w:id="0">
    <w:p w14:paraId="5555C819" w14:textId="77777777" w:rsidR="002735DE" w:rsidRDefault="002735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F6690" w14:textId="77777777" w:rsidR="002735DE" w:rsidRDefault="002735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3AAD8" w14:textId="77777777" w:rsidR="0088713B" w:rsidRDefault="0088713B">
    <w:pP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23327" w14:textId="77777777" w:rsidR="0088713B" w:rsidRDefault="0088713B">
    <w:pP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78012" w14:textId="77777777" w:rsidR="0088713B" w:rsidRDefault="002735DE">
    <w:pPr>
      <w:jc w:val="center"/>
    </w:pPr>
    <w:r>
      <w:t>i.</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728D4" w14:textId="77777777" w:rsidR="0088713B" w:rsidRDefault="002735DE">
    <w:pPr>
      <w:jc w:val="center"/>
    </w:pPr>
    <w:r>
      <w:t>ii.</w:t>
    </w:r>
  </w:p>
  <w:p w14:paraId="7EC6383C" w14:textId="77777777" w:rsidR="0088713B" w:rsidRDefault="0088713B">
    <w:pP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DB49B" w14:textId="7084ACB7" w:rsidR="0088713B" w:rsidRDefault="002735DE">
    <w:pPr>
      <w:jc w:val="center"/>
    </w:pPr>
    <w:r>
      <w:fldChar w:fldCharType="begin"/>
    </w:r>
    <w:r>
      <w:instrText>PAGE</w:instrText>
    </w:r>
    <w:r>
      <w:fldChar w:fldCharType="separate"/>
    </w:r>
    <w:r>
      <w:rPr>
        <w:noProof/>
      </w:rPr>
      <w:t>2</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C25E2" w14:textId="49A59652" w:rsidR="0088713B" w:rsidRDefault="002735DE">
    <w:pPr>
      <w:jc w:val="center"/>
    </w:pPr>
    <w:r>
      <w:fldChar w:fldCharType="begin"/>
    </w:r>
    <w:r>
      <w:instrText>PAGE</w:instrText>
    </w:r>
    <w:r>
      <w:fldChar w:fldCharType="separate"/>
    </w:r>
    <w:r>
      <w:rPr>
        <w:noProof/>
      </w:rPr>
      <w:t>1</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59634" w14:textId="77777777" w:rsidR="0088713B" w:rsidRDefault="0088713B">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D0C8A"/>
    <w:multiLevelType w:val="multilevel"/>
    <w:tmpl w:val="66F40C12"/>
    <w:lvl w:ilvl="0">
      <w:start w:val="1"/>
      <w:numFmt w:val="upperRoman"/>
      <w:lvlText w:val="PART %1:"/>
      <w:lvlJc w:val="left"/>
      <w:pPr>
        <w:ind w:left="0" w:firstLine="0"/>
      </w:pPr>
      <w:rPr>
        <w:rFonts w:ascii="Times New Roman" w:eastAsia="Times New Roman" w:hAnsi="Times New Roman" w:cs="Times New Roman"/>
        <w:b/>
        <w:bCs/>
        <w:i w:val="0"/>
        <w:iCs w:val="0"/>
        <w:sz w:val="24"/>
        <w:szCs w:val="24"/>
      </w:rPr>
    </w:lvl>
    <w:lvl w:ilvl="1">
      <w:start w:val="4"/>
      <w:numFmt w:val="upperLetter"/>
      <w:lvlText w:val="%2."/>
      <w:lvlJc w:val="left"/>
      <w:pPr>
        <w:ind w:left="720" w:hanging="720"/>
      </w:pPr>
      <w:rPr>
        <w:rFonts w:ascii="Times New Roman" w:eastAsia="Times New Roman" w:hAnsi="Times New Roman" w:cs="Times New Roman"/>
        <w:b/>
        <w:bCs/>
        <w:i w:val="0"/>
        <w:iCs w:val="0"/>
        <w:sz w:val="24"/>
        <w:szCs w:val="24"/>
      </w:rPr>
    </w:lvl>
    <w:lvl w:ilvl="2">
      <w:start w:val="1"/>
      <w:numFmt w:val="lowerRoman"/>
      <w:lvlText w:val="(%3)"/>
      <w:lvlJc w:val="left"/>
      <w:pPr>
        <w:ind w:left="720" w:hanging="720"/>
      </w:pPr>
      <w:rPr>
        <w:rFonts w:ascii="Times New Roman" w:eastAsia="Times New Roman" w:hAnsi="Times New Roman" w:cs="Times New Roman"/>
        <w:b w:val="0"/>
        <w:bCs w:val="0"/>
        <w:i w:val="0"/>
        <w:iCs w:val="0"/>
        <w:sz w:val="24"/>
        <w:szCs w:val="24"/>
      </w:rPr>
    </w:lvl>
    <w:lvl w:ilvl="3">
      <w:start w:val="1"/>
      <w:numFmt w:val="lowerLetter"/>
      <w:lvlText w:val="(%4)"/>
      <w:lvlJc w:val="left"/>
      <w:pPr>
        <w:ind w:left="720" w:hanging="720"/>
      </w:pPr>
      <w:rPr>
        <w:rFonts w:ascii="Times New Roman" w:eastAsia="Times New Roman" w:hAnsi="Times New Roman" w:cs="Times New Roman"/>
        <w:b w:val="0"/>
        <w:bCs w:val="0"/>
        <w:i/>
        <w:iCs/>
        <w:sz w:val="24"/>
        <w:szCs w:val="24"/>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15:restartNumberingAfterBreak="0">
    <w:nsid w:val="16EC0766"/>
    <w:multiLevelType w:val="multilevel"/>
    <w:tmpl w:val="E2B8711E"/>
    <w:lvl w:ilvl="0">
      <w:start w:val="1"/>
      <w:numFmt w:val="upperRoman"/>
      <w:lvlText w:val="PART %1:"/>
      <w:lvlJc w:val="left"/>
      <w:pPr>
        <w:ind w:left="0" w:firstLine="0"/>
      </w:pPr>
      <w:rPr>
        <w:rFonts w:ascii="Times New Roman" w:eastAsia="Times New Roman" w:hAnsi="Times New Roman" w:cs="Times New Roman"/>
        <w:b/>
        <w:bCs/>
        <w:i w:val="0"/>
        <w:iCs w:val="0"/>
        <w:sz w:val="24"/>
        <w:szCs w:val="24"/>
      </w:rPr>
    </w:lvl>
    <w:lvl w:ilvl="1">
      <w:start w:val="1"/>
      <w:numFmt w:val="upperLetter"/>
      <w:lvlText w:val="%2."/>
      <w:lvlJc w:val="left"/>
      <w:pPr>
        <w:ind w:left="720" w:hanging="720"/>
      </w:pPr>
      <w:rPr>
        <w:rFonts w:ascii="Times New Roman" w:eastAsia="Times New Roman" w:hAnsi="Times New Roman" w:cs="Times New Roman"/>
        <w:b/>
        <w:bCs/>
        <w:i w:val="0"/>
        <w:iCs w:val="0"/>
        <w:sz w:val="24"/>
        <w:szCs w:val="24"/>
      </w:rPr>
    </w:lvl>
    <w:lvl w:ilvl="2">
      <w:start w:val="1"/>
      <w:numFmt w:val="lowerRoman"/>
      <w:lvlText w:val="(%3)"/>
      <w:lvlJc w:val="left"/>
      <w:pPr>
        <w:ind w:left="720" w:hanging="720"/>
      </w:pPr>
      <w:rPr>
        <w:rFonts w:ascii="Times New Roman" w:eastAsia="Times New Roman" w:hAnsi="Times New Roman" w:cs="Times New Roman"/>
        <w:b w:val="0"/>
        <w:bCs w:val="0"/>
        <w:i w:val="0"/>
        <w:iCs w:val="0"/>
        <w:sz w:val="24"/>
        <w:szCs w:val="24"/>
      </w:rPr>
    </w:lvl>
    <w:lvl w:ilvl="3">
      <w:start w:val="1"/>
      <w:numFmt w:val="lowerLetter"/>
      <w:lvlText w:val="(%4)"/>
      <w:lvlJc w:val="left"/>
      <w:pPr>
        <w:ind w:left="720" w:hanging="720"/>
      </w:pPr>
      <w:rPr>
        <w:rFonts w:ascii="Times New Roman" w:eastAsia="Times New Roman" w:hAnsi="Times New Roman" w:cs="Times New Roman"/>
        <w:b w:val="0"/>
        <w:bCs w:val="0"/>
        <w:i/>
        <w:iCs/>
        <w:sz w:val="24"/>
        <w:szCs w:val="24"/>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 w15:restartNumberingAfterBreak="0">
    <w:nsid w:val="4DBA30B2"/>
    <w:multiLevelType w:val="multilevel"/>
    <w:tmpl w:val="A83EE796"/>
    <w:lvl w:ilvl="0">
      <w:start w:val="1"/>
      <w:numFmt w:val="decimal"/>
      <w:pStyle w:val="WSParaNum"/>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E8D0FD8"/>
    <w:multiLevelType w:val="multilevel"/>
    <w:tmpl w:val="027EEC42"/>
    <w:lvl w:ilvl="0">
      <w:start w:val="1"/>
      <w:numFmt w:val="upperRoman"/>
      <w:lvlText w:val="PART %1:"/>
      <w:lvlJc w:val="left"/>
      <w:pPr>
        <w:ind w:left="0" w:firstLine="0"/>
      </w:pPr>
      <w:rPr>
        <w:rFonts w:ascii="Times New Roman" w:eastAsia="Times New Roman" w:hAnsi="Times New Roman" w:cs="Times New Roman"/>
        <w:b/>
        <w:bCs/>
        <w:i w:val="0"/>
        <w:iCs w:val="0"/>
        <w:sz w:val="24"/>
        <w:szCs w:val="24"/>
      </w:rPr>
    </w:lvl>
    <w:lvl w:ilvl="1">
      <w:start w:val="2"/>
      <w:numFmt w:val="upperLetter"/>
      <w:lvlText w:val="%2."/>
      <w:lvlJc w:val="left"/>
      <w:pPr>
        <w:ind w:left="720" w:hanging="720"/>
      </w:pPr>
      <w:rPr>
        <w:rFonts w:ascii="Times New Roman" w:eastAsia="Times New Roman" w:hAnsi="Times New Roman" w:cs="Times New Roman"/>
        <w:b/>
        <w:bCs/>
        <w:i w:val="0"/>
        <w:iCs w:val="0"/>
        <w:sz w:val="24"/>
        <w:szCs w:val="24"/>
      </w:rPr>
    </w:lvl>
    <w:lvl w:ilvl="2">
      <w:start w:val="1"/>
      <w:numFmt w:val="lowerRoman"/>
      <w:lvlText w:val="(%3)"/>
      <w:lvlJc w:val="left"/>
      <w:pPr>
        <w:ind w:left="720" w:hanging="720"/>
      </w:pPr>
      <w:rPr>
        <w:rFonts w:ascii="Times New Roman" w:eastAsia="Times New Roman" w:hAnsi="Times New Roman" w:cs="Times New Roman"/>
        <w:b w:val="0"/>
        <w:bCs w:val="0"/>
        <w:i w:val="0"/>
        <w:iCs w:val="0"/>
        <w:sz w:val="24"/>
        <w:szCs w:val="24"/>
      </w:rPr>
    </w:lvl>
    <w:lvl w:ilvl="3">
      <w:start w:val="1"/>
      <w:numFmt w:val="lowerLetter"/>
      <w:lvlText w:val="(%4)"/>
      <w:lvlJc w:val="left"/>
      <w:pPr>
        <w:ind w:left="720" w:hanging="720"/>
      </w:pPr>
      <w:rPr>
        <w:rFonts w:ascii="Times New Roman" w:eastAsia="Times New Roman" w:hAnsi="Times New Roman" w:cs="Times New Roman"/>
        <w:b w:val="0"/>
        <w:bCs w:val="0"/>
        <w:i/>
        <w:iCs/>
        <w:sz w:val="24"/>
        <w:szCs w:val="24"/>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4" w15:restartNumberingAfterBreak="0">
    <w:nsid w:val="69617BD6"/>
    <w:multiLevelType w:val="multilevel"/>
    <w:tmpl w:val="46B4CE80"/>
    <w:lvl w:ilvl="0">
      <w:start w:val="1"/>
      <w:numFmt w:val="decimal"/>
      <w:pStyle w:val="WSFourthLevelParaNum"/>
      <w:lvlText w:val="%1"/>
      <w:lvlJc w:val="left"/>
      <w:pPr>
        <w:ind w:left="0" w:firstLine="0"/>
      </w:pPr>
      <w:rPr>
        <w:sz w:val="24"/>
        <w:szCs w:val="24"/>
      </w:rPr>
    </w:lvl>
    <w:lvl w:ilvl="1">
      <w:start w:val="1"/>
      <w:numFmt w:val="lowerLetter"/>
      <w:lvlText w:val="(%2)"/>
      <w:lvlJc w:val="left"/>
      <w:pPr>
        <w:ind w:left="720" w:hanging="360"/>
      </w:pPr>
      <w:rPr>
        <w:i w:val="0"/>
        <w:iCs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6F4A42D0"/>
    <w:multiLevelType w:val="multilevel"/>
    <w:tmpl w:val="C07E2A2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16cid:durableId="543568446">
    <w:abstractNumId w:val="3"/>
  </w:num>
  <w:num w:numId="2" w16cid:durableId="2088382909">
    <w:abstractNumId w:val="1"/>
  </w:num>
  <w:num w:numId="3" w16cid:durableId="453794096">
    <w:abstractNumId w:val="4"/>
  </w:num>
  <w:num w:numId="4" w16cid:durableId="177432647">
    <w:abstractNumId w:val="2"/>
  </w:num>
  <w:num w:numId="5" w16cid:durableId="268858312">
    <w:abstractNumId w:val="5"/>
  </w:num>
  <w:num w:numId="6" w16cid:durableId="5319656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ndGeneratedStamp" w:val="1402-6775-3499, v. 1"/>
    <w:docVar w:name="ndGeneratedStampLocation" w:val="LastPage"/>
  </w:docVars>
  <w:rsids>
    <w:rsidRoot w:val="0088713B"/>
    <w:rsid w:val="002735DE"/>
    <w:rsid w:val="005E3548"/>
    <w:rsid w:val="008871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870A0"/>
  <w15:docId w15:val="{BE815127-99F8-4649-9C27-60A3308EB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60"/>
      <w:outlineLvl w:val="0"/>
    </w:pPr>
    <w:rPr>
      <w:rFonts w:ascii="Cambria" w:eastAsia="Cambria" w:hAnsi="Cambria" w:cs="Cambria"/>
      <w:b/>
      <w:bCs/>
      <w:sz w:val="32"/>
      <w:szCs w:val="32"/>
    </w:rPr>
  </w:style>
  <w:style w:type="paragraph" w:styleId="Heading2">
    <w:name w:val="heading 2"/>
    <w:basedOn w:val="Normal"/>
    <w:next w:val="Normal"/>
    <w:link w:val="Heading2Char"/>
    <w:uiPriority w:val="9"/>
    <w:unhideWhenUsed/>
    <w:qFormat/>
    <w:pPr>
      <w:keepNext/>
      <w:spacing w:before="240" w:after="60"/>
      <w:ind w:left="720" w:hanging="720"/>
      <w:outlineLvl w:val="1"/>
    </w:pPr>
    <w:rPr>
      <w:rFonts w:ascii="Cambria" w:eastAsia="Cambria" w:hAnsi="Cambria" w:cs="Cambria"/>
      <w:b/>
      <w:bCs/>
      <w:i/>
      <w:iCs/>
      <w:sz w:val="28"/>
      <w:szCs w:val="28"/>
    </w:rPr>
  </w:style>
  <w:style w:type="paragraph" w:styleId="Heading3">
    <w:name w:val="heading 3"/>
    <w:basedOn w:val="Normal"/>
    <w:next w:val="Normal"/>
    <w:link w:val="Heading3Char"/>
    <w:uiPriority w:val="9"/>
    <w:unhideWhenUsed/>
    <w:qFormat/>
    <w:pPr>
      <w:keepNext/>
      <w:spacing w:before="240" w:after="60"/>
      <w:ind w:left="720" w:hanging="720"/>
      <w:outlineLvl w:val="2"/>
    </w:pPr>
    <w:rPr>
      <w:rFonts w:ascii="Cambria" w:eastAsia="Cambria" w:hAnsi="Cambria" w:cs="Cambria"/>
      <w:b/>
      <w:bCs/>
      <w:sz w:val="26"/>
      <w:szCs w:val="26"/>
    </w:rPr>
  </w:style>
  <w:style w:type="paragraph" w:styleId="Heading4">
    <w:name w:val="heading 4"/>
    <w:basedOn w:val="Normal"/>
    <w:next w:val="Normal"/>
    <w:link w:val="Heading4Char"/>
    <w:uiPriority w:val="9"/>
    <w:unhideWhenUsed/>
    <w:qFormat/>
    <w:pPr>
      <w:keepNext/>
      <w:spacing w:before="240" w:after="60"/>
      <w:ind w:left="720" w:hanging="720"/>
      <w:outlineLvl w:val="3"/>
    </w:pPr>
    <w:rPr>
      <w:rFonts w:ascii="Calibri" w:eastAsia="Calibri" w:hAnsi="Calibri" w:cs="Calibri"/>
      <w:b/>
      <w:bCs/>
      <w:sz w:val="28"/>
      <w:szCs w:val="28"/>
    </w:rPr>
  </w:style>
  <w:style w:type="paragraph" w:styleId="Heading5">
    <w:name w:val="heading 5"/>
    <w:basedOn w:val="Normal"/>
    <w:next w:val="Normal"/>
    <w:link w:val="Heading5Char"/>
    <w:uiPriority w:val="9"/>
    <w:semiHidden/>
    <w:unhideWhenUsed/>
    <w:qFormat/>
    <w:pPr>
      <w:spacing w:before="240" w:after="60"/>
      <w:ind w:left="2880"/>
      <w:outlineLvl w:val="4"/>
    </w:pPr>
    <w:rPr>
      <w:rFonts w:ascii="Calibri" w:eastAsia="Calibri" w:hAnsi="Calibri" w:cs="Calibri"/>
      <w:b/>
      <w:bCs/>
      <w:i/>
      <w:iCs/>
      <w:sz w:val="26"/>
      <w:szCs w:val="26"/>
    </w:rPr>
  </w:style>
  <w:style w:type="paragraph" w:styleId="Heading6">
    <w:name w:val="heading 6"/>
    <w:basedOn w:val="Normal"/>
    <w:next w:val="Normal"/>
    <w:link w:val="Heading6Char"/>
    <w:uiPriority w:val="9"/>
    <w:semiHidden/>
    <w:unhideWhenUsed/>
    <w:qFormat/>
    <w:pPr>
      <w:spacing w:before="240" w:after="60"/>
      <w:ind w:left="3600"/>
      <w:outlineLvl w:val="5"/>
    </w:pPr>
    <w:rPr>
      <w:rFonts w:ascii="Calibri" w:eastAsia="Calibri" w:hAnsi="Calibri" w:cs="Calibri"/>
      <w:b/>
      <w:bCs/>
      <w:sz w:val="22"/>
      <w:szCs w:val="22"/>
    </w:rPr>
  </w:style>
  <w:style w:type="paragraph" w:styleId="Heading7">
    <w:name w:val="heading 7"/>
    <w:basedOn w:val="Normal"/>
    <w:next w:val="Normal"/>
    <w:link w:val="Heading7Char"/>
    <w:uiPriority w:val="9"/>
    <w:semiHidden/>
    <w:unhideWhenUsed/>
    <w:qFormat/>
    <w:rsid w:val="00A85602"/>
    <w:pPr>
      <w:numPr>
        <w:ilvl w:val="6"/>
        <w:numId w:val="1"/>
      </w:numPr>
      <w:spacing w:before="240" w:after="60"/>
      <w:outlineLvl w:val="6"/>
    </w:pPr>
    <w:rPr>
      <w:rFonts w:ascii="Calibri" w:hAnsi="Calibri"/>
    </w:rPr>
  </w:style>
  <w:style w:type="paragraph" w:styleId="Heading8">
    <w:name w:val="heading 8"/>
    <w:basedOn w:val="Normal"/>
    <w:next w:val="Normal"/>
    <w:link w:val="Heading8Char"/>
    <w:uiPriority w:val="9"/>
    <w:semiHidden/>
    <w:unhideWhenUsed/>
    <w:qFormat/>
    <w:rsid w:val="00A85602"/>
    <w:pPr>
      <w:numPr>
        <w:ilvl w:val="7"/>
        <w:numId w:val="1"/>
      </w:numPr>
      <w:spacing w:before="240" w:after="60"/>
      <w:outlineLvl w:val="7"/>
    </w:pPr>
    <w:rPr>
      <w:rFonts w:ascii="Calibri" w:hAnsi="Calibri"/>
      <w:i/>
      <w:iCs/>
    </w:rPr>
  </w:style>
  <w:style w:type="paragraph" w:styleId="Heading9">
    <w:name w:val="heading 9"/>
    <w:basedOn w:val="Normal"/>
    <w:next w:val="Normal"/>
    <w:link w:val="Heading9Char"/>
    <w:uiPriority w:val="9"/>
    <w:semiHidden/>
    <w:unhideWhenUsed/>
    <w:qFormat/>
    <w:rsid w:val="00A85602"/>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FC1F68"/>
    <w:pPr>
      <w:tabs>
        <w:tab w:val="center" w:pos="4513"/>
        <w:tab w:val="right" w:pos="9026"/>
      </w:tabs>
    </w:pPr>
  </w:style>
  <w:style w:type="paragraph" w:styleId="TOC1">
    <w:name w:val="toc 1"/>
    <w:basedOn w:val="Normal"/>
    <w:next w:val="Normal"/>
    <w:autoRedefine/>
    <w:uiPriority w:val="39"/>
    <w:unhideWhenUsed/>
    <w:rsid w:val="00175CAE"/>
  </w:style>
  <w:style w:type="character" w:customStyle="1" w:styleId="HeaderChar">
    <w:name w:val="Header Char"/>
    <w:link w:val="Header"/>
    <w:uiPriority w:val="99"/>
    <w:rsid w:val="00FC1F68"/>
    <w:rPr>
      <w:sz w:val="24"/>
      <w:szCs w:val="24"/>
      <w:lang w:val="en-US" w:eastAsia="en-US"/>
    </w:rPr>
  </w:style>
  <w:style w:type="paragraph" w:styleId="Footer">
    <w:name w:val="footer"/>
    <w:basedOn w:val="Normal"/>
    <w:link w:val="FooterChar"/>
    <w:uiPriority w:val="99"/>
    <w:unhideWhenUsed/>
    <w:rsid w:val="00FC1F68"/>
    <w:pPr>
      <w:tabs>
        <w:tab w:val="center" w:pos="4513"/>
        <w:tab w:val="right" w:pos="9026"/>
      </w:tabs>
    </w:pPr>
  </w:style>
  <w:style w:type="character" w:customStyle="1" w:styleId="FooterChar">
    <w:name w:val="Footer Char"/>
    <w:link w:val="Footer"/>
    <w:uiPriority w:val="99"/>
    <w:rsid w:val="00FC1F68"/>
    <w:rPr>
      <w:sz w:val="24"/>
      <w:szCs w:val="24"/>
      <w:lang w:val="en-US" w:eastAsia="en-US"/>
    </w:rPr>
  </w:style>
  <w:style w:type="character" w:customStyle="1" w:styleId="Heading1Char">
    <w:name w:val="Heading 1 Char"/>
    <w:link w:val="Heading1"/>
    <w:uiPriority w:val="9"/>
    <w:rsid w:val="00A85602"/>
    <w:rPr>
      <w:rFonts w:ascii="Cambria" w:hAnsi="Cambria"/>
      <w:b/>
      <w:bCs/>
      <w:kern w:val="32"/>
      <w:sz w:val="32"/>
      <w:szCs w:val="32"/>
      <w:lang w:val="en-US" w:eastAsia="en-US"/>
    </w:rPr>
  </w:style>
  <w:style w:type="character" w:customStyle="1" w:styleId="Heading2Char">
    <w:name w:val="Heading 2 Char"/>
    <w:link w:val="Heading2"/>
    <w:uiPriority w:val="9"/>
    <w:rsid w:val="00A85602"/>
    <w:rPr>
      <w:rFonts w:ascii="Cambria" w:hAnsi="Cambria"/>
      <w:b/>
      <w:bCs/>
      <w:i/>
      <w:iCs/>
      <w:sz w:val="28"/>
      <w:szCs w:val="28"/>
      <w:lang w:val="en-US" w:eastAsia="en-US"/>
    </w:rPr>
  </w:style>
  <w:style w:type="character" w:customStyle="1" w:styleId="Heading3Char">
    <w:name w:val="Heading 3 Char"/>
    <w:link w:val="Heading3"/>
    <w:uiPriority w:val="9"/>
    <w:rsid w:val="00A85602"/>
    <w:rPr>
      <w:rFonts w:ascii="Cambria" w:hAnsi="Cambria"/>
      <w:b/>
      <w:bCs/>
      <w:sz w:val="26"/>
      <w:szCs w:val="26"/>
      <w:lang w:val="en-US" w:eastAsia="en-US"/>
    </w:rPr>
  </w:style>
  <w:style w:type="character" w:customStyle="1" w:styleId="Heading4Char">
    <w:name w:val="Heading 4 Char"/>
    <w:link w:val="Heading4"/>
    <w:uiPriority w:val="9"/>
    <w:semiHidden/>
    <w:rsid w:val="00A85602"/>
    <w:rPr>
      <w:rFonts w:ascii="Calibri" w:hAnsi="Calibri"/>
      <w:b/>
      <w:bCs/>
      <w:sz w:val="28"/>
      <w:szCs w:val="28"/>
      <w:lang w:val="en-US" w:eastAsia="en-US"/>
    </w:rPr>
  </w:style>
  <w:style w:type="character" w:customStyle="1" w:styleId="Heading5Char">
    <w:name w:val="Heading 5 Char"/>
    <w:link w:val="Heading5"/>
    <w:uiPriority w:val="9"/>
    <w:semiHidden/>
    <w:rsid w:val="00A85602"/>
    <w:rPr>
      <w:rFonts w:ascii="Calibri" w:hAnsi="Calibri"/>
      <w:b/>
      <w:bCs/>
      <w:i/>
      <w:iCs/>
      <w:sz w:val="26"/>
      <w:szCs w:val="26"/>
      <w:lang w:val="en-US" w:eastAsia="en-US"/>
    </w:rPr>
  </w:style>
  <w:style w:type="character" w:customStyle="1" w:styleId="Heading6Char">
    <w:name w:val="Heading 6 Char"/>
    <w:link w:val="Heading6"/>
    <w:uiPriority w:val="9"/>
    <w:semiHidden/>
    <w:rsid w:val="00A85602"/>
    <w:rPr>
      <w:rFonts w:ascii="Calibri" w:hAnsi="Calibri"/>
      <w:b/>
      <w:bCs/>
      <w:sz w:val="22"/>
      <w:szCs w:val="22"/>
      <w:lang w:val="en-US" w:eastAsia="en-US"/>
    </w:rPr>
  </w:style>
  <w:style w:type="character" w:customStyle="1" w:styleId="Heading7Char">
    <w:name w:val="Heading 7 Char"/>
    <w:link w:val="Heading7"/>
    <w:uiPriority w:val="9"/>
    <w:semiHidden/>
    <w:rsid w:val="00A85602"/>
    <w:rPr>
      <w:rFonts w:ascii="Calibri" w:hAnsi="Calibri"/>
      <w:sz w:val="24"/>
      <w:szCs w:val="24"/>
      <w:lang w:val="en-US" w:eastAsia="en-US"/>
    </w:rPr>
  </w:style>
  <w:style w:type="character" w:customStyle="1" w:styleId="Heading8Char">
    <w:name w:val="Heading 8 Char"/>
    <w:link w:val="Heading8"/>
    <w:uiPriority w:val="9"/>
    <w:semiHidden/>
    <w:rsid w:val="00A85602"/>
    <w:rPr>
      <w:rFonts w:ascii="Calibri" w:hAnsi="Calibri"/>
      <w:i/>
      <w:iCs/>
      <w:sz w:val="24"/>
      <w:szCs w:val="24"/>
      <w:lang w:val="en-US" w:eastAsia="en-US"/>
    </w:rPr>
  </w:style>
  <w:style w:type="character" w:customStyle="1" w:styleId="Heading9Char">
    <w:name w:val="Heading 9 Char"/>
    <w:link w:val="Heading9"/>
    <w:uiPriority w:val="9"/>
    <w:semiHidden/>
    <w:rsid w:val="00A85602"/>
    <w:rPr>
      <w:rFonts w:ascii="Cambria" w:hAnsi="Cambria"/>
      <w:sz w:val="22"/>
      <w:szCs w:val="22"/>
      <w:lang w:val="en-US" w:eastAsia="en-US"/>
    </w:rPr>
  </w:style>
  <w:style w:type="paragraph" w:styleId="BodyText">
    <w:name w:val="Body Text"/>
    <w:basedOn w:val="Normal"/>
    <w:link w:val="BodyTextChar"/>
    <w:rsid w:val="00DD6E8C"/>
    <w:pPr>
      <w:spacing w:before="120" w:after="120" w:line="360" w:lineRule="auto"/>
    </w:pPr>
    <w:rPr>
      <w:lang w:val="en-CA"/>
    </w:rPr>
  </w:style>
  <w:style w:type="character" w:customStyle="1" w:styleId="BodyTextChar">
    <w:name w:val="Body Text Char"/>
    <w:link w:val="BodyText"/>
    <w:rsid w:val="00DD6E8C"/>
    <w:rPr>
      <w:sz w:val="24"/>
      <w:szCs w:val="24"/>
      <w:lang w:val="en-CA" w:eastAsia="en-US"/>
    </w:rPr>
  </w:style>
  <w:style w:type="paragraph" w:customStyle="1" w:styleId="WSFourthLevelParaNum">
    <w:name w:val="WS Fourth Level Para Num"/>
    <w:basedOn w:val="BodyText"/>
    <w:rsid w:val="00DD6E8C"/>
    <w:pPr>
      <w:numPr>
        <w:numId w:val="3"/>
      </w:numPr>
      <w:spacing w:line="480" w:lineRule="auto"/>
    </w:pPr>
  </w:style>
  <w:style w:type="character" w:customStyle="1" w:styleId="Italic">
    <w:name w:val="Italic"/>
    <w:rsid w:val="00DD6E8C"/>
    <w:rPr>
      <w:i/>
    </w:rPr>
  </w:style>
  <w:style w:type="paragraph" w:customStyle="1" w:styleId="WSParaNum">
    <w:name w:val="WS ParaNum"/>
    <w:basedOn w:val="BodyText"/>
    <w:rsid w:val="00DD6E8C"/>
    <w:pPr>
      <w:numPr>
        <w:numId w:val="4"/>
      </w:numPr>
    </w:pPr>
  </w:style>
  <w:style w:type="paragraph" w:styleId="TOC2">
    <w:name w:val="toc 2"/>
    <w:basedOn w:val="Normal"/>
    <w:next w:val="Normal"/>
    <w:autoRedefine/>
    <w:uiPriority w:val="39"/>
    <w:unhideWhenUsed/>
    <w:rsid w:val="004D3700"/>
    <w:pPr>
      <w:ind w:left="240"/>
    </w:pPr>
  </w:style>
  <w:style w:type="paragraph" w:styleId="TOC3">
    <w:name w:val="toc 3"/>
    <w:basedOn w:val="Normal"/>
    <w:next w:val="Normal"/>
    <w:autoRedefine/>
    <w:uiPriority w:val="39"/>
    <w:unhideWhenUsed/>
    <w:rsid w:val="00F045DC"/>
    <w:pPr>
      <w:ind w:left="480"/>
    </w:pPr>
  </w:style>
  <w:style w:type="character" w:customStyle="1" w:styleId="Bold">
    <w:name w:val="Bold"/>
    <w:rsid w:val="00663B7A"/>
    <w:rPr>
      <w:b/>
    </w:rPr>
  </w:style>
  <w:style w:type="paragraph" w:customStyle="1" w:styleId="TitleBold">
    <w:name w:val="Title Bold"/>
    <w:basedOn w:val="Normal"/>
    <w:next w:val="BodyText"/>
    <w:rsid w:val="00663B7A"/>
    <w:pPr>
      <w:jc w:val="center"/>
    </w:pPr>
    <w:rPr>
      <w:b/>
      <w:sz w:val="28"/>
      <w:lang w:val="en-CA"/>
    </w:rPr>
  </w:style>
  <w:style w:type="paragraph" w:customStyle="1" w:styleId="DocsID">
    <w:name w:val="DocsID"/>
    <w:basedOn w:val="Normal"/>
    <w:rsid w:val="00E91D4B"/>
    <w:pPr>
      <w:spacing w:before="20"/>
    </w:pPr>
    <w:rPr>
      <w:sz w:val="16"/>
      <w:szCs w:val="20"/>
      <w:lang w:val="en-CA"/>
    </w:rPr>
  </w:style>
  <w:style w:type="paragraph" w:styleId="BalloonText">
    <w:name w:val="Balloon Text"/>
    <w:basedOn w:val="Normal"/>
    <w:link w:val="BalloonTextChar"/>
    <w:uiPriority w:val="99"/>
    <w:semiHidden/>
    <w:unhideWhenUsed/>
    <w:rsid w:val="002559B7"/>
    <w:rPr>
      <w:rFonts w:ascii="Tahoma" w:hAnsi="Tahoma" w:cs="Tahoma"/>
      <w:sz w:val="16"/>
      <w:szCs w:val="16"/>
    </w:rPr>
  </w:style>
  <w:style w:type="character" w:customStyle="1" w:styleId="BalloonTextChar">
    <w:name w:val="Balloon Text Char"/>
    <w:link w:val="BalloonText"/>
    <w:uiPriority w:val="99"/>
    <w:semiHidden/>
    <w:rsid w:val="002559B7"/>
    <w:rPr>
      <w:rFonts w:ascii="Tahoma" w:hAnsi="Tahoma" w:cs="Tahoma"/>
      <w:sz w:val="16"/>
      <w:szCs w:val="16"/>
    </w:rPr>
  </w:style>
  <w:style w:type="paragraph" w:styleId="Revision">
    <w:name w:val="Revision"/>
    <w:hidden/>
    <w:uiPriority w:val="99"/>
    <w:semiHidden/>
    <w:rsid w:val="00162F7F"/>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yperlink" Target="https://nextcanada-westlaw-com.ezproxy.lib.torontomu.ca/Link/Document/FullText?findType=Y&amp;serNum=1155995016&amp;pubNum=0007352&amp;originatingDoc=Id44ab328f3a911ebaf4cf776a45d6cfe&amp;refType=IC&amp;originationContext=document&amp;transitionType=DocumentItem&amp;ppcid=7ae81a6970b74dd0a9f5e779231ef602&amp;contextData=(sc.Keycite)" TargetMode="Externa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nextcanada-westlaw-com.ezproxy.lib.torontomu.ca/Link/Document/FullText?findType=Y&amp;serNum=1155995016&amp;pubNum=0007352&amp;originatingDoc=Id44ab328f3a911ebaf4cf776a45d6cfe&amp;refType=IC&amp;originationContext=document&amp;transitionType=DocumentItem&amp;ppcid=7ae81a6970b74dd0a9f5e779231ef602&amp;contextData=(sc.Keycit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s://nextcanada-westlaw-com.ezproxy.lib.torontomu.ca/Link/Document/FullText?findType=Y&amp;serNum=1155995016&amp;pubNum=0007352&amp;originatingDoc=Id44ab328f3a911ebaf4cf776a45d6cfe&amp;refType=IC&amp;originationContext=document&amp;transitionType=DocumentItem&amp;ppcid=7ae81a6970b74dd0a9f5e779231ef602&amp;contextData=(sc.Keycit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10" Type="http://schemas.openxmlformats.org/officeDocument/2006/relationships/header" Target="header2.xml"/><Relationship Id="rId19" Type="http://schemas.openxmlformats.org/officeDocument/2006/relationships/hyperlink" Target="https://nextcanada-westlaw-com.ezproxy.lib.torontomu.ca/Link/Document/FullText?findType=Y&amp;serNum=1155995016&amp;pubNum=0007352&amp;originatingDoc=Id44ab328f3a911ebaf4cf776a45d6cfe&amp;refType=IC&amp;originationContext=document&amp;transitionType=DocumentItem&amp;ppcid=7ae81a6970b74dd0a9f5e779231ef602&amp;contextData=(sc.Keycit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U62AtmPA/tJawsjJD3ZLVok6A==">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7314</Words>
  <Characters>41693</Characters>
  <Application>Microsoft Office Word</Application>
  <DocSecurity>4</DocSecurity>
  <Lines>347</Lines>
  <Paragraphs>97</Paragraphs>
  <ScaleCrop>false</ScaleCrop>
  <Company/>
  <LinksUpToDate>false</LinksUpToDate>
  <CharactersWithSpaces>48910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Wood</dc:creator>
  <cp:lastModifiedBy>Vijai Dasrat</cp:lastModifiedBy>
  <cp:revision>2</cp:revision>
  <dcterms:created xsi:type="dcterms:W3CDTF">2026-01-13T21:08:00Z</dcterms:created>
  <dcterms:modified xsi:type="dcterms:W3CDTF">2026-01-13T21:08:00Z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ocIDAutoUpdate">
    <vt:lpwstr>LAST</vt:lpwstr>
  </op:property>
  <op:property fmtid="{D5CDD505-2E9C-101B-9397-08002B2CF9AE}" pid="3" name="DocsID">
    <vt:lpwstr>2016904</vt:lpwstr>
  </op:property>
  <op:property fmtid="{D5CDD505-2E9C-101B-9397-08002B2CF9AE}" pid="4" name="ndDocumentId">
    <vt:lpwstr>1402-6775-3499</vt:lpwstr>
  </op:property>
</op:Properties>
</file>